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30F0E">
      <w:pPr>
        <w:spacing w:line="360" w:lineRule="auto"/>
        <w:rPr>
          <w:rFonts w:ascii="华文仿宋" w:hAnsi="华文仿宋" w:eastAsia="华文仿宋" w:cs="仿宋_GB2312"/>
          <w:sz w:val="22"/>
          <w:szCs w:val="24"/>
        </w:rPr>
      </w:pPr>
      <w:r>
        <w:rPr>
          <w:rFonts w:hint="eastAsia" w:ascii="华文仿宋" w:hAnsi="华文仿宋" w:eastAsia="华文仿宋" w:cs="仿宋_GB2312"/>
          <w:sz w:val="24"/>
          <w:szCs w:val="24"/>
        </w:rPr>
        <w:t>附件1：</w:t>
      </w:r>
    </w:p>
    <w:p w14:paraId="409D8016">
      <w:pPr>
        <w:spacing w:line="520" w:lineRule="exact"/>
        <w:jc w:val="center"/>
        <w:rPr>
          <w:rFonts w:ascii="华文仿宋" w:hAnsi="华文仿宋" w:eastAsia="华文仿宋"/>
          <w:b/>
          <w:sz w:val="36"/>
          <w:szCs w:val="32"/>
        </w:rPr>
      </w:pPr>
      <w:r>
        <w:rPr>
          <w:rFonts w:hint="eastAsia" w:ascii="华文仿宋" w:hAnsi="华文仿宋" w:eastAsia="华文仿宋"/>
          <w:b/>
          <w:sz w:val="36"/>
          <w:szCs w:val="32"/>
          <w:lang w:val="en-US" w:eastAsia="zh-CN"/>
        </w:rPr>
        <w:t>数智化应用案例大赛申报</w:t>
      </w:r>
      <w:r>
        <w:rPr>
          <w:rFonts w:hint="eastAsia" w:ascii="华文仿宋" w:hAnsi="华文仿宋" w:eastAsia="华文仿宋"/>
          <w:b/>
          <w:sz w:val="36"/>
          <w:szCs w:val="32"/>
        </w:rPr>
        <w:t>表</w:t>
      </w:r>
    </w:p>
    <w:tbl>
      <w:tblPr>
        <w:tblStyle w:val="4"/>
        <w:tblW w:w="500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5"/>
        <w:gridCol w:w="511"/>
        <w:gridCol w:w="1680"/>
        <w:gridCol w:w="1685"/>
        <w:gridCol w:w="1297"/>
        <w:gridCol w:w="2776"/>
      </w:tblGrid>
      <w:tr w14:paraId="6BB3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0CD8E709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bookmarkStart w:id="0" w:name="_Hlk484620355"/>
            <w:r>
              <w:rPr>
                <w:rFonts w:ascii="华文仿宋" w:hAnsi="华文仿宋" w:eastAsia="华文仿宋"/>
                <w:sz w:val="28"/>
                <w:szCs w:val="28"/>
              </w:rPr>
              <w:br w:type="page"/>
            </w:r>
            <w:r>
              <w:rPr>
                <w:rFonts w:ascii="华文仿宋" w:hAnsi="华文仿宋" w:eastAsia="华文仿宋"/>
                <w:sz w:val="28"/>
                <w:szCs w:val="28"/>
              </w:rPr>
              <w:br w:type="page"/>
            </w:r>
            <w:r>
              <w:rPr>
                <w:rFonts w:ascii="华文仿宋" w:hAnsi="华文仿宋" w:eastAsia="华文仿宋"/>
                <w:szCs w:val="28"/>
              </w:rPr>
              <w:br w:type="page"/>
            </w: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项目基本信息</w:t>
            </w:r>
          </w:p>
        </w:tc>
        <w:tc>
          <w:tcPr>
            <w:tcW w:w="306" w:type="pct"/>
            <w:tcBorders>
              <w:top w:val="single" w:color="000000" w:sz="2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4B1D37A7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案例</w:t>
            </w: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名称</w:t>
            </w:r>
          </w:p>
        </w:tc>
        <w:tc>
          <w:tcPr>
            <w:tcW w:w="4472" w:type="pct"/>
            <w:gridSpan w:val="4"/>
            <w:tcBorders>
              <w:top w:val="single" w:color="000000" w:sz="2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0D18771C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如果他/她活到今天——AI驱动下新时代</w:t>
            </w:r>
            <w:bookmarkStart w:id="1" w:name="_GoBack"/>
            <w:bookmarkEnd w:id="1"/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乡村共创课堂</w:t>
            </w:r>
          </w:p>
        </w:tc>
      </w:tr>
      <w:tr w14:paraId="74C8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68A6F6AB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6F3247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主题类别</w:t>
            </w:r>
          </w:p>
        </w:tc>
        <w:tc>
          <w:tcPr>
            <w:tcW w:w="4472" w:type="pct"/>
            <w:gridSpan w:val="4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A2CF668">
            <w:pPr>
              <w:snapToGrid w:val="0"/>
              <w:spacing w:line="400" w:lineRule="exact"/>
              <w:ind w:left="210" w:leftChars="100"/>
              <w:rPr>
                <w:rFonts w:hint="default" w:ascii="华文仿宋" w:hAnsi="华文仿宋" w:eastAsia="华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default" w:ascii="华文仿宋" w:hAnsi="华文仿宋" w:eastAsia="华文仿宋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文化素养+AI</w:t>
            </w:r>
          </w:p>
          <w:p w14:paraId="00A9A306">
            <w:pPr>
              <w:snapToGrid w:val="0"/>
              <w:spacing w:line="400" w:lineRule="exact"/>
              <w:ind w:left="210" w:leftChars="100"/>
              <w:rPr>
                <w:rFonts w:hint="default" w:ascii="华文仿宋" w:hAnsi="华文仿宋" w:eastAsia="华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□B</w:t>
            </w:r>
            <w:r>
              <w:rPr>
                <w:rFonts w:hint="default" w:ascii="华文仿宋" w:hAnsi="华文仿宋" w:eastAsia="华文仿宋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自主发展+AI</w:t>
            </w:r>
          </w:p>
          <w:p w14:paraId="6C9B944A">
            <w:pPr>
              <w:snapToGrid w:val="0"/>
              <w:spacing w:line="400" w:lineRule="exact"/>
              <w:ind w:left="210" w:leftChars="100"/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□C</w:t>
            </w:r>
            <w:r>
              <w:rPr>
                <w:rFonts w:hint="default" w:ascii="华文仿宋" w:hAnsi="华文仿宋" w:eastAsia="华文仿宋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华文仿宋" w:hAnsi="华文仿宋" w:eastAsia="华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社会参与+AI</w:t>
            </w:r>
          </w:p>
        </w:tc>
      </w:tr>
      <w:tr w14:paraId="1176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44592974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vMerge w:val="restart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191D3EE2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团队负责人</w:t>
            </w:r>
          </w:p>
          <w:p w14:paraId="60D98ACF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华文仿宋" w:hAnsi="华文仿宋" w:eastAsia="华文仿宋"/>
                <w:bCs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华文仿宋" w:hAnsi="华文仿宋" w:eastAsia="华文仿宋"/>
                <w:bCs/>
                <w:sz w:val="20"/>
                <w:szCs w:val="20"/>
                <w:lang w:val="en-US" w:eastAsia="zh-CN"/>
              </w:rPr>
              <w:t>或个人报名</w:t>
            </w:r>
            <w:r>
              <w:rPr>
                <w:rFonts w:hint="eastAsia" w:ascii="华文仿宋" w:hAnsi="华文仿宋" w:eastAsia="华文仿宋"/>
                <w:bCs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122DFF82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姓  名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011C5DFC">
            <w:pPr>
              <w:snapToGrid w:val="0"/>
              <w:spacing w:line="400" w:lineRule="exact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张家硕</w:t>
            </w: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6CF7D7CE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年级</w:t>
            </w: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与</w:t>
            </w: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专业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5F2EAD2C">
            <w:pPr>
              <w:snapToGrid w:val="0"/>
              <w:spacing w:line="400" w:lineRule="exact"/>
              <w:jc w:val="both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2024思政</w:t>
            </w:r>
          </w:p>
        </w:tc>
      </w:tr>
      <w:tr w14:paraId="7CDB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357F2D87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020025BF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1599544B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手  机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nil"/>
              <w:right w:val="single" w:color="000000" w:sz="2" w:space="0"/>
            </w:tcBorders>
            <w:vAlign w:val="center"/>
          </w:tcPr>
          <w:p w14:paraId="579665E6">
            <w:pPr>
              <w:snapToGrid w:val="0"/>
              <w:spacing w:line="400" w:lineRule="exact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18217270129</w:t>
            </w: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15BA623B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邮  箱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5F226643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1142347783@qq.com</w:t>
            </w:r>
          </w:p>
        </w:tc>
      </w:tr>
      <w:tr w14:paraId="491B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restart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9713E6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其他成员</w:t>
            </w:r>
          </w:p>
          <w:p w14:paraId="030457BD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84175E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姓  名</w:t>
            </w: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E727692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学  号</w:t>
            </w: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29A8275C">
            <w:pPr>
              <w:snapToGrid w:val="0"/>
              <w:spacing w:line="400" w:lineRule="exact"/>
              <w:jc w:val="both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  <w:p w14:paraId="64561D86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695DE6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学院、年级、专业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2499AE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</w:rPr>
              <w:t>备  注</w:t>
            </w:r>
          </w:p>
        </w:tc>
      </w:tr>
      <w:tr w14:paraId="1215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404EB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3DB65A">
            <w:pPr>
              <w:snapToGrid w:val="0"/>
              <w:spacing w:line="400" w:lineRule="exact"/>
              <w:jc w:val="both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张家硕</w:t>
            </w: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C432074">
            <w:pPr>
              <w:adjustRightInd w:val="0"/>
              <w:snapToGrid w:val="0"/>
              <w:spacing w:line="44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10245401019</w:t>
            </w: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6557FBA0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2F394C49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马院2024思政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000000" w:sz="2" w:space="0"/>
            </w:tcBorders>
            <w:vAlign w:val="center"/>
          </w:tcPr>
          <w:p w14:paraId="2112AC22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08EE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6F38D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72BE7A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734FF88">
            <w:pPr>
              <w:adjustRightInd w:val="0"/>
              <w:snapToGrid w:val="0"/>
              <w:spacing w:line="44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02D1B95C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516AF18E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67" w:type="pct"/>
            <w:tcBorders>
              <w:left w:val="single" w:color="auto" w:sz="4" w:space="0"/>
              <w:right w:val="single" w:color="000000" w:sz="2" w:space="0"/>
            </w:tcBorders>
            <w:vAlign w:val="center"/>
          </w:tcPr>
          <w:p w14:paraId="7DDFE924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7896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499C2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BB1BEC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F268B0C">
            <w:pPr>
              <w:adjustRightInd w:val="0"/>
              <w:snapToGrid w:val="0"/>
              <w:spacing w:line="44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41ECFAC2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564CC2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67" w:type="pct"/>
            <w:tcBorders>
              <w:left w:val="single" w:color="auto" w:sz="4" w:space="0"/>
              <w:right w:val="single" w:color="000000" w:sz="2" w:space="0"/>
            </w:tcBorders>
            <w:vAlign w:val="center"/>
          </w:tcPr>
          <w:p w14:paraId="4530F61B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0054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5FB8B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37EC897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754867E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7E5B46AC">
            <w:pPr>
              <w:snapToGrid w:val="0"/>
              <w:spacing w:line="400" w:lineRule="exact"/>
              <w:jc w:val="both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5C4A677D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67" w:type="pct"/>
            <w:tcBorders>
              <w:left w:val="single" w:color="auto" w:sz="4" w:space="0"/>
              <w:right w:val="single" w:color="000000" w:sz="2" w:space="0"/>
            </w:tcBorders>
            <w:vAlign w:val="center"/>
          </w:tcPr>
          <w:p w14:paraId="4EBC84C9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2CCD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051CB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8D3D92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66D14D3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26E757C9">
            <w:pPr>
              <w:snapToGrid w:val="0"/>
              <w:spacing w:line="400" w:lineRule="exact"/>
              <w:jc w:val="both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09CDABF4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67" w:type="pct"/>
            <w:tcBorders>
              <w:left w:val="single" w:color="auto" w:sz="4" w:space="0"/>
              <w:right w:val="single" w:color="000000" w:sz="2" w:space="0"/>
            </w:tcBorders>
            <w:vAlign w:val="center"/>
          </w:tcPr>
          <w:p w14:paraId="2F171BCA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19A16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C21AB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2DB46C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EE797F9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0654E8F7">
            <w:pPr>
              <w:snapToGrid w:val="0"/>
              <w:spacing w:line="400" w:lineRule="exact"/>
              <w:jc w:val="both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5BC8033B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67" w:type="pct"/>
            <w:tcBorders>
              <w:left w:val="single" w:color="auto" w:sz="4" w:space="0"/>
              <w:right w:val="single" w:color="000000" w:sz="2" w:space="0"/>
            </w:tcBorders>
            <w:vAlign w:val="center"/>
          </w:tcPr>
          <w:p w14:paraId="4969FF8A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7021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7B8AF">
            <w:pPr>
              <w:snapToGrid w:val="0"/>
              <w:spacing w:line="400" w:lineRule="exact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09B731">
            <w:pPr>
              <w:snapToGrid w:val="0"/>
              <w:spacing w:line="400" w:lineRule="exact"/>
              <w:jc w:val="center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AAC734E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2" w:space="0"/>
            </w:tcBorders>
            <w:vAlign w:val="center"/>
          </w:tcPr>
          <w:p w14:paraId="7F3CE533">
            <w:pPr>
              <w:snapToGrid w:val="0"/>
              <w:spacing w:line="400" w:lineRule="exact"/>
              <w:jc w:val="both"/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3447DF4F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67" w:type="pct"/>
            <w:tcBorders>
              <w:left w:val="single" w:color="auto" w:sz="4" w:space="0"/>
              <w:right w:val="single" w:color="000000" w:sz="2" w:space="0"/>
            </w:tcBorders>
            <w:vAlign w:val="center"/>
          </w:tcPr>
          <w:p w14:paraId="2C429193">
            <w:pPr>
              <w:snapToGrid w:val="0"/>
              <w:spacing w:line="400" w:lineRule="exact"/>
              <w:jc w:val="center"/>
              <w:rPr>
                <w:rFonts w:ascii="华文仿宋" w:hAnsi="华文仿宋" w:eastAsia="华文仿宋"/>
                <w:bCs/>
                <w:sz w:val="24"/>
                <w:szCs w:val="24"/>
              </w:rPr>
            </w:pPr>
          </w:p>
        </w:tc>
      </w:tr>
      <w:tr w14:paraId="43EA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3082630A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案例背景与简介</w:t>
            </w:r>
          </w:p>
        </w:tc>
        <w:tc>
          <w:tcPr>
            <w:tcW w:w="4472" w:type="pct"/>
            <w:gridSpan w:val="4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F34AC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firstLine="240" w:firstLineChars="100"/>
            </w:pPr>
            <w:r>
              <w:t>本</w:t>
            </w:r>
            <w:r>
              <w:rPr>
                <w:rFonts w:hint="eastAsia"/>
                <w:lang w:val="en-US" w:eastAsia="zh-CN"/>
              </w:rPr>
              <w:t>作品</w:t>
            </w:r>
            <w:r>
              <w:t>案例面向“文化素养+AI”赛道，聚焦新时代青年如何在数智化学习环境中理解乡村、走近人民、服务国家发展大局。案例以“如果她/他活到今天”为叙事引线，构建“AI驱动的沉浸式乡村共创课堂”，将高中思想政治必修四中“群众观点与群众路线”的核心知识，与</w:t>
            </w:r>
            <w:r>
              <w:rPr>
                <w:rFonts w:hint="eastAsia"/>
                <w:lang w:val="en-US" w:eastAsia="zh-CN"/>
              </w:rPr>
              <w:t>高中</w:t>
            </w:r>
            <w:r>
              <w:t>地理学科中自然环境、交通区位、产业发展之间的关系相融合，引导学生在真实问题情境中完成从价值认同、科学分析到实践方案设计的学习转化。</w:t>
            </w:r>
          </w:p>
          <w:p w14:paraId="6FC50111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firstLine="240" w:firstLineChars="100"/>
            </w:pPr>
            <w:r>
              <w:t>课堂设置了一个虚构但基于真实乡村问题建构的“云岭村”。该村位于西南喀斯特山区，山地聚落分散，雨季道路易中断，农业产业基础薄弱，农产品外运成本高，村民因过往产业失败经历对新项目缺乏信任。学生以“新时代青年乡村共创实践团”的身份进入课堂情境，借助AI系统获取村庄资料、完成任务卡、与“时代智囊”进行人机互动，并逐步形成乡村振兴共创方案。</w:t>
            </w:r>
          </w:p>
          <w:p w14:paraId="151F196D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firstLine="240" w:firstLineChars="100"/>
            </w:pPr>
            <w:r>
              <w:t>案例共设置三个递进任务。任务一以黄文秀驻村扶贫真实事迹为精神引领，让学生在入户受阻、群众不信任、产业推进困难等情境中，理解她如何通过走访群众、绘制民情地图、帮助村民劳动、反复沟通等方式贯彻群众观点和群众路线。相关设计依据黄文秀在百坭村走访贫困户、手绘民情地图、发展砂糖橘产业、推动道路建设等真实材料展开。任务二引入“竺可桢地理智库”作为知识支持，引导学生分析云岭村发展困境背后的地形、交通、区位与产业成因。任务三要求学生综合前两项任务成果，提出兼顾群众参与、地理条件、产业基础和可持续发展的乡村共创方案。</w:t>
            </w:r>
          </w:p>
          <w:p w14:paraId="0A707FA1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firstLine="240" w:firstLineChars="100"/>
              <w:rPr>
                <w:rFonts w:hint="default" w:ascii="华文仿宋" w:hAnsi="华文仿宋" w:eastAsia="华文仿宋"/>
                <w:bCs/>
                <w:sz w:val="21"/>
                <w:szCs w:val="21"/>
                <w:lang w:val="en-US" w:eastAsia="zh-CN"/>
              </w:rPr>
            </w:pPr>
            <w:r>
              <w:t>本案例不是简单的AI展示，也不是人物故事复述，而是以AI为学习支架，让学生在“问题发现—人物启发—学科分析—方案共创—价值升华”的过程中，理解新时代乡村振兴不是抽象口号，而是需要青年真正理解群众、理解土地、理解国家需要，并将个人理想融入社会主义现代化建设的现实行动。</w:t>
            </w:r>
          </w:p>
        </w:tc>
      </w:tr>
      <w:tr w14:paraId="3663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68E00695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案例创新点</w:t>
            </w:r>
          </w:p>
        </w:tc>
        <w:tc>
          <w:tcPr>
            <w:tcW w:w="4472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1B92275A">
            <w:pPr>
              <w:bidi w:val="0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1. 以“AI沉浸式任务”重构思政课堂，增强学生真实参与感</w:t>
            </w:r>
          </w:p>
          <w:p w14:paraId="7B5027A1">
            <w:pPr>
              <w:pStyle w:val="3"/>
              <w:keepNext w:val="0"/>
              <w:keepLines w:val="0"/>
              <w:widowControl/>
              <w:suppressLineNumbers w:val="0"/>
              <w:snapToGrid w:val="0"/>
            </w:pPr>
            <w:r>
              <w:t>本案例没有采用传统“教师讲人物、学生谈感想”的方式，而是将学生置于云岭村乡村振兴任务中，让学生以实践团成员身份面对群众不配合、产业停滞、交通受限等真实困境。AI系统不只是播放资料，而是承担情境生成、任务推送、人机对话、资料分析和方案反馈等功能，使学生从故事旁观者转变为任务参与者。</w:t>
            </w:r>
          </w:p>
          <w:p w14:paraId="7B8F5637">
            <w:pPr>
              <w:bidi w:val="0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2. 以黄文秀精神贯穿价值引领，实现知识学习与情感认同统一</w:t>
            </w:r>
          </w:p>
          <w:p w14:paraId="52755243">
            <w:pPr>
              <w:pStyle w:val="3"/>
              <w:keepNext w:val="0"/>
              <w:keepLines w:val="0"/>
              <w:widowControl/>
              <w:suppressLineNumbers w:val="0"/>
              <w:snapToGrid w:val="0"/>
            </w:pPr>
            <w:r>
              <w:t>案例将黄文秀的真实扶贫行动转化为课堂任务情境，让学生在“为什么群众不信任”“如何真正走进群众”“怎样发动群众参与建设”等问题中，理解群众观点和群众路线的现实意义。学生不是被动接受榜样教育，而是在模拟基层工作中感受“扎根泥土，才能懂得人民”的精神力量。</w:t>
            </w:r>
          </w:p>
          <w:p w14:paraId="55241A83">
            <w:pPr>
              <w:bidi w:val="0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3. 实现思政与地理的有机融合，避免为跨学科而跨学科</w:t>
            </w:r>
          </w:p>
          <w:p w14:paraId="509C5C62">
            <w:pPr>
              <w:pStyle w:val="3"/>
              <w:keepNext w:val="0"/>
              <w:keepLines w:val="0"/>
              <w:widowControl/>
              <w:suppressLineNumbers w:val="0"/>
              <w:snapToGrid w:val="0"/>
            </w:pPr>
            <w:r>
              <w:t>本案例不机械堆叠学科内容，而是围绕乡村振兴真实问题自然融合。思政解决“为什么要依靠群众、如何发动群众”的价值与方法问题，地理解决“为什么村庄发展受限、自然环境如何影响产业和交通”的成因分析问题，最终共同服务于乡村共创方案设计。</w:t>
            </w:r>
          </w:p>
          <w:p w14:paraId="715C7336">
            <w:pPr>
              <w:bidi w:val="0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4. 突出“从知识到实践”的转化，形成可落地的学习成果</w:t>
            </w:r>
          </w:p>
          <w:p w14:paraId="59D2E57E">
            <w:pPr>
              <w:pStyle w:val="3"/>
              <w:keepNext w:val="0"/>
              <w:keepLines w:val="0"/>
              <w:widowControl/>
              <w:suppressLineNumbers w:val="0"/>
              <w:snapToGrid w:val="0"/>
            </w:pPr>
            <w:r>
              <w:t>课堂最终成果不是口号式感悟，而是《云岭村乡村共创行动方案》。学生需要综合群众需求、地理条件、产业基础、交通限制和可持续发展要求，提出具体建设路径。这使课堂从知识理解走向真实问题解决，体现了AI赋能项目式学习的应用价值。</w:t>
            </w:r>
          </w:p>
          <w:p w14:paraId="4A9129AE">
            <w:pPr>
              <w:bidi w:val="0"/>
            </w:pPr>
            <w:r>
              <w:rPr>
                <w:b/>
                <w:bCs/>
                <w:sz w:val="24"/>
                <w:szCs w:val="28"/>
              </w:rPr>
              <w:t>5. 强化新时代青年使命教育，提升</w:t>
            </w:r>
            <w:r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  <w:t>科学</w:t>
            </w:r>
            <w:r>
              <w:rPr>
                <w:b/>
                <w:bCs/>
                <w:sz w:val="24"/>
                <w:szCs w:val="28"/>
              </w:rPr>
              <w:t>文化素养与责任意识</w:t>
            </w:r>
          </w:p>
          <w:p w14:paraId="3669E227">
            <w:pPr>
              <w:pStyle w:val="3"/>
              <w:keepNext w:val="0"/>
              <w:keepLines w:val="0"/>
              <w:widowControl/>
              <w:suppressLineNumbers w:val="0"/>
              <w:snapToGrid w:val="0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t>案例以“新时代乡村振兴的长征”为精神主线，引导学生认识到乡村建设既需要科学分析，也需要人民立场和青年担当。课堂结尾将个人成长与国家发展、人民需要相联系，鼓励学生打破对乡村的片面认知，理解“新农人”“返乡青年”“基层建设者”的时代价值，形成积极向上的价值导向。</w:t>
            </w:r>
          </w:p>
        </w:tc>
      </w:tr>
      <w:tr w14:paraId="4D0E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5BB799FB">
            <w:pPr>
              <w:snapToGrid w:val="0"/>
              <w:spacing w:line="400" w:lineRule="exact"/>
              <w:jc w:val="center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 w:val="24"/>
                <w:szCs w:val="24"/>
                <w:lang w:val="en-US" w:eastAsia="zh-CN"/>
              </w:rPr>
              <w:t>数智化教学设计案例应用体会</w:t>
            </w:r>
          </w:p>
        </w:tc>
        <w:tc>
          <w:tcPr>
            <w:tcW w:w="4472" w:type="pct"/>
            <w:gridSpan w:val="4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21A460">
            <w:pPr>
              <w:snapToGrid w:val="0"/>
              <w:spacing w:line="400" w:lineRule="exact"/>
              <w:rPr>
                <w:rFonts w:hint="default" w:ascii="华文仿宋" w:hAnsi="华文仿宋" w:eastAsia="华文仿宋"/>
                <w:bCs/>
                <w:sz w:val="24"/>
                <w:szCs w:val="24"/>
                <w:lang w:val="en-US" w:eastAsia="zh-CN"/>
              </w:rPr>
            </w:pPr>
          </w:p>
        </w:tc>
      </w:tr>
      <w:bookmarkEnd w:id="0"/>
    </w:tbl>
    <w:p w14:paraId="359E5F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C114A"/>
    <w:rsid w:val="1FCC114A"/>
    <w:rsid w:val="22F537D2"/>
    <w:rsid w:val="41E06866"/>
    <w:rsid w:val="45487015"/>
    <w:rsid w:val="4D2F67B0"/>
    <w:rsid w:val="500D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</Words>
  <Characters>135</Characters>
  <Lines>0</Lines>
  <Paragraphs>0</Paragraphs>
  <TotalTime>492</TotalTime>
  <ScaleCrop>false</ScaleCrop>
  <LinksUpToDate>false</LinksUpToDate>
  <CharactersWithSpaces>150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2026-05-08T01:53:00Z</dcterms:created>
  <dc:creator>可爱的派大星</dc:creator>
  <cp:lastModifiedBy>张家硕</cp:lastModifiedBy>
  <dcterms:modified xsi:type="dcterms:W3CDTF">2026-05-25T04:19:04Z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75AC1DD9CDE64A0F9701D587AB9DA2DD_13</vt:lpwstr>
  </property>
  <property fmtid="{D5CDD505-2E9C-101B-9397-08002B2CF9AE}" pid="4" name="KSOTemplateDocerSaveRecord">
    <vt:lpwstr>eyJoZGlkIjoiNGFlYWNhZjNkNTBjZDA1MTE5NGNiN2NjY2RmZGIwZTQiLCJ1c2VySWQiOiIxNjI1Mjg1OTYxIn0=</vt:lpwstr>
  </property>
</Properties>
</file>