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left"/>
        <w:widowControl/>
      </w:pPr>
      <w:r>
        <w:rPr>
          <w:rFonts w:ascii="Noto Sans CJK SC" w:hAnsi="Noto Sans CJK SC" w:eastAsia="Noto Sans CJK SC"/>
          <w:b/>
          <w:color w:val="A33131"/>
          <w:sz w:val="68"/>
        </w:rPr>
        <w:t>宏观经济学</w:t>
      </w:r>
    </w:p>
    <w:p>
      <w:pPr>
        <w:spacing w:after="240"/>
        <w:widowControl/>
      </w:pPr>
      <w:r>
        <w:rPr>
          <w:rFonts w:ascii="Noto Sans CJK SC" w:hAnsi="Noto Sans CJK SC" w:eastAsia="Noto Sans CJK SC"/>
          <w:b/>
          <w:color w:val="2F3337"/>
          <w:sz w:val="58"/>
        </w:rPr>
        <w:t>课程详细复习文档</w:t>
      </w:r>
    </w:p>
    <w:p>
      <w:pPr>
        <w:pStyle w:val="Lead"/>
        <w:spacing w:after="560"/>
        <w:widowControl/>
      </w:pPr>
      <w:r>
        <w:rPr>
          <w:rFonts w:ascii="Noto Serif CJK SC" w:hAnsi="Noto Serif CJK SC" w:eastAsia="Noto Serif CJK SC"/>
          <w:color w:val="6B6F73"/>
          <w:sz w:val="23"/>
        </w:rPr>
        <w:t>按课件逻辑重新编排 · 章节框架 / 核心公式 / 图形推理 / 易错点 / 自测题</w:t>
      </w:r>
    </w:p>
    <w:tbl>
      <w:tblPr>
        <w:tblW w:type="auto" w:w="0"/>
        <w:jc w:val="left"/>
        <w:tblLayout w:type="fixed"/>
        <w:tblLook w:firstColumn="1" w:firstRow="1" w:lastColumn="0" w:lastRow="0" w:noHBand="0" w:noVBand="1" w:val="04A0"/>
      </w:tblPr>
      <w:tblGrid>
        <w:gridCol w:w="4762"/>
        <w:gridCol w:w="4762"/>
      </w:tblGrid>
      <w:tr>
        <w:trPr>
          <w:tblHeader w:val="true"/>
          <w:cantSplit/>
        </w:trPr>
        <w:tc>
          <w:tcPr>
            <w:tcW w:type="dxa" w:w="1814"/>
            <w:shd w:fill="A33131"/>
            <w:tcBorders>
              <w:top w:val="single" w:sz="3" w:color="D8DADD"/>
              <w:left w:val="single" w:sz="3" w:color="D8DADD"/>
              <w:bottom w:val="single" w:sz="3" w:color="D8DADD"/>
              <w:right w:val="single" w:sz="3" w:color="D8DADD"/>
            </w:tcBorders>
            <w:vAlign w:val="center"/>
          </w:tcPr>
          <w:p>
            <w:pPr>
              <w:ind w:firstLine="0"/>
              <w:jc w:val="center"/>
            </w:pPr>
            <w:r>
              <w:rPr>
                <w:rFonts w:ascii="Noto Sans CJK SC" w:hAnsi="Noto Sans CJK SC" w:eastAsia="Noto Sans CJK SC"/>
                <w:b/>
                <w:color w:val="FFFFFF"/>
                <w:sz w:val="19"/>
              </w:rPr>
              <w:t>适用范围</w:t>
            </w:r>
          </w:p>
        </w:tc>
        <w:tc>
          <w:tcPr>
            <w:tcW w:type="dxa" w:w="7087"/>
            <w:shd w:fill="FAFAFA"/>
            <w:tcBorders>
              <w:top w:val="single" w:sz="3" w:color="D8DADD"/>
              <w:left w:val="single" w:sz="3" w:color="D8DADD"/>
              <w:bottom w:val="single" w:sz="3" w:color="D8DADD"/>
              <w:right w:val="single" w:sz="3" w:color="D8DADD"/>
            </w:tcBorders>
            <w:vAlign w:val="center"/>
          </w:tcPr>
          <w:p>
            <w:pPr>
              <w:ind w:firstLine="0"/>
            </w:pPr>
            <w:r>
              <w:rPr>
                <w:rFonts w:ascii="Noto Serif CJK SC" w:hAnsi="Noto Serif CJK SC" w:eastAsia="Noto Serif CJK SC"/>
                <w:color w:val="2F3337"/>
                <w:sz w:val="19"/>
              </w:rPr>
              <w:t>宏观经济学期末复习、闭卷考试与简答/计算题准备</w:t>
            </w:r>
          </w:p>
        </w:tc>
      </w:tr>
      <w:tr>
        <w:trPr>
          <w:cantSplit/>
        </w:trPr>
        <w:tc>
          <w:tcPr>
            <w:tcW w:type="dxa" w:w="1814"/>
            <w:shd w:fill="A33131"/>
            <w:tcBorders>
              <w:top w:val="single" w:sz="3" w:color="D8DADD"/>
              <w:left w:val="single" w:sz="3" w:color="D8DADD"/>
              <w:bottom w:val="single" w:sz="3" w:color="D8DADD"/>
              <w:right w:val="single" w:sz="3" w:color="D8DADD"/>
            </w:tcBorders>
            <w:vAlign w:val="center"/>
          </w:tcPr>
          <w:p>
            <w:pPr>
              <w:ind w:firstLine="0"/>
              <w:jc w:val="center"/>
            </w:pPr>
            <w:r>
              <w:rPr>
                <w:rFonts w:ascii="Noto Sans CJK SC" w:hAnsi="Noto Sans CJK SC" w:eastAsia="Noto Sans CJK SC"/>
                <w:b/>
                <w:color w:val="FFFFFF"/>
                <w:sz w:val="19"/>
              </w:rPr>
              <w:t>课件完整性</w:t>
            </w:r>
          </w:p>
        </w:tc>
        <w:tc>
          <w:tcPr>
            <w:tcW w:type="dxa" w:w="7087"/>
            <w:shd w:fill="FAFAFA"/>
            <w:tcBorders>
              <w:top w:val="single" w:sz="3" w:color="D8DADD"/>
              <w:left w:val="single" w:sz="3" w:color="D8DADD"/>
              <w:bottom w:val="single" w:sz="3" w:color="D8DADD"/>
              <w:right w:val="single" w:sz="3" w:color="D8DADD"/>
            </w:tcBorders>
            <w:vAlign w:val="center"/>
          </w:tcPr>
          <w:p>
            <w:pPr>
              <w:ind w:firstLine="0"/>
            </w:pPr>
            <w:r>
              <w:rPr>
                <w:rFonts w:ascii="Noto Serif CJK SC" w:hAnsi="Noto Serif CJK SC" w:eastAsia="Noto Serif CJK SC"/>
                <w:color w:val="2F3337"/>
                <w:sz w:val="19"/>
              </w:rPr>
              <w:t>八个正式章节主体内容基本完整；未发现独立“导论”课件</w:t>
            </w:r>
          </w:p>
        </w:tc>
      </w:tr>
      <w:tr>
        <w:trPr>
          <w:cantSplit/>
        </w:trPr>
        <w:tc>
          <w:tcPr>
            <w:tcW w:type="dxa" w:w="1814"/>
            <w:shd w:fill="A33131"/>
            <w:tcBorders>
              <w:top w:val="single" w:sz="3" w:color="D8DADD"/>
              <w:left w:val="single" w:sz="3" w:color="D8DADD"/>
              <w:bottom w:val="single" w:sz="3" w:color="D8DADD"/>
              <w:right w:val="single" w:sz="3" w:color="D8DADD"/>
            </w:tcBorders>
            <w:vAlign w:val="center"/>
          </w:tcPr>
          <w:p>
            <w:pPr>
              <w:ind w:firstLine="0"/>
              <w:jc w:val="center"/>
            </w:pPr>
            <w:r>
              <w:rPr>
                <w:rFonts w:ascii="Noto Sans CJK SC" w:hAnsi="Noto Sans CJK SC" w:eastAsia="Noto Sans CJK SC"/>
                <w:b/>
                <w:color w:val="FFFFFF"/>
                <w:sz w:val="19"/>
              </w:rPr>
              <w:t>正确章节顺序</w:t>
            </w:r>
          </w:p>
        </w:tc>
        <w:tc>
          <w:tcPr>
            <w:tcW w:type="dxa" w:w="7087"/>
            <w:shd w:fill="FAFAFA"/>
            <w:tcBorders>
              <w:top w:val="single" w:sz="3" w:color="D8DADD"/>
              <w:left w:val="single" w:sz="3" w:color="D8DADD"/>
              <w:bottom w:val="single" w:sz="3" w:color="D8DADD"/>
              <w:right w:val="single" w:sz="3" w:color="D8DADD"/>
            </w:tcBorders>
            <w:vAlign w:val="center"/>
          </w:tcPr>
          <w:p>
            <w:pPr>
              <w:ind w:firstLine="0"/>
            </w:pPr>
            <w:r>
              <w:rPr>
                <w:rFonts w:ascii="Noto Serif CJK SC" w:hAnsi="Noto Serif CJK SC" w:eastAsia="Noto Serif CJK SC"/>
                <w:color w:val="2F3337"/>
                <w:sz w:val="19"/>
              </w:rPr>
              <w:t>指标核算 → 收入—支出 → IS-LM → AD-AS → 失业通胀周期 → 宏观政策 → 开放经济 → 经济增长</w:t>
            </w:r>
          </w:p>
        </w:tc>
      </w:tr>
      <w:tr>
        <w:trPr>
          <w:cantSplit/>
        </w:trPr>
        <w:tc>
          <w:tcPr>
            <w:tcW w:type="dxa" w:w="1814"/>
            <w:shd w:fill="A33131"/>
            <w:tcBorders>
              <w:top w:val="single" w:sz="3" w:color="D8DADD"/>
              <w:left w:val="single" w:sz="3" w:color="D8DADD"/>
              <w:bottom w:val="single" w:sz="3" w:color="D8DADD"/>
              <w:right w:val="single" w:sz="3" w:color="D8DADD"/>
            </w:tcBorders>
            <w:vAlign w:val="center"/>
          </w:tcPr>
          <w:p>
            <w:pPr>
              <w:ind w:firstLine="0"/>
              <w:jc w:val="center"/>
            </w:pPr>
            <w:r>
              <w:rPr>
                <w:rFonts w:ascii="Noto Sans CJK SC" w:hAnsi="Noto Sans CJK SC" w:eastAsia="Noto Sans CJK SC"/>
                <w:b/>
                <w:color w:val="FFFFFF"/>
                <w:sz w:val="19"/>
              </w:rPr>
              <w:t>使用建议</w:t>
            </w:r>
          </w:p>
        </w:tc>
        <w:tc>
          <w:tcPr>
            <w:tcW w:type="dxa" w:w="7087"/>
            <w:shd w:fill="FAFAFA"/>
            <w:tcBorders>
              <w:top w:val="single" w:sz="3" w:color="D8DADD"/>
              <w:left w:val="single" w:sz="3" w:color="D8DADD"/>
              <w:bottom w:val="single" w:sz="3" w:color="D8DADD"/>
              <w:right w:val="single" w:sz="3" w:color="D8DADD"/>
            </w:tcBorders>
            <w:vAlign w:val="center"/>
          </w:tcPr>
          <w:p>
            <w:pPr>
              <w:ind w:firstLine="0"/>
            </w:pPr>
            <w:r>
              <w:rPr>
                <w:rFonts w:ascii="Noto Serif CJK SC" w:hAnsi="Noto Serif CJK SC" w:eastAsia="Noto Serif CJK SC"/>
                <w:color w:val="2F3337"/>
                <w:sz w:val="19"/>
              </w:rPr>
              <w:t>先看每章主线，再掌握公式和图形，最后用自测题检验是否能独立表达</w:t>
            </w:r>
          </w:p>
        </w:tc>
      </w:tr>
    </w:tbl>
    <w:p>
      <w:pPr>
        <w:spacing w:before="2100"/>
        <w:widowControl/>
      </w:pPr>
      <w:r>
        <w:rPr>
          <w:rFonts w:ascii="Noto Serif CJK SC" w:hAnsi="Noto Serif CJK SC" w:eastAsia="Noto Serif CJK SC"/>
          <w:color w:val="6B6F73"/>
          <w:sz w:val="18"/>
        </w:rPr>
        <w:t>整理说明：本文件以所上传的10份课件为依据，将错置的第五章调整至第六章之前，并补充必要的逻辑衔接。</w:t>
      </w:r>
    </w:p>
    <w:p>
      <w:pPr>
        <w:widowControl/>
      </w:pPr>
      <w:r>
        <w:br w:type="page"/>
      </w:r>
    </w:p>
    <w:p>
      <w:pPr>
        <w:pStyle w:val="Heading1"/>
        <w:widowControl/>
      </w:pPr>
      <w:r>
        <w:t>使用说明与课程结构</w:t>
      </w:r>
    </w:p>
    <w:p>
      <w:pPr>
        <w:pStyle w:val="Lead"/>
        <w:ind w:firstLine="0"/>
        <w:widowControl/>
      </w:pPr>
      <w:r>
        <w:rPr>
          <w:rFonts w:ascii="Noto Serif CJK SC" w:hAnsi="Noto Serif CJK SC" w:eastAsia="Noto Serif CJK SC"/>
        </w:rPr>
        <w:t>这份复习文档不是简单抄录课件，而是把宏观经济学中相互依赖的模型按照“核算—短期均衡—政策—开放经济—长期增长”的逻辑重新组织。复习时要特别重视变量之间的因果链，而不是只背结论。</w:t>
      </w:r>
    </w:p>
    <w:p>
      <w:pPr>
        <w:pStyle w:val="Heading2"/>
        <w:widowControl/>
      </w:pPr>
      <w:r>
        <w:t>一、课件连贯性结论</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正式内容覆盖第一章至第八章，主体知识链条完整。</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没有发现独立的“导论”课件，因此研究对象、宏观目标、短期与长期的区分需要在复习时自行补上。</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第五章“失业、通货膨胀和经济周期”被放在最后一份课件后部；正确顺序应当是第四章AD-AS之后、宏观政策之前。</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个别页面存在图片显示问题，但前后页面内容重复或连续，不构成实质知识缺口。</w:t>
      </w:r>
    </w:p>
    <w:p>
      <w:pPr>
        <w:pStyle w:val="Heading2"/>
        <w:widowControl/>
      </w:pPr>
      <w:r>
        <w:t>二、全课程总逻辑</w:t>
      </w:r>
    </w:p>
    <w:tbl>
      <w:tblPr>
        <w:tblW w:type="auto" w:w="0"/>
        <w:jc w:val="center"/>
        <w:tblLayout w:type="fixed"/>
        <w:tblLook w:firstColumn="1" w:firstRow="1" w:lastColumn="0" w:lastRow="0" w:noHBand="0" w:noVBand="1" w:val="04A0"/>
      </w:tblPr>
      <w:tblGrid>
        <w:gridCol w:w="1757"/>
        <w:gridCol w:w="2608"/>
        <w:gridCol w:w="2494"/>
        <w:gridCol w:w="2041"/>
      </w:tblGrid>
      <w:tr>
        <w:trPr>
          <w:tblHeader w:val="true"/>
          <w:cantSplit/>
        </w:trPr>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模块</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解决的问题</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核心工具</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常见题型</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第一章 宏观指标</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经济运行如何被测量？</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GDP、CPI、失业率、国民收入账户</w:t>
            </w:r>
          </w:p>
        </w:tc>
        <w:tc>
          <w:tcPr>
            <w:tcW w:type="dxa" w:w="204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概念辨析、核算计算</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第二章 收入—支出</w:t>
            </w:r>
          </w:p>
        </w:tc>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总需求不足时，均衡产出如何决定？</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凯恩斯交叉、消费函数、乘数</w:t>
            </w:r>
          </w:p>
        </w:tc>
        <w:tc>
          <w:tcPr>
            <w:tcW w:type="dxa" w:w="204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均衡收入与乘数计算</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第三章 IS-LM</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产品市场和货币市场怎样同时均衡？</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IS、LM、流动性偏好</w:t>
            </w:r>
          </w:p>
        </w:tc>
        <w:tc>
          <w:tcPr>
            <w:tcW w:type="dxa" w:w="204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曲线移动、政策比较</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第四章 AD-AS</w:t>
            </w:r>
          </w:p>
        </w:tc>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价格水平加入后，产出和物价如何共同决定？</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AD、SRAS、LRAS</w:t>
            </w:r>
          </w:p>
        </w:tc>
        <w:tc>
          <w:tcPr>
            <w:tcW w:type="dxa" w:w="204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冲击分析、短期与长期调整</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第五章 失业通胀周期</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宏观波动表现为什么？</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奥肯定律、菲利普斯曲线、周期</w:t>
            </w:r>
          </w:p>
        </w:tc>
        <w:tc>
          <w:tcPr>
            <w:tcW w:type="dxa" w:w="204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机制解释、政策权衡</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第六章 宏观政策</w:t>
            </w:r>
          </w:p>
        </w:tc>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政府和央行如何稳定经济？</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财政政策、货币政策、政策组合</w:t>
            </w:r>
          </w:p>
        </w:tc>
        <w:tc>
          <w:tcPr>
            <w:tcW w:type="dxa" w:w="204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政策效果、局限与时滞</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第七章 开放经济</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汇率和资本流动如何改变政策效果？</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IS-LM-BP、蒙代尔—弗莱明</w:t>
            </w:r>
          </w:p>
        </w:tc>
        <w:tc>
          <w:tcPr>
            <w:tcW w:type="dxa" w:w="204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固定/浮动汇率比较</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第八章 经济增长</w:t>
            </w:r>
          </w:p>
        </w:tc>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长期生活水平为什么提高？</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索洛模型、增长核算、内生增长</w:t>
            </w:r>
          </w:p>
        </w:tc>
        <w:tc>
          <w:tcPr>
            <w:tcW w:type="dxa" w:w="204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稳态、黄金律、政策分析</w:t>
            </w:r>
          </w:p>
        </w:tc>
      </w:tr>
    </w:tbl>
    <w:p>
      <w:pPr>
        <w:spacing w:after="0"/>
        <w:widowControl/>
      </w:pPr>
    </w:p>
    <w:p>
      <w:pPr>
        <w:pStyle w:val="Heading2"/>
        <w:widowControl/>
      </w:pPr>
      <w:r>
        <w:t>三、答题的统一思路</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计算题：先写行为方程，再写市场均衡条件，最后代入求解；不要直接套公式而不说明变量。</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图形题：明确坐标轴、原曲线、移动方向、移动原因、短期结果和长期结果。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简答题：按“定义—机制—条件—局限”组织，至少给出一条因果链。</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政策题：先判断经济处于衰退还是过热，再判断曲线如何移动，最后说明利率、产出、价格与挤出效应。</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3F4F5"/>
            <w:tcBorders>
              <w:top w:val="nil"/>
              <w:left w:val="single" w:sz="18" w:color="2F3337"/>
              <w:bottom w:val="nil"/>
              <w:right w:val="nil"/>
            </w:tcBorders>
          </w:tcPr>
          <w:p>
            <w:pPr>
              <w:spacing w:before="80" w:after="40"/>
              <w:ind w:firstLine="0"/>
            </w:pPr>
            <w:r>
              <w:rPr>
                <w:rFonts w:ascii="Noto Sans CJK SC" w:hAnsi="Noto Sans CJK SC" w:eastAsia="Noto Sans CJK SC"/>
                <w:b/>
                <w:color w:val="2F3337"/>
                <w:sz w:val="20"/>
              </w:rPr>
              <w:t xml:space="preserve">符号约定  </w:t>
            </w:r>
            <w:r>
              <w:rPr>
                <w:rFonts w:ascii="Noto Serif CJK SC" w:hAnsi="Noto Serif CJK SC" w:eastAsia="Noto Serif CJK SC"/>
                <w:color w:val="2F3337"/>
                <w:sz w:val="19"/>
              </w:rPr>
              <w:t>Y为实际产出或收入，C为消费，I为投资，G为政府购买，T为税收，TR为转移支付，NX为净出口，r为利率，P为价格水平，M为名义货币供给，b为边际消费倾向，t为比例税率，m为边际进口倾向。</w:t>
            </w:r>
          </w:p>
        </w:tc>
      </w:tr>
    </w:tbl>
    <w:p>
      <w:pPr>
        <w:spacing w:after="0"/>
        <w:widowControl/>
      </w:pPr>
    </w:p>
    <w:p>
      <w:pPr>
        <w:keepNext/>
        <w:spacing w:before="1600" w:after="80"/>
        <w:jc w:val="left"/>
        <w:widowControl/>
      </w:pPr>
      <w:r>
        <w:rPr>
          <w:rFonts w:ascii="Noto Sans CJK SC" w:hAnsi="Noto Sans CJK SC" w:eastAsia="Noto Sans CJK SC"/>
          <w:b/>
          <w:color w:val="A33131"/>
          <w:sz w:val="28"/>
        </w:rPr>
        <w:t>第一章</w:t>
      </w:r>
    </w:p>
    <w:p>
      <w:pPr>
        <w:keepNext/>
        <w:spacing w:after="200"/>
        <w:widowControl/>
      </w:pPr>
      <w:r>
        <w:rPr>
          <w:rFonts w:ascii="Noto Sans CJK SC" w:hAnsi="Noto Sans CJK SC" w:eastAsia="Noto Sans CJK SC"/>
          <w:b/>
          <w:color w:val="2F3337"/>
          <w:sz w:val="50"/>
        </w:rPr>
        <w:t>宏观经济的基本指标及其衡量</w:t>
      </w:r>
    </w:p>
    <w:p>
      <w:pPr>
        <w:keepNext/>
        <w:spacing w:after="360"/>
        <w:widowControl/>
      </w:pPr>
      <w:r>
        <w:rPr>
          <w:rFonts w:ascii="Noto Serif CJK SC" w:hAnsi="Noto Serif CJK SC" w:eastAsia="Noto Serif CJK SC"/>
          <w:color w:val="6B6F73"/>
          <w:sz w:val="22"/>
        </w:rPr>
        <w:t>先回答“经济有多大、价格涨了多少、就业情况怎样”，再进入模型分析。</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GDP核算 → 国民收入账户 → 名义与实际变量 → 价格指数 → 就业与失业 → 指标局限</w:t>
            </w:r>
          </w:p>
        </w:tc>
      </w:tr>
    </w:tbl>
    <w:p>
      <w:pPr>
        <w:spacing w:after="0"/>
        <w:widowControl/>
      </w:pPr>
    </w:p>
    <w:p>
      <w:pPr>
        <w:pStyle w:val="Heading2"/>
        <w:widowControl/>
      </w:pPr>
      <w:r>
        <w:t>1.1 宏观经济学的基本研究对象</w:t>
      </w:r>
    </w:p>
    <w:p>
      <w:pPr>
        <w:widowControl/>
      </w:pPr>
      <w:r>
        <w:rPr>
          <w:rFonts w:ascii="Noto Serif CJK SC" w:hAnsi="Noto Serif CJK SC" w:eastAsia="Noto Serif CJK SC"/>
        </w:rPr>
        <w:t>宏观经济学研究整个经济的总量运行，核心问题包括总产出、就业、物价、经济周期、国际收支和长期增长。与微观经济学关注单个消费者或企业不同，宏观分析需要警惕“合成谬误”：对个人正确的行为，汇总到全社会后未必仍然正确。</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FF4E5"/>
            <w:tcBorders>
              <w:top w:val="nil"/>
              <w:left w:val="single" w:sz="18" w:color="9A6500"/>
              <w:bottom w:val="nil"/>
              <w:right w:val="nil"/>
            </w:tcBorders>
          </w:tcPr>
          <w:p>
            <w:pPr>
              <w:spacing w:before="80" w:after="40"/>
              <w:ind w:firstLine="0"/>
            </w:pPr>
            <w:r>
              <w:rPr>
                <w:rFonts w:ascii="Noto Sans CJK SC" w:hAnsi="Noto Sans CJK SC" w:eastAsia="Noto Sans CJK SC"/>
                <w:b/>
                <w:color w:val="9A6500"/>
                <w:sz w:val="20"/>
              </w:rPr>
              <w:t xml:space="preserve">补充导论  </w:t>
            </w:r>
            <w:r>
              <w:rPr>
                <w:rFonts w:ascii="Noto Serif CJK SC" w:hAnsi="Noto Serif CJK SC" w:eastAsia="Noto Serif CJK SC"/>
                <w:color w:val="2F3337"/>
                <w:sz w:val="19"/>
              </w:rPr>
              <w:t>课件中未发现独立导论。复习时应记住四个常见政策目标：充分就业、价格稳定、经济增长、国际收支平衡；还应始终区分短期波动问题与长期增长问题。</w:t>
            </w:r>
          </w:p>
        </w:tc>
      </w:tr>
    </w:tbl>
    <w:p>
      <w:pPr>
        <w:spacing w:after="0"/>
        <w:widowControl/>
      </w:pPr>
    </w:p>
    <w:p>
      <w:pPr>
        <w:pStyle w:val="Heading2"/>
        <w:widowControl/>
      </w:pPr>
      <w:r>
        <w:t>1.2 国内生产总值 GDP</w:t>
      </w:r>
    </w:p>
    <w:p>
      <w:pPr>
        <w:widowControl/>
      </w:pPr>
      <w:r>
        <w:rPr>
          <w:rFonts w:ascii="Noto Serif CJK SC" w:hAnsi="Noto Serif CJK SC" w:eastAsia="Noto Serif CJK SC"/>
        </w:rPr>
        <w:t>国内生产总值是一个国家或地区在一定时期内，运用境内生产要素生产的全部最终产品和服务的市场价值。定义中的每个限定都可能成为判断题考点。</w:t>
      </w:r>
    </w:p>
    <w:tbl>
      <w:tblPr>
        <w:tblW w:type="auto" w:w="0"/>
        <w:jc w:val="center"/>
        <w:tblLayout w:type="fixed"/>
        <w:tblLook w:firstColumn="1" w:firstRow="1" w:lastColumn="0" w:lastRow="0" w:noHBand="0" w:noVBand="1" w:val="04A0"/>
      </w:tblPr>
      <w:tblGrid>
        <w:gridCol w:w="1304"/>
        <w:gridCol w:w="3685"/>
        <w:gridCol w:w="3798"/>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关键词</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含义</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典型陷阱</w:t>
            </w:r>
          </w:p>
        </w:tc>
      </w:tr>
      <w:tr>
        <w:trPr>
          <w:cantSplit/>
        </w:trPr>
        <w:tc>
          <w:tcPr>
            <w:tcW w:type="dxa" w:w="130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一定时期</w:t>
            </w:r>
          </w:p>
        </w:tc>
        <w:tc>
          <w:tcPr>
            <w:tcW w:type="dxa" w:w="368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GDP是流量，通常按季度或年度统计</w:t>
            </w:r>
          </w:p>
        </w:tc>
        <w:tc>
          <w:tcPr>
            <w:tcW w:type="dxa" w:w="379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把某一时点的财富存量当成GDP</w:t>
            </w:r>
          </w:p>
        </w:tc>
      </w:tr>
      <w:tr>
        <w:trPr>
          <w:cantSplit/>
        </w:trPr>
        <w:tc>
          <w:tcPr>
            <w:tcW w:type="dxa" w:w="130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境内生产</w:t>
            </w:r>
          </w:p>
        </w:tc>
        <w:tc>
          <w:tcPr>
            <w:tcW w:type="dxa" w:w="368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采用属地原则，强调生产发生地</w:t>
            </w:r>
          </w:p>
        </w:tc>
        <w:tc>
          <w:tcPr>
            <w:tcW w:type="dxa" w:w="379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把本国居民在海外的生产自动计入本国GDP</w:t>
            </w:r>
          </w:p>
        </w:tc>
      </w:tr>
      <w:tr>
        <w:trPr>
          <w:cantSplit/>
        </w:trPr>
        <w:tc>
          <w:tcPr>
            <w:tcW w:type="dxa" w:w="130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最终产品</w:t>
            </w:r>
          </w:p>
        </w:tc>
        <w:tc>
          <w:tcPr>
            <w:tcW w:type="dxa" w:w="368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避免中间产品重复计算</w:t>
            </w:r>
          </w:p>
        </w:tc>
        <w:tc>
          <w:tcPr>
            <w:tcW w:type="dxa" w:w="379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既统计面粉又统计用该面粉制作的面包</w:t>
            </w:r>
          </w:p>
        </w:tc>
      </w:tr>
      <w:tr>
        <w:trPr>
          <w:cantSplit/>
        </w:trPr>
        <w:tc>
          <w:tcPr>
            <w:tcW w:type="dxa" w:w="130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市场价值</w:t>
            </w:r>
          </w:p>
        </w:tc>
        <w:tc>
          <w:tcPr>
            <w:tcW w:type="dxa" w:w="368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用市场价格加总不同产品</w:t>
            </w:r>
          </w:p>
        </w:tc>
        <w:tc>
          <w:tcPr>
            <w:tcW w:type="dxa" w:w="379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忽略无市场交易的家务劳动</w:t>
            </w:r>
          </w:p>
        </w:tc>
      </w:tr>
      <w:tr>
        <w:trPr>
          <w:cantSplit/>
        </w:trPr>
        <w:tc>
          <w:tcPr>
            <w:tcW w:type="dxa" w:w="130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当期生产</w:t>
            </w:r>
          </w:p>
        </w:tc>
        <w:tc>
          <w:tcPr>
            <w:tcW w:type="dxa" w:w="368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只计当期新增产出</w:t>
            </w:r>
          </w:p>
        </w:tc>
        <w:tc>
          <w:tcPr>
            <w:tcW w:type="dxa" w:w="379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二手房成交额本身再次计入GDP</w:t>
            </w:r>
          </w:p>
        </w:tc>
      </w:tr>
      <w:tr>
        <w:trPr>
          <w:cantSplit/>
        </w:trPr>
        <w:tc>
          <w:tcPr>
            <w:tcW w:type="dxa" w:w="130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产品和服务</w:t>
            </w:r>
          </w:p>
        </w:tc>
        <w:tc>
          <w:tcPr>
            <w:tcW w:type="dxa" w:w="368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既包括有形商品，也包括服务</w:t>
            </w:r>
          </w:p>
        </w:tc>
        <w:tc>
          <w:tcPr>
            <w:tcW w:type="dxa" w:w="379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只统计制造业产品</w:t>
            </w:r>
          </w:p>
        </w:tc>
      </w:tr>
    </w:tbl>
    <w:p>
      <w:pPr>
        <w:spacing w:after="0"/>
        <w:widowControl/>
      </w:pPr>
    </w:p>
    <w:p>
      <w:pPr>
        <w:widowControl/>
      </w:pPr>
      <w:r>
        <w:rPr>
          <w:rFonts w:ascii="Noto Serif CJK SC" w:hAnsi="Noto Serif CJK SC" w:eastAsia="Noto Serif CJK SC"/>
        </w:rPr>
        <w:t>二手交易本身不创造当期产出，但经纪服务费属于当期服务；股票和债券买卖属于资产交易，不计入GDP，但证券服务费可以计入；政府转移支付不是政府购买，因为它没有对应当期产品或服务。</w:t>
      </w:r>
    </w:p>
    <w:p>
      <w:pPr>
        <w:pStyle w:val="Heading2"/>
        <w:widowControl/>
      </w:pPr>
      <w:r>
        <w:t>1.3 GDP的三种核算方法</w:t>
      </w:r>
    </w:p>
    <w:p>
      <w:pPr>
        <w:pStyle w:val="Heading3"/>
        <w:widowControl/>
      </w:pPr>
      <w:r>
        <w:t>（一）支出法</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Y = C + I + G + NX = C + I + G + (X − M)</w:t>
            </w:r>
          </w:p>
          <w:p>
            <w:pPr>
              <w:spacing w:after="80"/>
              <w:jc w:val="center"/>
            </w:pPr>
            <w:r>
              <w:rPr>
                <w:rFonts w:ascii="Noto Serif CJK SC" w:hAnsi="Noto Serif CJK SC" w:eastAsia="Noto Serif CJK SC"/>
                <w:color w:val="6B6F73"/>
                <w:sz w:val="18"/>
              </w:rPr>
              <w:t>从最终产品的购买者角度统计总支出。</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消费 C：居民对耐用品、非耐用品和服务的支出；新建住宅通常计入投资而不是消费。</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投资 I：固定资产投资、住宅投资和存货投资。宏观经济学中的投资不等于购买股票债券。</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政府购买 G：政府对产品和服务的购买，不包括养老金、补贴等转移支付。</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净出口 NX：出口减进口。进口要扣除，是因为进口品可能已包含在C、I或G中，但不是国内生产。</w:t>
      </w:r>
    </w:p>
    <w:p>
      <w:pPr>
        <w:pStyle w:val="Heading3"/>
        <w:widowControl/>
      </w:pPr>
      <w:r>
        <w:t>（二）收入法</w:t>
      </w:r>
    </w:p>
    <w:p>
      <w:pPr>
        <w:widowControl/>
      </w:pPr>
      <w:r>
        <w:rPr>
          <w:rFonts w:ascii="Noto Serif CJK SC" w:hAnsi="Noto Serif CJK SC" w:eastAsia="Noto Serif CJK SC"/>
        </w:rPr>
        <w:t>收入法从生产要素获得的收入出发，将工资、利息、租金、利润等加总，并进行折旧、间接税等必要调整。其逻辑是：某人的支出会成为另一人的收入，生产创造的价值最终分配给要素所有者。</w:t>
      </w:r>
    </w:p>
    <w:p>
      <w:pPr>
        <w:pStyle w:val="Heading3"/>
        <w:widowControl/>
      </w:pPr>
      <w:r>
        <w:t>（三）生产法（增加值法）</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增加值 = 企业产出价值 − 中间投入价值</w:t>
            </w:r>
          </w:p>
          <w:p>
            <w:pPr>
              <w:spacing w:after="80"/>
              <w:jc w:val="center"/>
            </w:pPr>
            <w:r>
              <w:rPr>
                <w:rFonts w:ascii="Noto Serif CJK SC" w:hAnsi="Noto Serif CJK SC" w:eastAsia="Noto Serif CJK SC"/>
                <w:color w:val="6B6F73"/>
                <w:sz w:val="18"/>
              </w:rPr>
              <w:t>所有生产单位增加值之和等于最终产品价值。</w:t>
            </w:r>
          </w:p>
        </w:tc>
      </w:tr>
    </w:tbl>
    <w:p>
      <w:pPr>
        <w:spacing w:after="0"/>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三种方法为什么相等  </w:t>
            </w:r>
            <w:r>
              <w:rPr>
                <w:rFonts w:ascii="Noto Serif CJK SC" w:hAnsi="Noto Serif CJK SC" w:eastAsia="Noto Serif CJK SC"/>
                <w:color w:val="2F3337"/>
                <w:sz w:val="19"/>
              </w:rPr>
              <w:t>同一笔经济活动可以从“生产了多少”“购买了多少”“形成了多少收入”三个角度观察。理论上三者相等；实际统计中会出现统计误差。</w:t>
            </w:r>
          </w:p>
        </w:tc>
      </w:tr>
    </w:tbl>
    <w:p>
      <w:pPr>
        <w:spacing w:after="0"/>
        <w:widowControl/>
      </w:pPr>
    </w:p>
    <w:p>
      <w:pPr>
        <w:pStyle w:val="Heading2"/>
        <w:widowControl/>
      </w:pPr>
      <w:r>
        <w:t>1.4 国民收入账户的指标转换</w:t>
      </w:r>
    </w:p>
    <w:p>
      <w:pPr>
        <w:widowControl/>
      </w:pPr>
      <w:r>
        <w:rPr>
          <w:rFonts w:ascii="Noto Serif CJK SC" w:hAnsi="Noto Serif CJK SC" w:eastAsia="Noto Serif CJK SC"/>
        </w:rPr>
        <w:t>总量指标的转换可以沿两条线理解：一条是从“国内”转向“国民”，另一条是从“总额”扣除折旧转向“净额”。之后再从国民收入转换到个人实际可支配的收入。</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GNP（或GNI） = GDP + 来自国外的要素净收入</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NDP = GDP − 折旧；NNP = GNP − 折旧</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PI = NI − 公司未分配利润 − 公司所得税 − 社会保险缴款 + 转移支付</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DPI = PI − 个人所得税</w:t>
            </w:r>
          </w:p>
          <w:p>
            <w:pPr>
              <w:spacing w:after="80"/>
              <w:jc w:val="center"/>
            </w:pPr>
            <w:r>
              <w:rPr>
                <w:rFonts w:ascii="Noto Serif CJK SC" w:hAnsi="Noto Serif CJK SC" w:eastAsia="Noto Serif CJK SC"/>
                <w:color w:val="6B6F73"/>
                <w:sz w:val="18"/>
              </w:rPr>
              <w:t>居民可支配收入用于消费或储蓄：DPI = C + S。</w:t>
            </w:r>
          </w:p>
        </w:tc>
      </w:tr>
    </w:tbl>
    <w:p>
      <w:pPr>
        <w:spacing w:after="0"/>
        <w:widowControl/>
      </w:pPr>
    </w:p>
    <w:tbl>
      <w:tblPr>
        <w:tblW w:type="auto" w:w="0"/>
        <w:jc w:val="center"/>
        <w:tblLayout w:type="fixed"/>
        <w:tblLook w:firstColumn="1" w:firstRow="1" w:lastColumn="0" w:lastRow="0" w:noHBand="0" w:noVBand="1" w:val="04A0"/>
      </w:tblPr>
      <w:tblGrid>
        <w:gridCol w:w="1417"/>
        <w:gridCol w:w="3969"/>
        <w:gridCol w:w="3402"/>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指标</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回答的问题</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复习抓手</w:t>
            </w:r>
          </w:p>
        </w:tc>
      </w:tr>
      <w:tr>
        <w:trPr>
          <w:cantSplit/>
        </w:trPr>
        <w:tc>
          <w:tcPr>
            <w:tcW w:type="dxa" w:w="141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GDP</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境内生产了多少？</w:t>
            </w:r>
          </w:p>
        </w:tc>
        <w:tc>
          <w:tcPr>
            <w:tcW w:type="dxa" w:w="340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属地原则</w:t>
            </w:r>
          </w:p>
        </w:tc>
      </w:tr>
      <w:tr>
        <w:trPr>
          <w:cantSplit/>
        </w:trPr>
        <w:tc>
          <w:tcPr>
            <w:tcW w:type="dxa" w:w="141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GNP/GNI</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本国居民获得了多少生产收入？</w:t>
            </w:r>
          </w:p>
        </w:tc>
        <w:tc>
          <w:tcPr>
            <w:tcW w:type="dxa" w:w="340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国民原则</w:t>
            </w:r>
          </w:p>
        </w:tc>
      </w:tr>
      <w:tr>
        <w:trPr>
          <w:cantSplit/>
        </w:trPr>
        <w:tc>
          <w:tcPr>
            <w:tcW w:type="dxa" w:w="141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NDP/NNP</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扣除资本耗损后净新增多少？</w:t>
            </w:r>
          </w:p>
        </w:tc>
        <w:tc>
          <w:tcPr>
            <w:tcW w:type="dxa" w:w="340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总额减折旧</w:t>
            </w:r>
          </w:p>
        </w:tc>
      </w:tr>
      <w:tr>
        <w:trPr>
          <w:cantSplit/>
        </w:trPr>
        <w:tc>
          <w:tcPr>
            <w:tcW w:type="dxa" w:w="141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NI</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生产要素获得多少收入？</w:t>
            </w:r>
          </w:p>
        </w:tc>
        <w:tc>
          <w:tcPr>
            <w:tcW w:type="dxa" w:w="340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工资、利息、租金、利润</w:t>
            </w:r>
          </w:p>
        </w:tc>
      </w:tr>
      <w:tr>
        <w:trPr>
          <w:cantSplit/>
        </w:trPr>
        <w:tc>
          <w:tcPr>
            <w:tcW w:type="dxa" w:w="141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PI</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个人实际获得多少收入？</w:t>
            </w:r>
          </w:p>
        </w:tc>
        <w:tc>
          <w:tcPr>
            <w:tcW w:type="dxa" w:w="340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减企业留存和缴款，加转移支付</w:t>
            </w:r>
          </w:p>
        </w:tc>
      </w:tr>
      <w:tr>
        <w:trPr>
          <w:cantSplit/>
        </w:trPr>
        <w:tc>
          <w:tcPr>
            <w:tcW w:type="dxa" w:w="141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DPI</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个人可自由支配多少？</w:t>
            </w:r>
          </w:p>
        </w:tc>
        <w:tc>
          <w:tcPr>
            <w:tcW w:type="dxa" w:w="340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减个人所得税</w:t>
            </w:r>
          </w:p>
        </w:tc>
      </w:tr>
    </w:tbl>
    <w:p>
      <w:pPr>
        <w:spacing w:after="0"/>
        <w:widowControl/>
      </w:pPr>
    </w:p>
    <w:p>
      <w:pPr>
        <w:pStyle w:val="Heading2"/>
        <w:widowControl/>
      </w:pPr>
      <w:r>
        <w:t>1.5 名义GDP、实际GDP与GDP平减指数</w:t>
      </w:r>
    </w:p>
    <w:p>
      <w:pPr>
        <w:widowControl/>
      </w:pPr>
      <w:r>
        <w:rPr>
          <w:rFonts w:ascii="Noto Serif CJK SC" w:hAnsi="Noto Serif CJK SC" w:eastAsia="Noto Serif CJK SC"/>
        </w:rPr>
        <w:t>名义GDP用当期价格计算，因此同时受产量变化和价格变化影响；实际GDP用基期价格计算，主要反映产量变化。衡量经济增长时应使用实际GDP，衡量平均生活水平时通常使用人均实际GDP。</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GDP平减指数 = 名义GDP ÷ 实际GDP × 100</w:t>
            </w:r>
          </w:p>
        </w:tc>
      </w:tr>
    </w:tbl>
    <w:p>
      <w:pPr>
        <w:spacing w:after="0"/>
        <w:widowControl/>
      </w:pPr>
    </w:p>
    <w:p>
      <w:pPr>
        <w:widowControl/>
      </w:pPr>
      <w:r>
        <w:rPr>
          <w:rFonts w:ascii="Noto Serif CJK SC" w:hAnsi="Noto Serif CJK SC" w:eastAsia="Noto Serif CJK SC"/>
        </w:rPr>
        <w:t>若名义GDP增长10%，价格水平增长6%，实际产出增长率大约为4%。在增长率较小时，可使用“名义增长率 ≈ 实际增长率 + 通胀率”的近似关系。</w:t>
      </w:r>
    </w:p>
    <w:p>
      <w:pPr>
        <w:pStyle w:val="Heading2"/>
        <w:widowControl/>
      </w:pPr>
      <w:r>
        <w:t>1.6 CPI、通货膨胀率与购买力</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CPI = 当期固定消费篮子成本 ÷ 基期同一篮子成本 × 100</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通货膨胀率 π = (CPIₜ − CPIₜ₋₁) ÷ CPIₜ₋₁ × 100%</w:t>
            </w:r>
          </w:p>
        </w:tc>
      </w:tr>
    </w:tbl>
    <w:p>
      <w:pPr>
        <w:spacing w:after="0"/>
        <w:widowControl/>
      </w:pPr>
    </w:p>
    <w:tbl>
      <w:tblPr>
        <w:tblW w:type="auto" w:w="0"/>
        <w:jc w:val="center"/>
        <w:tblLayout w:type="fixed"/>
        <w:tblLook w:firstColumn="1" w:firstRow="1" w:lastColumn="0" w:lastRow="0" w:noHBand="0" w:noVBand="1" w:val="04A0"/>
      </w:tblPr>
      <w:tblGrid>
        <w:gridCol w:w="1757"/>
        <w:gridCol w:w="3515"/>
        <w:gridCol w:w="3515"/>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比较项</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CPI</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GDP平减指数</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覆盖范围</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典型居民购买的消费品和服务</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国内生产的全部最终产品和服务</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进口品</w:t>
            </w:r>
          </w:p>
        </w:tc>
        <w:tc>
          <w:tcPr>
            <w:tcW w:type="dxa" w:w="351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可能包括</w:t>
            </w:r>
          </w:p>
        </w:tc>
        <w:tc>
          <w:tcPr>
            <w:tcW w:type="dxa" w:w="351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不包括</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权重</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固定或较慢调整的消费篮子</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随当期产出结构变化</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主要用途</w:t>
            </w:r>
          </w:p>
        </w:tc>
        <w:tc>
          <w:tcPr>
            <w:tcW w:type="dxa" w:w="351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衡量生活成本变化</w:t>
            </w:r>
          </w:p>
        </w:tc>
        <w:tc>
          <w:tcPr>
            <w:tcW w:type="dxa" w:w="351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衡量国内产出价格水平</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CPI可能存在替代偏差：价格上涨后消费者会转向替代品，但固定篮子不能及时反映。</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新产品和质量改进难以完全衡量，可能造成生活成本变化估计偏差。</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购买力平价PPP通过比较一篮子商品的购买力换算不同国家货币，更适合国际生活水平比较，但并非市场汇率。</w:t>
      </w:r>
    </w:p>
    <w:p>
      <w:pPr>
        <w:pStyle w:val="Heading2"/>
        <w:widowControl/>
      </w:pPr>
      <w:r>
        <w:t>1.7 就业、失业与劳动参与率</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劳动力 = 就业人口 + 失业人口</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失业率 = 失业人口 ÷ 劳动力 × 100%</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劳动参与率 = 劳动力 ÷ 劳动年龄人口 × 100%</w:t>
            </w:r>
          </w:p>
        </w:tc>
      </w:tr>
    </w:tbl>
    <w:p>
      <w:pPr>
        <w:spacing w:after="0"/>
        <w:widowControl/>
      </w:pPr>
    </w:p>
    <w:p>
      <w:pPr>
        <w:widowControl/>
      </w:pPr>
      <w:r>
        <w:rPr>
          <w:rFonts w:ascii="Noto Serif CJK SC" w:hAnsi="Noto Serif CJK SC" w:eastAsia="Noto Serif CJK SC"/>
        </w:rPr>
        <w:t>失业者必须同时满足“没有工作、愿意工作、正在寻找工作”等条件。停止求职的灰心失业者通常被归入非劳动力人口，因此失业率下降不一定意味着就业状况改善，还要结合就业率和劳动参与率判断。</w:t>
      </w:r>
    </w:p>
    <w:p>
      <w:pPr>
        <w:pStyle w:val="Heading2"/>
        <w:widowControl/>
      </w:pPr>
      <w:r>
        <w:t>1.8 GDP的局限</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GDP不直接反映收入分配；总量上升可能伴随贫富差距扩大。</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非市场活动、地下经济和家庭劳动通常未被完整统计。</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污染治理支出可能提高GDP，但环境损害本身未被扣除。</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GDP不直接衡量闲暇、健康、安全感和主观幸福。</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人均GDP仍然只是平均数，跨国比较还要考虑价格水平、人口结构和制度差异。</w:t>
      </w: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能够判断某项交易是否计入当期GDP，并说明计入C、I、G还是NX。</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能够在GDP、GNP、NDP、NI、PI、DPI之间完成转换。</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能够用名义GDP、实际GDP、平减指数和CPI计算价格或产量变化。</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能够解释为什么失业率下降不一定代表劳动力市场改善。</w:t>
      </w:r>
    </w:p>
    <w:p>
      <w:pPr>
        <w:pStyle w:val="Heading2"/>
        <w:widowControl/>
      </w:pPr>
      <w:r>
        <w:t>自测题</w:t>
      </w:r>
    </w:p>
    <w:p>
      <w:pPr>
        <w:pStyle w:val="Compact"/>
        <w:ind w:firstLine="0"/>
        <w:widowControl/>
      </w:pPr>
      <w:r>
        <w:rPr>
          <w:rFonts w:ascii="Noto Serif CJK SC" w:hAnsi="Noto Serif CJK SC" w:eastAsia="Noto Serif CJK SC"/>
          <w:sz w:val="19"/>
        </w:rPr>
        <w:t>1. 居民购买一套二手房，房款是否计入当年GDP？中介费是否计入？</w:t>
      </w:r>
    </w:p>
    <w:p>
      <w:pPr>
        <w:pStyle w:val="Compact"/>
        <w:ind w:firstLine="0"/>
        <w:widowControl/>
      </w:pPr>
      <w:r>
        <w:rPr>
          <w:rFonts w:ascii="Noto Serif CJK SC" w:hAnsi="Noto Serif CJK SC" w:eastAsia="Noto Serif CJK SC"/>
          <w:sz w:val="19"/>
        </w:rPr>
        <w:t>2. 为什么政府向失业者发放补助不计入G？</w:t>
      </w:r>
    </w:p>
    <w:p>
      <w:pPr>
        <w:pStyle w:val="Compact"/>
        <w:ind w:firstLine="0"/>
        <w:widowControl/>
      </w:pPr>
      <w:r>
        <w:rPr>
          <w:rFonts w:ascii="Noto Serif CJK SC" w:hAnsi="Noto Serif CJK SC" w:eastAsia="Noto Serif CJK SC"/>
          <w:sz w:val="19"/>
        </w:rPr>
        <w:t>3. 名义GDP上升是否一定说明实际产出增加？</w:t>
      </w:r>
    </w:p>
    <w:p>
      <w:pPr>
        <w:pStyle w:val="Compact"/>
        <w:ind w:firstLine="0"/>
        <w:widowControl/>
      </w:pPr>
      <w:r>
        <w:rPr>
          <w:rFonts w:ascii="Noto Serif CJK SC" w:hAnsi="Noto Serif CJK SC" w:eastAsia="Noto Serif CJK SC"/>
          <w:sz w:val="19"/>
        </w:rPr>
        <w:t>4. 失业人数不变而劳动参与率下降，失业率可能怎样变化？</w:t>
      </w:r>
    </w:p>
    <w:p>
      <w:pPr>
        <w:keepNext/>
        <w:spacing w:before="1600" w:after="80"/>
        <w:jc w:val="left"/>
        <w:widowControl/>
      </w:pPr>
      <w:r>
        <w:rPr>
          <w:rFonts w:ascii="Noto Sans CJK SC" w:hAnsi="Noto Sans CJK SC" w:eastAsia="Noto Sans CJK SC"/>
          <w:b/>
          <w:color w:val="A33131"/>
          <w:sz w:val="28"/>
        </w:rPr>
        <w:t>第二章</w:t>
      </w:r>
    </w:p>
    <w:p>
      <w:pPr>
        <w:keepNext/>
        <w:spacing w:after="200"/>
        <w:widowControl/>
      </w:pPr>
      <w:r>
        <w:rPr>
          <w:rFonts w:ascii="Noto Sans CJK SC" w:hAnsi="Noto Sans CJK SC" w:eastAsia="Noto Sans CJK SC"/>
          <w:b/>
          <w:color w:val="2F3337"/>
          <w:sz w:val="50"/>
        </w:rPr>
        <w:t>国民收入的决定：收入—支出模型</w:t>
      </w:r>
    </w:p>
    <w:p>
      <w:pPr>
        <w:keepNext/>
        <w:spacing w:after="360"/>
        <w:widowControl/>
      </w:pPr>
      <w:r>
        <w:rPr>
          <w:rFonts w:ascii="Noto Serif CJK SC" w:hAnsi="Noto Serif CJK SC" w:eastAsia="Noto Serif CJK SC"/>
          <w:color w:val="6B6F73"/>
          <w:sz w:val="22"/>
        </w:rPr>
        <w:t>在价格和利率暂时给定时，用计划总支出解释短期均衡产出。</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消费与储蓄 → 计划总支出 → 两部门均衡 → 乘数 → 政府部门 → 开放部门 → 节俭悖论</w:t>
            </w:r>
          </w:p>
        </w:tc>
      </w:tr>
    </w:tbl>
    <w:p>
      <w:pPr>
        <w:spacing w:after="0"/>
        <w:widowControl/>
      </w:pPr>
    </w:p>
    <w:p>
      <w:pPr>
        <w:pStyle w:val="Heading2"/>
        <w:widowControl/>
      </w:pPr>
      <w:r>
        <w:t>2.1 模型的基本假设与均衡含义</w:t>
      </w:r>
    </w:p>
    <w:p>
      <w:pPr>
        <w:widowControl/>
      </w:pPr>
      <w:r>
        <w:rPr>
          <w:rFonts w:ascii="Noto Serif CJK SC" w:hAnsi="Noto Serif CJK SC" w:eastAsia="Noto Serif CJK SC"/>
        </w:rPr>
        <w:t>收入—支出模型又称凯恩斯交叉模型。它适合分析短期需求不足，通常假定价格水平给定、企业可以在现有价格下满足需求、利率和投资暂时外生。均衡并不表示经济达到充分就业，只表示企业没有非意愿存货变化。</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计划总支出 AE = 实际产出 Y</w:t>
            </w:r>
          </w:p>
        </w:tc>
      </w:tr>
    </w:tbl>
    <w:p>
      <w:pPr>
        <w:spacing w:after="0"/>
        <w:widowControl/>
      </w:pPr>
    </w:p>
    <w:p>
      <w:pPr>
        <w:widowControl/>
      </w:pPr>
      <w:r>
        <w:rPr>
          <w:rFonts w:ascii="Noto Serif CJK SC" w:hAnsi="Noto Serif CJK SC" w:eastAsia="Noto Serif CJK SC"/>
        </w:rPr>
        <w:t>当AE &gt; Y时，销售超过企业预期，存货意外下降，企业增加生产；当AE &lt; Y时，存货意外增加，企业减少生产。因此非意愿存货投资是产出调整的信号。</w:t>
      </w:r>
    </w:p>
    <w:p>
      <w:pPr>
        <w:pStyle w:val="Heading2"/>
        <w:widowControl/>
      </w:pPr>
      <w:r>
        <w:t>2.2 消费函数与储蓄函数</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C = a + bYd</w:t>
            </w:r>
          </w:p>
          <w:p>
            <w:pPr>
              <w:spacing w:after="80"/>
              <w:jc w:val="center"/>
            </w:pPr>
            <w:r>
              <w:rPr>
                <w:rFonts w:ascii="Noto Serif CJK SC" w:hAnsi="Noto Serif CJK SC" w:eastAsia="Noto Serif CJK SC"/>
                <w:color w:val="6B6F73"/>
                <w:sz w:val="18"/>
              </w:rPr>
              <w:t>a为自主消费，b为边际消费倾向MPC，0 &lt; b &lt; 1。</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S = Yd − C = −a + (1 − b)Yd</w:t>
            </w:r>
          </w:p>
        </w:tc>
      </w:tr>
    </w:tbl>
    <w:p>
      <w:pPr>
        <w:spacing w:after="0"/>
        <w:widowControl/>
      </w:pPr>
    </w:p>
    <w:tbl>
      <w:tblPr>
        <w:tblW w:type="auto" w:w="0"/>
        <w:jc w:val="center"/>
        <w:tblLayout w:type="fixed"/>
        <w:tblLook w:firstColumn="1" w:firstRow="1" w:lastColumn="0" w:lastRow="0" w:noHBand="0" w:noVBand="1" w:val="04A0"/>
      </w:tblPr>
      <w:tblGrid>
        <w:gridCol w:w="2041"/>
        <w:gridCol w:w="2494"/>
        <w:gridCol w:w="4195"/>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指标</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公式</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含义</w:t>
            </w:r>
          </w:p>
        </w:tc>
      </w:tr>
      <w:tr>
        <w:trPr>
          <w:cantSplit/>
        </w:trPr>
        <w:tc>
          <w:tcPr>
            <w:tcW w:type="dxa" w:w="204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平均消费倾向 APC</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C / Yd</w:t>
            </w:r>
          </w:p>
        </w:tc>
        <w:tc>
          <w:tcPr>
            <w:tcW w:type="dxa" w:w="419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每一单位可支配收入中用于消费的比例</w:t>
            </w:r>
          </w:p>
        </w:tc>
      </w:tr>
      <w:tr>
        <w:trPr>
          <w:cantSplit/>
        </w:trPr>
        <w:tc>
          <w:tcPr>
            <w:tcW w:type="dxa" w:w="204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边际消费倾向 MPC</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ΔC / ΔYd</w:t>
            </w:r>
          </w:p>
        </w:tc>
        <w:tc>
          <w:tcPr>
            <w:tcW w:type="dxa" w:w="419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新增一单位收入带来的消费增加</w:t>
            </w:r>
          </w:p>
        </w:tc>
      </w:tr>
      <w:tr>
        <w:trPr>
          <w:cantSplit/>
        </w:trPr>
        <w:tc>
          <w:tcPr>
            <w:tcW w:type="dxa" w:w="204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平均储蓄倾向 APS</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S / Yd</w:t>
            </w:r>
          </w:p>
        </w:tc>
        <w:tc>
          <w:tcPr>
            <w:tcW w:type="dxa" w:w="419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收入中用于储蓄的比例</w:t>
            </w:r>
          </w:p>
        </w:tc>
      </w:tr>
      <w:tr>
        <w:trPr>
          <w:cantSplit/>
        </w:trPr>
        <w:tc>
          <w:tcPr>
            <w:tcW w:type="dxa" w:w="204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边际储蓄倾向 MPS</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ΔS / ΔYd</w:t>
            </w:r>
          </w:p>
        </w:tc>
        <w:tc>
          <w:tcPr>
            <w:tcW w:type="dxa" w:w="419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新增一单位收入带来的储蓄增加</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APC + APS = 1；MPC + MPS = 1</w:t>
            </w:r>
          </w:p>
        </w:tc>
      </w:tr>
    </w:tbl>
    <w:p>
      <w:pPr>
        <w:spacing w:after="0"/>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图形理解  </w:t>
            </w:r>
            <w:r>
              <w:rPr>
                <w:rFonts w:ascii="Noto Serif CJK SC" w:hAnsi="Noto Serif CJK SC" w:eastAsia="Noto Serif CJK SC"/>
                <w:color w:val="2F3337"/>
                <w:sz w:val="19"/>
              </w:rPr>
              <w:t>消费函数的纵截距是自主消费a，斜率是MPC；储蓄函数纵截距为−a，斜率是MPS。消费曲线与45°线交点对应收支平衡点，此时储蓄为零。</w:t>
            </w:r>
          </w:p>
        </w:tc>
      </w:tr>
    </w:tbl>
    <w:p>
      <w:pPr>
        <w:spacing w:after="0"/>
        <w:widowControl/>
      </w:pPr>
    </w:p>
    <w:p>
      <w:pPr>
        <w:pStyle w:val="Heading2"/>
        <w:widowControl/>
      </w:pPr>
      <w:r>
        <w:t>2.3 两部门经济的均衡</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Y = C + I；均衡条件也可写成 S = I</w:t>
            </w:r>
          </w:p>
        </w:tc>
      </w:tr>
    </w:tbl>
    <w:p>
      <w:pPr>
        <w:spacing w:after="0"/>
        <w:widowControl/>
      </w:pPr>
    </w:p>
    <w:p>
      <w:pPr>
        <w:widowControl/>
      </w:pPr>
      <w:r>
        <w:rPr>
          <w:rFonts w:ascii="Noto Serif CJK SC" w:hAnsi="Noto Serif CJK SC" w:eastAsia="Noto Serif CJK SC"/>
        </w:rPr>
        <w:t>把C = a + bY代入，可得均衡收入：</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Y* = (a + I) ÷ (1 − b)</w:t>
            </w:r>
          </w:p>
        </w:tc>
      </w:tr>
    </w:tbl>
    <w:p>
      <w:pPr>
        <w:spacing w:after="0"/>
        <w:widowControl/>
      </w:pPr>
    </w:p>
    <w:p>
      <w:pPr>
        <w:widowControl/>
      </w:pPr>
      <w:r>
        <w:rPr>
          <w:rFonts w:ascii="Noto Serif CJK SC" w:hAnsi="Noto Serif CJK SC" w:eastAsia="Noto Serif CJK SC"/>
        </w:rPr>
        <w:t>“计划投资等于计划储蓄”是均衡条件；实际核算中的储蓄与投资恒等，是因为非意愿存货投资会自动补齐差额。考试时要区分事前计划与事后恒等。</w:t>
      </w:r>
    </w:p>
    <w:p>
      <w:pPr>
        <w:pStyle w:val="Heading2"/>
        <w:widowControl/>
      </w:pPr>
      <w:r>
        <w:t>2.4 乘数原理</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投资乘数 kI = 1 ÷ (1 − b) = 1 ÷ MPS</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ΔY = kI · ΔI</w:t>
            </w:r>
          </w:p>
        </w:tc>
      </w:tr>
    </w:tbl>
    <w:p>
      <w:pPr>
        <w:spacing w:after="0"/>
        <w:widowControl/>
      </w:pPr>
    </w:p>
    <w:p>
      <w:pPr>
        <w:widowControl/>
      </w:pPr>
      <w:r>
        <w:rPr>
          <w:rFonts w:ascii="Noto Serif CJK SC" w:hAnsi="Noto Serif CJK SC" w:eastAsia="Noto Serif CJK SC"/>
        </w:rPr>
        <w:t>一笔新增自主支出首先形成同额收入，收入的一部分转化为消费，消费又成为下一轮收入，如此循环。MPC越大，支出泄漏越少，乘数越大。</w:t>
      </w:r>
    </w:p>
    <w:tbl>
      <w:tblPr>
        <w:tblW w:type="auto" w:w="0"/>
        <w:jc w:val="center"/>
        <w:tblLayout w:type="fixed"/>
        <w:tblLook w:firstColumn="1" w:firstRow="1" w:lastColumn="0" w:lastRow="0" w:noHBand="0" w:noVBand="1" w:val="04A0"/>
      </w:tblPr>
      <w:tblGrid>
        <w:gridCol w:w="4252"/>
        <w:gridCol w:w="4252"/>
      </w:tblGrid>
      <w:tr>
        <w:trPr>
          <w:tblHeader w:val="true"/>
          <w:cantSplit/>
        </w:trPr>
        <w:tc>
          <w:tcPr>
            <w:tcW w:type="dxa" w:w="4762"/>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使乘数变大</w:t>
            </w:r>
          </w:p>
        </w:tc>
        <w:tc>
          <w:tcPr>
            <w:tcW w:type="dxa" w:w="4762"/>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使乘数变小</w:t>
            </w:r>
          </w:p>
        </w:tc>
      </w:tr>
      <w:tr>
        <w:trPr>
          <w:cantSplit/>
        </w:trPr>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边际消费倾向提高</w:t>
            </w:r>
          </w:p>
        </w:tc>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储蓄倾向提高</w:t>
            </w:r>
          </w:p>
        </w:tc>
      </w:tr>
      <w:tr>
        <w:trPr>
          <w:cantSplit/>
        </w:trPr>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税收泄漏较少</w:t>
            </w:r>
          </w:p>
        </w:tc>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比例税率提高</w:t>
            </w:r>
          </w:p>
        </w:tc>
      </w:tr>
      <w:tr>
        <w:trPr>
          <w:cantSplit/>
        </w:trPr>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进口泄漏较少</w:t>
            </w:r>
          </w:p>
        </w:tc>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边际进口倾向提高</w:t>
            </w:r>
          </w:p>
        </w:tc>
      </w:tr>
      <w:tr>
        <w:trPr>
          <w:cantSplit/>
        </w:trPr>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经济有较多闲置资源</w:t>
            </w:r>
          </w:p>
        </w:tc>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接近充分就业、价格上涨挤压实际效果</w:t>
            </w:r>
          </w:p>
        </w:tc>
      </w:tr>
    </w:tbl>
    <w:p>
      <w:pPr>
        <w:spacing w:after="0"/>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FF4E5"/>
            <w:tcBorders>
              <w:top w:val="nil"/>
              <w:left w:val="single" w:sz="18" w:color="9A6500"/>
              <w:bottom w:val="nil"/>
              <w:right w:val="nil"/>
            </w:tcBorders>
          </w:tcPr>
          <w:p>
            <w:pPr>
              <w:spacing w:before="80" w:after="40"/>
              <w:ind w:firstLine="0"/>
            </w:pPr>
            <w:r>
              <w:rPr>
                <w:rFonts w:ascii="Noto Sans CJK SC" w:hAnsi="Noto Sans CJK SC" w:eastAsia="Noto Sans CJK SC"/>
                <w:b/>
                <w:color w:val="9A6500"/>
                <w:sz w:val="20"/>
              </w:rPr>
              <w:t xml:space="preserve">乘数不是无限制的  </w:t>
            </w:r>
            <w:r>
              <w:rPr>
                <w:rFonts w:ascii="Noto Serif CJK SC" w:hAnsi="Noto Serif CJK SC" w:eastAsia="Noto Serif CJK SC"/>
                <w:color w:val="2F3337"/>
                <w:sz w:val="19"/>
              </w:rPr>
              <w:t>乘数结论依赖价格稳定、供给能够扩张、消费行为稳定等条件。经济接近潜在产出时，新增需求更多转化为物价上涨，而非实际产出增加。</w:t>
            </w:r>
          </w:p>
        </w:tc>
      </w:tr>
    </w:tbl>
    <w:p>
      <w:pPr>
        <w:spacing w:after="0"/>
        <w:widowControl/>
      </w:pPr>
    </w:p>
    <w:p>
      <w:pPr>
        <w:pStyle w:val="Heading2"/>
        <w:widowControl/>
      </w:pPr>
      <w:r>
        <w:t>2.5 三部门经济：政府、税收和转移支付</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Yd = Y − T + TR；AE = C(Yd) + I + G</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政府购买乘数 kG = 1 ÷ (1 − b)</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税收乘数 kT = −b ÷ (1 − b)</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转移支付乘数 kTR = b ÷ (1 − b)</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平衡预算乘数 kB = 1</w:t>
            </w:r>
          </w:p>
        </w:tc>
      </w:tr>
    </w:tbl>
    <w:p>
      <w:pPr>
        <w:spacing w:after="0"/>
        <w:widowControl/>
      </w:pPr>
    </w:p>
    <w:p>
      <w:pPr>
        <w:widowControl/>
      </w:pPr>
      <w:r>
        <w:rPr>
          <w:rFonts w:ascii="Noto Serif CJK SC" w:hAnsi="Noto Serif CJK SC" w:eastAsia="Noto Serif CJK SC"/>
        </w:rPr>
        <w:t>政府购买直接构成总支出，而减税或增加转移支付只有b比例转化为消费，因此同额政府购买的初始需求冲击通常大于同额减税。平衡预算乘数等于1，是因为政府购买乘数与税收乘数相加后恰好为1。</w:t>
      </w:r>
    </w:p>
    <w:p>
      <w:pPr>
        <w:pStyle w:val="Heading2"/>
        <w:widowControl/>
      </w:pPr>
      <w:r>
        <w:t>2.6 比例税与四部门经济</w:t>
      </w:r>
    </w:p>
    <w:p>
      <w:pPr>
        <w:widowControl/>
      </w:pPr>
      <w:r>
        <w:rPr>
          <w:rFonts w:ascii="Noto Serif CJK SC" w:hAnsi="Noto Serif CJK SC" w:eastAsia="Noto Serif CJK SC"/>
        </w:rPr>
        <w:t>若税收随收入变化，T = T0 + tY；若进口随收入变化，M = M0 + mY，则税收和进口都会形成自动泄漏。</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开放经济乘数 k = 1 ÷ [1 − b(1 − t) + m]</w:t>
            </w:r>
          </w:p>
        </w:tc>
      </w:tr>
    </w:tbl>
    <w:p>
      <w:pPr>
        <w:spacing w:after="0"/>
        <w:widowControl/>
      </w:pPr>
    </w:p>
    <w:p>
      <w:pPr>
        <w:widowControl/>
      </w:pPr>
      <w:r>
        <w:rPr>
          <w:rFonts w:ascii="Noto Serif CJK SC" w:hAnsi="Noto Serif CJK SC" w:eastAsia="Noto Serif CJK SC"/>
        </w:rPr>
        <w:t>比例税率t越高、边际进口倾向m越大，乘数越小。开放经济中，一部分新增需求会流向进口品，因此国内产出的扩张小于封闭经济。</w:t>
      </w:r>
    </w:p>
    <w:p>
      <w:pPr>
        <w:pStyle w:val="Heading2"/>
        <w:widowControl/>
      </w:pPr>
      <w:r>
        <w:t>2.7 节俭悖论</w:t>
      </w:r>
    </w:p>
    <w:p>
      <w:pPr>
        <w:widowControl/>
      </w:pPr>
      <w:r>
        <w:rPr>
          <w:rFonts w:ascii="Noto Serif CJK SC" w:hAnsi="Noto Serif CJK SC" w:eastAsia="Noto Serif CJK SC"/>
        </w:rPr>
        <w:t>个体增加储蓄有助于积累财富，但在短期需求不足时，如果所有家庭同时减少消费，计划总支出下降，均衡收入下降。收入下降后，社会实际储蓄未必增加。这说明微观理性行为汇总后可能产生宏观非意图结果。</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FF4E5"/>
            <w:tcBorders>
              <w:top w:val="nil"/>
              <w:left w:val="single" w:sz="18" w:color="9A6500"/>
              <w:bottom w:val="nil"/>
              <w:right w:val="nil"/>
            </w:tcBorders>
          </w:tcPr>
          <w:p>
            <w:pPr>
              <w:spacing w:before="80" w:after="40"/>
              <w:ind w:firstLine="0"/>
            </w:pPr>
            <w:r>
              <w:rPr>
                <w:rFonts w:ascii="Noto Sans CJK SC" w:hAnsi="Noto Sans CJK SC" w:eastAsia="Noto Sans CJK SC"/>
                <w:b/>
                <w:color w:val="9A6500"/>
                <w:sz w:val="20"/>
              </w:rPr>
              <w:t xml:space="preserve">条件边界  </w:t>
            </w:r>
            <w:r>
              <w:rPr>
                <w:rFonts w:ascii="Noto Serif CJK SC" w:hAnsi="Noto Serif CJK SC" w:eastAsia="Noto Serif CJK SC"/>
                <w:color w:val="2F3337"/>
                <w:sz w:val="19"/>
              </w:rPr>
              <w:t>节俭悖论主要是短期需求分析。长期中，更高储蓄可以支持资本积累和潜在产出提高，因此不能把“储蓄无用”作为一般结论。</w:t>
            </w:r>
          </w:p>
        </w:tc>
      </w:tr>
    </w:tbl>
    <w:p>
      <w:pPr>
        <w:spacing w:after="0"/>
        <w:widowControl/>
      </w:pPr>
    </w:p>
    <w:p>
      <w:pPr>
        <w:pStyle w:val="Heading2"/>
        <w:widowControl/>
      </w:pPr>
      <w:r>
        <w:t>2.8 计算题标准步骤</w:t>
      </w:r>
    </w:p>
    <w:p>
      <w:pPr>
        <w:spacing w:after="60"/>
        <w:ind w:left="312" w:hanging="159"/>
        <w:widowControl/>
      </w:pPr>
      <w:r>
        <w:rPr>
          <w:rFonts w:ascii="Noto Sans CJK SC" w:hAnsi="Noto Sans CJK SC" w:eastAsia="Noto Sans CJK SC"/>
          <w:b/>
          <w:color w:val="A33131"/>
        </w:rPr>
        <w:t xml:space="preserve">1. </w:t>
      </w:r>
      <w:r>
        <w:rPr>
          <w:rFonts w:ascii="Noto Serif CJK SC" w:hAnsi="Noto Serif CJK SC" w:eastAsia="Noto Serif CJK SC"/>
          <w:sz w:val="21"/>
        </w:rPr>
        <w:t>第一步：写出可支配收入Yd和消费函数。</w:t>
      </w:r>
    </w:p>
    <w:p>
      <w:pPr>
        <w:spacing w:after="60"/>
        <w:ind w:left="312" w:hanging="159"/>
        <w:widowControl/>
      </w:pPr>
      <w:r>
        <w:rPr>
          <w:rFonts w:ascii="Noto Sans CJK SC" w:hAnsi="Noto Sans CJK SC" w:eastAsia="Noto Sans CJK SC"/>
          <w:b/>
          <w:color w:val="A33131"/>
        </w:rPr>
        <w:t xml:space="preserve">2. </w:t>
      </w:r>
      <w:r>
        <w:rPr>
          <w:rFonts w:ascii="Noto Serif CJK SC" w:hAnsi="Noto Serif CJK SC" w:eastAsia="Noto Serif CJK SC"/>
          <w:sz w:val="21"/>
        </w:rPr>
        <w:t>第二步：列出AE = C + I + G + NX。</w:t>
      </w:r>
    </w:p>
    <w:p>
      <w:pPr>
        <w:spacing w:after="60"/>
        <w:ind w:left="312" w:hanging="159"/>
        <w:widowControl/>
      </w:pPr>
      <w:r>
        <w:rPr>
          <w:rFonts w:ascii="Noto Sans CJK SC" w:hAnsi="Noto Sans CJK SC" w:eastAsia="Noto Sans CJK SC"/>
          <w:b/>
          <w:color w:val="A33131"/>
        </w:rPr>
        <w:t xml:space="preserve">3. </w:t>
      </w:r>
      <w:r>
        <w:rPr>
          <w:rFonts w:ascii="Noto Serif CJK SC" w:hAnsi="Noto Serif CJK SC" w:eastAsia="Noto Serif CJK SC"/>
          <w:sz w:val="21"/>
        </w:rPr>
        <w:t>第三步：令Y = AE，整理Y项并求均衡收入。</w:t>
      </w:r>
    </w:p>
    <w:p>
      <w:pPr>
        <w:spacing w:after="60"/>
        <w:ind w:left="312" w:hanging="159"/>
        <w:widowControl/>
      </w:pPr>
      <w:r>
        <w:rPr>
          <w:rFonts w:ascii="Noto Sans CJK SC" w:hAnsi="Noto Sans CJK SC" w:eastAsia="Noto Sans CJK SC"/>
          <w:b/>
          <w:color w:val="A33131"/>
        </w:rPr>
        <w:t xml:space="preserve">4. </w:t>
      </w:r>
      <w:r>
        <w:rPr>
          <w:rFonts w:ascii="Noto Serif CJK SC" w:hAnsi="Noto Serif CJK SC" w:eastAsia="Noto Serif CJK SC"/>
          <w:sz w:val="21"/>
        </w:rPr>
        <w:t>第四步：政策变化题可重新求解，也可使用对应乘数。</w:t>
      </w:r>
    </w:p>
    <w:p>
      <w:pPr>
        <w:spacing w:after="60"/>
        <w:ind w:left="312" w:hanging="159"/>
        <w:widowControl/>
      </w:pPr>
      <w:r>
        <w:rPr>
          <w:rFonts w:ascii="Noto Sans CJK SC" w:hAnsi="Noto Sans CJK SC" w:eastAsia="Noto Sans CJK SC"/>
          <w:b/>
          <w:color w:val="A33131"/>
        </w:rPr>
        <w:t xml:space="preserve">5. </w:t>
      </w:r>
      <w:r>
        <w:rPr>
          <w:rFonts w:ascii="Noto Serif CJK SC" w:hAnsi="Noto Serif CJK SC" w:eastAsia="Noto Serif CJK SC"/>
          <w:sz w:val="21"/>
        </w:rPr>
        <w:t>第五步：检查符号和经济含义，例如增税应使均衡收入下降。</w:t>
      </w: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区分计划支出与实际支出、计划投资与非意愿存货投资。</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熟练求两部门、三部门和四部门均衡收入。</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熟记各类乘数，并能解释政府购买乘数为何大于税收乘数的绝对值。</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能够说明节俭悖论的短期条件与长期边界。</w:t>
      </w:r>
    </w:p>
    <w:p>
      <w:pPr>
        <w:pStyle w:val="Heading2"/>
        <w:widowControl/>
      </w:pPr>
      <w:r>
        <w:t>自测题</w:t>
      </w:r>
    </w:p>
    <w:p>
      <w:pPr>
        <w:pStyle w:val="Compact"/>
        <w:ind w:firstLine="0"/>
        <w:widowControl/>
      </w:pPr>
      <w:r>
        <w:rPr>
          <w:rFonts w:ascii="Noto Serif CJK SC" w:hAnsi="Noto Serif CJK SC" w:eastAsia="Noto Serif CJK SC"/>
          <w:sz w:val="19"/>
        </w:rPr>
        <w:t>1. 为什么AE大于Y时企业会扩大生产？</w:t>
      </w:r>
    </w:p>
    <w:p>
      <w:pPr>
        <w:pStyle w:val="Compact"/>
        <w:ind w:firstLine="0"/>
        <w:widowControl/>
      </w:pPr>
      <w:r>
        <w:rPr>
          <w:rFonts w:ascii="Noto Serif CJK SC" w:hAnsi="Noto Serif CJK SC" w:eastAsia="Noto Serif CJK SC"/>
          <w:sz w:val="19"/>
        </w:rPr>
        <w:t>2. MPC从0.6提高到0.8，简单支出乘数如何变化？</w:t>
      </w:r>
    </w:p>
    <w:p>
      <w:pPr>
        <w:pStyle w:val="Compact"/>
        <w:ind w:firstLine="0"/>
        <w:widowControl/>
      </w:pPr>
      <w:r>
        <w:rPr>
          <w:rFonts w:ascii="Noto Serif CJK SC" w:hAnsi="Noto Serif CJK SC" w:eastAsia="Noto Serif CJK SC"/>
          <w:sz w:val="19"/>
        </w:rPr>
        <w:t>3. 同额增加政府购买和减税，哪一种对总需求的初始影响更大？</w:t>
      </w:r>
    </w:p>
    <w:p>
      <w:pPr>
        <w:pStyle w:val="Compact"/>
        <w:ind w:firstLine="0"/>
        <w:widowControl/>
      </w:pPr>
      <w:r>
        <w:rPr>
          <w:rFonts w:ascii="Noto Serif CJK SC" w:hAnsi="Noto Serif CJK SC" w:eastAsia="Noto Serif CJK SC"/>
          <w:sz w:val="19"/>
        </w:rPr>
        <w:t>4. 比例税率和边际进口倾向为什么会降低乘数？</w:t>
      </w:r>
    </w:p>
    <w:p>
      <w:pPr>
        <w:keepNext/>
        <w:spacing w:before="1600" w:after="80"/>
        <w:jc w:val="left"/>
        <w:widowControl/>
      </w:pPr>
      <w:r>
        <w:rPr>
          <w:rFonts w:ascii="Noto Sans CJK SC" w:hAnsi="Noto Sans CJK SC" w:eastAsia="Noto Sans CJK SC"/>
          <w:b/>
          <w:color w:val="A33131"/>
          <w:sz w:val="28"/>
        </w:rPr>
        <w:t>第三章</w:t>
      </w:r>
    </w:p>
    <w:p>
      <w:pPr>
        <w:keepNext/>
        <w:spacing w:after="200"/>
        <w:widowControl/>
      </w:pPr>
      <w:r>
        <w:rPr>
          <w:rFonts w:ascii="Noto Sans CJK SC" w:hAnsi="Noto Sans CJK SC" w:eastAsia="Noto Sans CJK SC"/>
          <w:b/>
          <w:color w:val="2F3337"/>
          <w:sz w:val="50"/>
        </w:rPr>
        <w:t>国民收入的决定：IS-LM模型</w:t>
      </w:r>
    </w:p>
    <w:p>
      <w:pPr>
        <w:keepNext/>
        <w:spacing w:after="360"/>
        <w:widowControl/>
      </w:pPr>
      <w:r>
        <w:rPr>
          <w:rFonts w:ascii="Noto Serif CJK SC" w:hAnsi="Noto Serif CJK SC" w:eastAsia="Noto Serif CJK SC"/>
          <w:color w:val="6B6F73"/>
          <w:sz w:val="22"/>
        </w:rPr>
        <w:t>把利率引入模型，同时考察产品市场和货币市场。</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投资与利率 → IS曲线 → 货币需求 → 货币供给 → LM曲线 → 共同均衡 → 政策效果</w:t>
            </w:r>
          </w:p>
        </w:tc>
      </w:tr>
    </w:tbl>
    <w:p>
      <w:pPr>
        <w:spacing w:after="0"/>
        <w:widowControl/>
      </w:pPr>
    </w:p>
    <w:p>
      <w:pPr>
        <w:pStyle w:val="Heading2"/>
        <w:widowControl/>
      </w:pPr>
      <w:r>
        <w:t>3.1 投资需求与利率</w:t>
      </w:r>
    </w:p>
    <w:p>
      <w:pPr>
        <w:widowControl/>
      </w:pPr>
      <w:r>
        <w:rPr>
          <w:rFonts w:ascii="Noto Serif CJK SC" w:hAnsi="Noto Serif CJK SC" w:eastAsia="Noto Serif CJK SC"/>
        </w:rPr>
        <w:t>企业是否投资取决于预期收益与融资成本。利率越高，能够覆盖资金成本的项目越少，计划投资通常越低。可以用线性投资函数表示：</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I = I0 − dr</w:t>
            </w:r>
          </w:p>
          <w:p>
            <w:pPr>
              <w:spacing w:after="80"/>
              <w:jc w:val="center"/>
            </w:pPr>
            <w:r>
              <w:rPr>
                <w:rFonts w:ascii="Noto Serif CJK SC" w:hAnsi="Noto Serif CJK SC" w:eastAsia="Noto Serif CJK SC"/>
                <w:color w:val="6B6F73"/>
                <w:sz w:val="18"/>
              </w:rPr>
              <w:t>d表示投资对利率的敏感程度。</w:t>
            </w:r>
          </w:p>
        </w:tc>
      </w:tr>
    </w:tbl>
    <w:p>
      <w:pPr>
        <w:spacing w:after="0"/>
        <w:widowControl/>
      </w:pPr>
    </w:p>
    <w:p>
      <w:pPr>
        <w:widowControl/>
      </w:pPr>
      <w:r>
        <w:rPr>
          <w:rFonts w:ascii="Noto Serif CJK SC" w:hAnsi="Noto Serif CJK SC" w:eastAsia="Noto Serif CJK SC"/>
        </w:rPr>
        <w:t>资本边际效率是使投资项目预期收益现值等于供给价格的贴现率。只有当资本边际效率高于市场利率时，项目才值得实施。预期、技术、市场规模和风险会使投资函数整体移动。</w:t>
      </w:r>
    </w:p>
    <w:p>
      <w:pPr>
        <w:pStyle w:val="Heading2"/>
        <w:widowControl/>
      </w:pPr>
      <w:r>
        <w:t>3.2 IS曲线的推导与含义</w:t>
      </w:r>
    </w:p>
    <w:p>
      <w:pPr>
        <w:widowControl/>
      </w:pPr>
      <w:r>
        <w:rPr>
          <w:rFonts w:ascii="Noto Serif CJK SC" w:hAnsi="Noto Serif CJK SC" w:eastAsia="Noto Serif CJK SC"/>
        </w:rPr>
        <w:t>IS曲线是所有使产品市场达到均衡的收入Y与利率r组合。利率下降会刺激投资，投资增加通过乘数提高均衡收入，因此IS曲线向右下方倾斜。</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产品市场均衡：Y = C(Y − T) + I(r) + G + NX</w:t>
            </w:r>
          </w:p>
        </w:tc>
      </w:tr>
    </w:tbl>
    <w:p>
      <w:pPr>
        <w:spacing w:after="0"/>
        <w:widowControl/>
      </w:pPr>
    </w:p>
    <w:tbl>
      <w:tblPr>
        <w:tblW w:type="auto" w:w="0"/>
        <w:jc w:val="center"/>
        <w:tblLayout w:type="fixed"/>
        <w:tblLook w:firstColumn="1" w:firstRow="1" w:lastColumn="0" w:lastRow="0" w:noHBand="0" w:noVBand="1" w:val="04A0"/>
      </w:tblPr>
      <w:tblGrid>
        <w:gridCol w:w="2721"/>
        <w:gridCol w:w="1701"/>
        <w:gridCol w:w="4082"/>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变化</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IS移动</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原因</w:t>
            </w:r>
          </w:p>
        </w:tc>
      </w:tr>
      <w:tr>
        <w:trPr>
          <w:cantSplit/>
        </w:trPr>
        <w:tc>
          <w:tcPr>
            <w:tcW w:type="dxa" w:w="272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政府购买增加</w:t>
            </w:r>
          </w:p>
        </w:tc>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任一利率下计划支出增加</w:t>
            </w:r>
          </w:p>
        </w:tc>
      </w:tr>
      <w:tr>
        <w:trPr>
          <w:cantSplit/>
        </w:trPr>
        <w:tc>
          <w:tcPr>
            <w:tcW w:type="dxa" w:w="272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税收减少</w:t>
            </w:r>
          </w:p>
        </w:tc>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08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可支配收入和消费增加</w:t>
            </w:r>
          </w:p>
        </w:tc>
      </w:tr>
      <w:tr>
        <w:trPr>
          <w:cantSplit/>
        </w:trPr>
        <w:tc>
          <w:tcPr>
            <w:tcW w:type="dxa" w:w="272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自主消费或自主投资增加</w:t>
            </w:r>
          </w:p>
        </w:tc>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总需求增加</w:t>
            </w:r>
          </w:p>
        </w:tc>
      </w:tr>
      <w:tr>
        <w:trPr>
          <w:cantSplit/>
        </w:trPr>
        <w:tc>
          <w:tcPr>
            <w:tcW w:type="dxa" w:w="272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出口增加或进口自主部分减少</w:t>
            </w:r>
          </w:p>
        </w:tc>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08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净出口增加</w:t>
            </w:r>
          </w:p>
        </w:tc>
      </w:tr>
      <w:tr>
        <w:trPr>
          <w:cantSplit/>
        </w:trPr>
        <w:tc>
          <w:tcPr>
            <w:tcW w:type="dxa" w:w="272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上述变量反向变化</w:t>
            </w:r>
          </w:p>
        </w:tc>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左移</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任一利率下均衡需求减少</w:t>
            </w:r>
          </w:p>
        </w:tc>
      </w:tr>
    </w:tbl>
    <w:p>
      <w:pPr>
        <w:spacing w:after="0"/>
        <w:widowControl/>
      </w:pPr>
    </w:p>
    <w:p>
      <w:pPr>
        <w:widowControl/>
      </w:pPr>
      <w:r>
        <w:rPr>
          <w:rFonts w:ascii="Noto Serif CJK SC" w:hAnsi="Noto Serif CJK SC" w:eastAsia="Noto Serif CJK SC"/>
        </w:rPr>
        <w:t>IS曲线斜率取决于投资对利率的敏感度d和支出乘数。投资越敏感、乘数越大，利率略微变化就会引起较大收入变化，IS越平坦。</w:t>
      </w:r>
    </w:p>
    <w:p>
      <w:pPr>
        <w:pStyle w:val="Heading2"/>
        <w:widowControl/>
      </w:pPr>
      <w:r>
        <w:t>3.3 货币需求：流动性偏好</w:t>
      </w:r>
    </w:p>
    <w:p>
      <w:pPr>
        <w:widowControl/>
      </w:pPr>
      <w:r>
        <w:rPr>
          <w:rFonts w:ascii="Noto Serif CJK SC" w:hAnsi="Noto Serif CJK SC" w:eastAsia="Noto Serif CJK SC"/>
        </w:rPr>
        <w:t>凯恩斯将持有货币的动机分为交易动机、预防动机和投机动机。前两类需求主要随收入增加而增加，投机需求则随利率上升而减少。</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L(Y,r) = kY − hr</w:t>
            </w:r>
          </w:p>
          <w:p>
            <w:pPr>
              <w:spacing w:after="80"/>
              <w:jc w:val="center"/>
            </w:pPr>
            <w:r>
              <w:rPr>
                <w:rFonts w:ascii="Noto Serif CJK SC" w:hAnsi="Noto Serif CJK SC" w:eastAsia="Noto Serif CJK SC"/>
                <w:color w:val="6B6F73"/>
                <w:sz w:val="18"/>
              </w:rPr>
              <w:t>k表示货币需求对收入的敏感度，h表示对利率的敏感度。</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利率是持有货币的机会成本：利率越高，持有无息货币的代价越大。</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债券价格与市场利率反向变动。人们预期未来利率上升时，会担心债券价格下降，从而偏好持有货币。</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流动性陷阱中利率很低，公众愿意吸收几乎全部新增货币，货币扩张难以进一步降低利率。</w:t>
      </w:r>
    </w:p>
    <w:p>
      <w:pPr>
        <w:pStyle w:val="Heading2"/>
        <w:widowControl/>
      </w:pPr>
      <w:r>
        <w:t>3.4 货币供给与银行体系</w:t>
      </w:r>
    </w:p>
    <w:p>
      <w:pPr>
        <w:widowControl/>
      </w:pPr>
      <w:r>
        <w:rPr>
          <w:rFonts w:ascii="Noto Serif CJK SC" w:hAnsi="Noto Serif CJK SC" w:eastAsia="Noto Serif CJK SC"/>
        </w:rPr>
        <w:t>名义货币供给由中央银行和银行体系共同决定，进入LM模型的是实际货币余额M/P。价格水平上升会降低实际货币供给，价格下降则提高实际货币供给。</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实际货币供给 = M ÷ P</w:t>
            </w:r>
          </w:p>
        </w:tc>
      </w:tr>
    </w:tbl>
    <w:p>
      <w:pPr>
        <w:spacing w:after="0"/>
        <w:widowControl/>
      </w:pPr>
    </w:p>
    <w:p>
      <w:pPr>
        <w:widowControl/>
      </w:pPr>
      <w:r>
        <w:rPr>
          <w:rFonts w:ascii="Noto Serif CJK SC" w:hAnsi="Noto Serif CJK SC" w:eastAsia="Noto Serif CJK SC"/>
        </w:rPr>
        <w:t>基础货币通常包括流通中现金和商业银行准备金。存款创造能力受到法定准备金、超额准备金和公众现金持有偏好的影响。简单货币乘数1/rr只适用于没有现金漏出和超额准备金的理想情形。</w:t>
      </w:r>
    </w:p>
    <w:p>
      <w:pPr>
        <w:pStyle w:val="Heading2"/>
        <w:widowControl/>
      </w:pPr>
      <w:r>
        <w:t>3.5 LM曲线的推导与含义</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货币市场均衡：M/P = L(Y,r)</w:t>
            </w:r>
          </w:p>
        </w:tc>
      </w:tr>
    </w:tbl>
    <w:p>
      <w:pPr>
        <w:spacing w:after="0"/>
        <w:widowControl/>
      </w:pPr>
    </w:p>
    <w:p>
      <w:pPr>
        <w:widowControl/>
      </w:pPr>
      <w:r>
        <w:rPr>
          <w:rFonts w:ascii="Noto Serif CJK SC" w:hAnsi="Noto Serif CJK SC" w:eastAsia="Noto Serif CJK SC"/>
        </w:rPr>
        <w:t>收入提高会增加交易性货币需求。在实际货币供给不变时，必须通过利率上升抑制投机性货币需求，才能恢复货币市场均衡。因此LM曲线通常向右上方倾斜。</w:t>
      </w:r>
    </w:p>
    <w:tbl>
      <w:tblPr>
        <w:tblW w:type="auto" w:w="0"/>
        <w:jc w:val="center"/>
        <w:tblLayout w:type="fixed"/>
        <w:tblLook w:firstColumn="1" w:firstRow="1" w:lastColumn="0" w:lastRow="0" w:noHBand="0" w:noVBand="1" w:val="04A0"/>
      </w:tblPr>
      <w:tblGrid>
        <w:gridCol w:w="2721"/>
        <w:gridCol w:w="1814"/>
        <w:gridCol w:w="3969"/>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变化</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LM移动</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原因</w:t>
            </w:r>
          </w:p>
        </w:tc>
      </w:tr>
      <w:tr>
        <w:trPr>
          <w:cantSplit/>
        </w:trPr>
        <w:tc>
          <w:tcPr>
            <w:tcW w:type="dxa" w:w="272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名义货币供给M增加</w:t>
            </w:r>
          </w:p>
        </w:tc>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右移/下移</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任一收入下利率更低</w:t>
            </w:r>
          </w:p>
        </w:tc>
      </w:tr>
      <w:tr>
        <w:trPr>
          <w:cantSplit/>
        </w:trPr>
        <w:tc>
          <w:tcPr>
            <w:tcW w:type="dxa" w:w="272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价格水平P下降</w:t>
            </w:r>
          </w:p>
        </w:tc>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右移/下移</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实际货币余额增加</w:t>
            </w:r>
          </w:p>
        </w:tc>
      </w:tr>
      <w:tr>
        <w:trPr>
          <w:cantSplit/>
        </w:trPr>
        <w:tc>
          <w:tcPr>
            <w:tcW w:type="dxa" w:w="272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货币需求减少</w:t>
            </w:r>
          </w:p>
        </w:tc>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右移/下移</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同一收入所需利率降低</w:t>
            </w:r>
          </w:p>
        </w:tc>
      </w:tr>
      <w:tr>
        <w:trPr>
          <w:cantSplit/>
        </w:trPr>
        <w:tc>
          <w:tcPr>
            <w:tcW w:type="dxa" w:w="272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M减少、P上升或货币需求增加</w:t>
            </w:r>
          </w:p>
        </w:tc>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左移/上移</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实际货币供给相对不足</w:t>
            </w:r>
          </w:p>
        </w:tc>
      </w:tr>
    </w:tbl>
    <w:p>
      <w:pPr>
        <w:spacing w:after="0"/>
        <w:widowControl/>
      </w:pPr>
    </w:p>
    <w:p>
      <w:pPr>
        <w:widowControl/>
      </w:pPr>
      <w:r>
        <w:rPr>
          <w:rFonts w:ascii="Noto Serif CJK SC" w:hAnsi="Noto Serif CJK SC" w:eastAsia="Noto Serif CJK SC"/>
        </w:rPr>
        <w:t>LM斜率取决于k/h。货币需求对收入越敏感，LM越陡；货币需求对利率越敏感，LM越平。</w:t>
      </w:r>
    </w:p>
    <w:p>
      <w:pPr>
        <w:pStyle w:val="Heading2"/>
        <w:widowControl/>
      </w:pPr>
      <w:r>
        <w:t>3.6 IS-LM共同均衡</w:t>
      </w:r>
    </w:p>
    <w:p>
      <w:pPr>
        <w:widowControl/>
      </w:pPr>
      <w:r>
        <w:rPr>
          <w:rFonts w:ascii="Noto Serif CJK SC" w:hAnsi="Noto Serif CJK SC" w:eastAsia="Noto Serif CJK SC"/>
        </w:rPr>
        <w:t>IS与LM交点同时满足产品市场和货币市场均衡，决定短期均衡收入与利率。交点可能低于充分就业收入，因此市场同时均衡并不等于社会最优。</w:t>
      </w:r>
    </w:p>
    <w:tbl>
      <w:tblPr>
        <w:tblW w:type="auto" w:w="0"/>
        <w:jc w:val="center"/>
        <w:tblLayout w:type="fixed"/>
        <w:tblLook w:firstColumn="1" w:firstRow="1" w:lastColumn="0" w:lastRow="0" w:noHBand="0" w:noVBand="1" w:val="04A0"/>
      </w:tblPr>
      <w:tblGrid>
        <w:gridCol w:w="2268"/>
        <w:gridCol w:w="3458"/>
        <w:gridCol w:w="2778"/>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市场状态</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调整信号</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典型调整</w:t>
            </w:r>
          </w:p>
        </w:tc>
      </w:tr>
      <w:tr>
        <w:trPr>
          <w:cantSplit/>
        </w:trPr>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产品市场需求过多</w:t>
            </w:r>
          </w:p>
        </w:tc>
        <w:tc>
          <w:tcPr>
            <w:tcW w:type="dxa" w:w="345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计划支出大于产出、存货意外下降</w:t>
            </w:r>
          </w:p>
        </w:tc>
        <w:tc>
          <w:tcPr>
            <w:tcW w:type="dxa" w:w="277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产出上升</w:t>
            </w:r>
          </w:p>
        </w:tc>
      </w:tr>
      <w:tr>
        <w:trPr>
          <w:cantSplit/>
        </w:trPr>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产品市场供给过多</w:t>
            </w:r>
          </w:p>
        </w:tc>
        <w:tc>
          <w:tcPr>
            <w:tcW w:type="dxa" w:w="345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计划支出小于产出、存货意外增加</w:t>
            </w:r>
          </w:p>
        </w:tc>
        <w:tc>
          <w:tcPr>
            <w:tcW w:type="dxa" w:w="277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产出下降</w:t>
            </w:r>
          </w:p>
        </w:tc>
      </w:tr>
      <w:tr>
        <w:trPr>
          <w:cantSplit/>
        </w:trPr>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货币需求大于供给</w:t>
            </w:r>
          </w:p>
        </w:tc>
        <w:tc>
          <w:tcPr>
            <w:tcW w:type="dxa" w:w="345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公众卖债券换现金</w:t>
            </w:r>
          </w:p>
        </w:tc>
        <w:tc>
          <w:tcPr>
            <w:tcW w:type="dxa" w:w="277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债券价格下降、利率上升</w:t>
            </w:r>
          </w:p>
        </w:tc>
      </w:tr>
      <w:tr>
        <w:trPr>
          <w:cantSplit/>
        </w:trPr>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货币供给大于需求</w:t>
            </w:r>
          </w:p>
        </w:tc>
        <w:tc>
          <w:tcPr>
            <w:tcW w:type="dxa" w:w="345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公众买入债券</w:t>
            </w:r>
          </w:p>
        </w:tc>
        <w:tc>
          <w:tcPr>
            <w:tcW w:type="dxa" w:w="277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债券价格上升、利率下降</w:t>
            </w:r>
          </w:p>
        </w:tc>
      </w:tr>
    </w:tbl>
    <w:p>
      <w:pPr>
        <w:spacing w:after="0"/>
        <w:widowControl/>
      </w:pPr>
    </w:p>
    <w:p>
      <w:pPr>
        <w:pStyle w:val="Heading2"/>
        <w:widowControl/>
      </w:pPr>
      <w:r>
        <w:t>3.7 财政政策与货币政策</w:t>
      </w:r>
    </w:p>
    <w:p>
      <w:pPr>
        <w:pStyle w:val="Heading3"/>
        <w:widowControl/>
      </w:pPr>
      <w:r>
        <w:t>（一）扩张性财政政策</w:t>
      </w:r>
    </w:p>
    <w:p>
      <w:pPr>
        <w:widowControl/>
      </w:pPr>
      <w:r>
        <w:rPr>
          <w:rFonts w:ascii="Noto Serif CJK SC" w:hAnsi="Noto Serif CJK SC" w:eastAsia="Noto Serif CJK SC"/>
        </w:rPr>
        <w:t>增加G、减少T或增加TR使IS右移。收入上升会增加货币需求，从而推高利率。利率上升又抑制私人投资，这就是挤出效应。最终收入增幅小于简单凯恩斯交叉模型中的乘数结果。</w:t>
      </w:r>
    </w:p>
    <w:p>
      <w:pPr>
        <w:pStyle w:val="Heading3"/>
        <w:widowControl/>
      </w:pPr>
      <w:r>
        <w:t>（二）扩张性货币政策</w:t>
      </w:r>
    </w:p>
    <w:p>
      <w:pPr>
        <w:widowControl/>
      </w:pPr>
      <w:r>
        <w:rPr>
          <w:rFonts w:ascii="Noto Serif CJK SC" w:hAnsi="Noto Serif CJK SC" w:eastAsia="Noto Serif CJK SC"/>
        </w:rPr>
        <w:t>增加货币供给使LM右移，利率下降，投资和总需求增加，均衡收入上升。其效果取决于利率能否下降以及投资是否对利率敏感。</w:t>
      </w:r>
    </w:p>
    <w:tbl>
      <w:tblPr>
        <w:tblW w:type="auto" w:w="0"/>
        <w:jc w:val="center"/>
        <w:tblLayout w:type="fixed"/>
        <w:tblLook w:firstColumn="1" w:firstRow="1" w:lastColumn="0" w:lastRow="0" w:noHBand="0" w:noVBand="1" w:val="04A0"/>
      </w:tblPr>
      <w:tblGrid>
        <w:gridCol w:w="2154"/>
        <w:gridCol w:w="3231"/>
        <w:gridCol w:w="3231"/>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情形</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财政政策效果</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货币政策效果</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LM较平坦（凯恩斯区域）</w:t>
            </w:r>
          </w:p>
        </w:tc>
        <w:tc>
          <w:tcPr>
            <w:tcW w:type="dxa" w:w="323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较强，利率上升少、挤出小</w:t>
            </w:r>
          </w:p>
        </w:tc>
        <w:tc>
          <w:tcPr>
            <w:tcW w:type="dxa" w:w="323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较弱，增加货币主要被公众持有</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LM较陡峭（古典区域）</w:t>
            </w:r>
          </w:p>
        </w:tc>
        <w:tc>
          <w:tcPr>
            <w:tcW w:type="dxa" w:w="323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较弱，利率大幅上升、挤出大</w:t>
            </w:r>
          </w:p>
        </w:tc>
        <w:tc>
          <w:tcPr>
            <w:tcW w:type="dxa" w:w="323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较强，货币扩张显著降低利率</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IS较平坦</w:t>
            </w:r>
          </w:p>
        </w:tc>
        <w:tc>
          <w:tcPr>
            <w:tcW w:type="dxa" w:w="323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财政扩张收入效应较小</w:t>
            </w:r>
          </w:p>
        </w:tc>
        <w:tc>
          <w:tcPr>
            <w:tcW w:type="dxa" w:w="323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货币政策较强，利率下降带来较大投资反应</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IS较陡峭</w:t>
            </w:r>
          </w:p>
        </w:tc>
        <w:tc>
          <w:tcPr>
            <w:tcW w:type="dxa" w:w="323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财政政策较强</w:t>
            </w:r>
          </w:p>
        </w:tc>
        <w:tc>
          <w:tcPr>
            <w:tcW w:type="dxa" w:w="323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货币政策较弱，投资对利率不敏感</w:t>
            </w:r>
          </w:p>
        </w:tc>
      </w:tr>
    </w:tbl>
    <w:p>
      <w:pPr>
        <w:spacing w:after="0"/>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不要死背结论  </w:t>
            </w:r>
            <w:r>
              <w:rPr>
                <w:rFonts w:ascii="Noto Serif CJK SC" w:hAnsi="Noto Serif CJK SC" w:eastAsia="Noto Serif CJK SC"/>
                <w:color w:val="2F3337"/>
                <w:sz w:val="19"/>
              </w:rPr>
              <w:t>判断政策强弱时，先看政策移动哪条曲线，再看另一条曲线的斜率以及投资、货币需求的敏感度。</w:t>
            </w:r>
          </w:p>
        </w:tc>
      </w:tr>
    </w:tbl>
    <w:p>
      <w:pPr>
        <w:spacing w:after="0"/>
        <w:widowControl/>
      </w:pPr>
    </w:p>
    <w:p>
      <w:pPr>
        <w:pStyle w:val="Heading2"/>
        <w:widowControl/>
      </w:pPr>
      <w:r>
        <w:t>3.8 图形题标准表达</w:t>
      </w:r>
    </w:p>
    <w:p>
      <w:pPr>
        <w:spacing w:after="60"/>
        <w:ind w:left="312" w:hanging="159"/>
        <w:widowControl/>
      </w:pPr>
      <w:r>
        <w:rPr>
          <w:rFonts w:ascii="Noto Sans CJK SC" w:hAnsi="Noto Sans CJK SC" w:eastAsia="Noto Sans CJK SC"/>
          <w:b/>
          <w:color w:val="A33131"/>
        </w:rPr>
        <w:t xml:space="preserve">1. </w:t>
      </w:r>
      <w:r>
        <w:rPr>
          <w:rFonts w:ascii="Noto Serif CJK SC" w:hAnsi="Noto Serif CJK SC" w:eastAsia="Noto Serif CJK SC"/>
          <w:sz w:val="21"/>
        </w:rPr>
        <w:t>写清初始均衡E0及Y0、r0。</w:t>
      </w:r>
    </w:p>
    <w:p>
      <w:pPr>
        <w:spacing w:after="60"/>
        <w:ind w:left="312" w:hanging="159"/>
        <w:widowControl/>
      </w:pPr>
      <w:r>
        <w:rPr>
          <w:rFonts w:ascii="Noto Sans CJK SC" w:hAnsi="Noto Sans CJK SC" w:eastAsia="Noto Sans CJK SC"/>
          <w:b/>
          <w:color w:val="A33131"/>
        </w:rPr>
        <w:t xml:space="preserve">2. </w:t>
      </w:r>
      <w:r>
        <w:rPr>
          <w:rFonts w:ascii="Noto Serif CJK SC" w:hAnsi="Noto Serif CJK SC" w:eastAsia="Noto Serif CJK SC"/>
          <w:sz w:val="21"/>
        </w:rPr>
        <w:t>说明政策改变的外生变量，以及IS或LM向哪一方向移动。</w:t>
      </w:r>
    </w:p>
    <w:p>
      <w:pPr>
        <w:spacing w:after="60"/>
        <w:ind w:left="312" w:hanging="159"/>
        <w:widowControl/>
      </w:pPr>
      <w:r>
        <w:rPr>
          <w:rFonts w:ascii="Noto Sans CJK SC" w:hAnsi="Noto Sans CJK SC" w:eastAsia="Noto Sans CJK SC"/>
          <w:b/>
          <w:color w:val="A33131"/>
        </w:rPr>
        <w:t xml:space="preserve">3. </w:t>
      </w:r>
      <w:r>
        <w:rPr>
          <w:rFonts w:ascii="Noto Serif CJK SC" w:hAnsi="Noto Serif CJK SC" w:eastAsia="Noto Serif CJK SC"/>
          <w:sz w:val="21"/>
        </w:rPr>
        <w:t>标出新均衡E1及Y1、r1。</w:t>
      </w:r>
    </w:p>
    <w:p>
      <w:pPr>
        <w:spacing w:after="60"/>
        <w:ind w:left="312" w:hanging="159"/>
        <w:widowControl/>
      </w:pPr>
      <w:r>
        <w:rPr>
          <w:rFonts w:ascii="Noto Sans CJK SC" w:hAnsi="Noto Sans CJK SC" w:eastAsia="Noto Sans CJK SC"/>
          <w:b/>
          <w:color w:val="A33131"/>
        </w:rPr>
        <w:t xml:space="preserve">4. </w:t>
      </w:r>
      <w:r>
        <w:rPr>
          <w:rFonts w:ascii="Noto Serif CJK SC" w:hAnsi="Noto Serif CJK SC" w:eastAsia="Noto Serif CJK SC"/>
          <w:sz w:val="21"/>
        </w:rPr>
        <w:t>解释反馈机制，例如财政扩张为何推高利率，货币扩张为何刺激投资。</w:t>
      </w:r>
    </w:p>
    <w:p>
      <w:pPr>
        <w:spacing w:after="60"/>
        <w:ind w:left="312" w:hanging="159"/>
        <w:widowControl/>
      </w:pPr>
      <w:r>
        <w:rPr>
          <w:rFonts w:ascii="Noto Sans CJK SC" w:hAnsi="Noto Sans CJK SC" w:eastAsia="Noto Sans CJK SC"/>
          <w:b/>
          <w:color w:val="A33131"/>
        </w:rPr>
        <w:t xml:space="preserve">5. </w:t>
      </w:r>
      <w:r>
        <w:rPr>
          <w:rFonts w:ascii="Noto Serif CJK SC" w:hAnsi="Noto Serif CJK SC" w:eastAsia="Noto Serif CJK SC"/>
          <w:sz w:val="21"/>
        </w:rPr>
        <w:t>若题目问政策效果大小，再结合曲线斜率或特殊区域分析。</w:t>
      </w: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能从投资函数和商品市场均衡推导IS的负斜率。</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能从货币需求与货币供给均衡推导LM的正斜率。</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熟练判断财政、货币政策引起的曲线移动及Y、r变化。</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能够用流动性陷阱、古典区域和挤出效应解释政策局限。</w:t>
      </w:r>
    </w:p>
    <w:p>
      <w:pPr>
        <w:pStyle w:val="Heading2"/>
        <w:widowControl/>
      </w:pPr>
      <w:r>
        <w:t>自测题</w:t>
      </w:r>
    </w:p>
    <w:p>
      <w:pPr>
        <w:pStyle w:val="Compact"/>
        <w:ind w:firstLine="0"/>
        <w:widowControl/>
      </w:pPr>
      <w:r>
        <w:rPr>
          <w:rFonts w:ascii="Noto Serif CJK SC" w:hAnsi="Noto Serif CJK SC" w:eastAsia="Noto Serif CJK SC"/>
          <w:sz w:val="19"/>
        </w:rPr>
        <w:t>1. 政府购买增加为什么不仅提高收入，还会提高利率？</w:t>
      </w:r>
    </w:p>
    <w:p>
      <w:pPr>
        <w:pStyle w:val="Compact"/>
        <w:ind w:firstLine="0"/>
        <w:widowControl/>
      </w:pPr>
      <w:r>
        <w:rPr>
          <w:rFonts w:ascii="Noto Serif CJK SC" w:hAnsi="Noto Serif CJK SC" w:eastAsia="Noto Serif CJK SC"/>
          <w:sz w:val="19"/>
        </w:rPr>
        <w:t>2. 价格水平上升会使LM如何移动？</w:t>
      </w:r>
    </w:p>
    <w:p>
      <w:pPr>
        <w:pStyle w:val="Compact"/>
        <w:ind w:firstLine="0"/>
        <w:widowControl/>
      </w:pPr>
      <w:r>
        <w:rPr>
          <w:rFonts w:ascii="Noto Serif CJK SC" w:hAnsi="Noto Serif CJK SC" w:eastAsia="Noto Serif CJK SC"/>
          <w:sz w:val="19"/>
        </w:rPr>
        <w:t>3. 流动性陷阱中货币政策为什么较弱？</w:t>
      </w:r>
    </w:p>
    <w:p>
      <w:pPr>
        <w:pStyle w:val="Compact"/>
        <w:ind w:firstLine="0"/>
        <w:widowControl/>
      </w:pPr>
      <w:r>
        <w:rPr>
          <w:rFonts w:ascii="Noto Serif CJK SC" w:hAnsi="Noto Serif CJK SC" w:eastAsia="Noto Serif CJK SC"/>
          <w:sz w:val="19"/>
        </w:rPr>
        <w:t>4. 投资对利率越敏感，IS曲线为何越平坦？</w:t>
      </w:r>
    </w:p>
    <w:p>
      <w:pPr>
        <w:keepNext/>
        <w:spacing w:before="1600" w:after="80"/>
        <w:jc w:val="left"/>
        <w:widowControl/>
      </w:pPr>
      <w:r>
        <w:rPr>
          <w:rFonts w:ascii="Noto Sans CJK SC" w:hAnsi="Noto Sans CJK SC" w:eastAsia="Noto Sans CJK SC"/>
          <w:b/>
          <w:color w:val="A33131"/>
          <w:sz w:val="28"/>
        </w:rPr>
        <w:t>第四章</w:t>
      </w:r>
    </w:p>
    <w:p>
      <w:pPr>
        <w:keepNext/>
        <w:spacing w:after="200"/>
        <w:widowControl/>
      </w:pPr>
      <w:r>
        <w:rPr>
          <w:rFonts w:ascii="Noto Sans CJK SC" w:hAnsi="Noto Sans CJK SC" w:eastAsia="Noto Sans CJK SC"/>
          <w:b/>
          <w:color w:val="2F3337"/>
          <w:sz w:val="50"/>
        </w:rPr>
        <w:t>总需求—总供给模型</w:t>
      </w:r>
    </w:p>
    <w:p>
      <w:pPr>
        <w:keepNext/>
        <w:spacing w:after="360"/>
        <w:widowControl/>
      </w:pPr>
      <w:r>
        <w:rPr>
          <w:rFonts w:ascii="Noto Serif CJK SC" w:hAnsi="Noto Serif CJK SC" w:eastAsia="Noto Serif CJK SC"/>
          <w:color w:val="6B6F73"/>
          <w:sz w:val="22"/>
        </w:rPr>
        <w:t>把价格水平纳入分析，连接短期波动与长期潜在产出。</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AD推导 → AD移动 → 总供给基础 → 短期总供给 → 长期总供给 → 宏观冲击 → 短期与长期调整</w:t>
            </w:r>
          </w:p>
        </w:tc>
      </w:tr>
    </w:tbl>
    <w:p>
      <w:pPr>
        <w:spacing w:after="0"/>
        <w:widowControl/>
      </w:pPr>
    </w:p>
    <w:p>
      <w:pPr>
        <w:pStyle w:val="Heading2"/>
        <w:widowControl/>
      </w:pPr>
      <w:r>
        <w:t>4.1 总需求曲线 AD</w:t>
      </w:r>
    </w:p>
    <w:p>
      <w:pPr>
        <w:widowControl/>
      </w:pPr>
      <w:r>
        <w:rPr>
          <w:rFonts w:ascii="Noto Serif CJK SC" w:hAnsi="Noto Serif CJK SC" w:eastAsia="Noto Serif CJK SC"/>
        </w:rPr>
        <w:t>总需求是经济中各部门在不同价格水平下愿意购买的国内最终产品和服务总量。AD曲线不是单一商品的需求曲线，而是价格总水平P与均衡实际产出Y的组合。</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AD = C + I + G + NX</w:t>
            </w:r>
          </w:p>
        </w:tc>
      </w:tr>
    </w:tbl>
    <w:p>
      <w:pPr>
        <w:spacing w:after="0"/>
        <w:widowControl/>
      </w:pPr>
    </w:p>
    <w:p>
      <w:pPr>
        <w:widowControl/>
      </w:pPr>
      <w:r>
        <w:rPr>
          <w:rFonts w:ascii="Noto Serif CJK SC" w:hAnsi="Noto Serif CJK SC" w:eastAsia="Noto Serif CJK SC"/>
        </w:rPr>
        <w:t>从IS-LM推导：价格水平下降使实际货币余额M/P增加，LM右移，利率下降，投资和均衡收入增加，因此AD向右下方倾斜。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实际余额效应：P下降提高货币财富的实际购买力，消费增加。</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利率效应：P下降降低交易性货币需求或提高实际货币供给，利率下降，投资增加。</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汇率效应：在开放经济中，利率下降可能导致本币贬值，净出口增加。</w:t>
      </w:r>
    </w:p>
    <w:p>
      <w:pPr>
        <w:pStyle w:val="Heading2"/>
        <w:widowControl/>
      </w:pPr>
      <w:r>
        <w:t>4.2 AD曲线的移动</w:t>
      </w:r>
    </w:p>
    <w:tbl>
      <w:tblPr>
        <w:tblW w:type="auto" w:w="0"/>
        <w:jc w:val="center"/>
        <w:tblLayout w:type="fixed"/>
        <w:tblLook w:firstColumn="1" w:firstRow="1" w:lastColumn="0" w:lastRow="0" w:noHBand="0" w:noVBand="1" w:val="04A0"/>
      </w:tblPr>
      <w:tblGrid>
        <w:gridCol w:w="2948"/>
        <w:gridCol w:w="1474"/>
        <w:gridCol w:w="4139"/>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冲击或政策</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AD方向</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传导机制</w:t>
            </w:r>
          </w:p>
        </w:tc>
      </w:tr>
      <w:tr>
        <w:trPr>
          <w:cantSplit/>
        </w:trPr>
        <w:tc>
          <w:tcPr>
            <w:tcW w:type="dxa" w:w="294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消费者信心增强、自主消费增加</w:t>
            </w:r>
          </w:p>
        </w:tc>
        <w:tc>
          <w:tcPr>
            <w:tcW w:type="dxa" w:w="147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13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任一价格水平下C增加</w:t>
            </w:r>
          </w:p>
        </w:tc>
      </w:tr>
      <w:tr>
        <w:trPr>
          <w:cantSplit/>
        </w:trPr>
        <w:tc>
          <w:tcPr>
            <w:tcW w:type="dxa" w:w="294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企业预期改善、自主投资增加</w:t>
            </w:r>
          </w:p>
        </w:tc>
        <w:tc>
          <w:tcPr>
            <w:tcW w:type="dxa" w:w="147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13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任一价格水平下I增加</w:t>
            </w:r>
          </w:p>
        </w:tc>
      </w:tr>
      <w:tr>
        <w:trPr>
          <w:cantSplit/>
        </w:trPr>
        <w:tc>
          <w:tcPr>
            <w:tcW w:type="dxa" w:w="294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扩张性财政政策</w:t>
            </w:r>
          </w:p>
        </w:tc>
        <w:tc>
          <w:tcPr>
            <w:tcW w:type="dxa" w:w="147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13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G增加或T下降</w:t>
            </w:r>
          </w:p>
        </w:tc>
      </w:tr>
      <w:tr>
        <w:trPr>
          <w:cantSplit/>
        </w:trPr>
        <w:tc>
          <w:tcPr>
            <w:tcW w:type="dxa" w:w="294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扩张性货币政策</w:t>
            </w:r>
          </w:p>
        </w:tc>
        <w:tc>
          <w:tcPr>
            <w:tcW w:type="dxa" w:w="147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13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LM右移、利率下降、投资增加</w:t>
            </w:r>
          </w:p>
        </w:tc>
      </w:tr>
      <w:tr>
        <w:trPr>
          <w:cantSplit/>
        </w:trPr>
        <w:tc>
          <w:tcPr>
            <w:tcW w:type="dxa" w:w="294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出口需求增加或本币贬值</w:t>
            </w:r>
          </w:p>
        </w:tc>
        <w:tc>
          <w:tcPr>
            <w:tcW w:type="dxa" w:w="147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右移</w:t>
            </w:r>
          </w:p>
        </w:tc>
        <w:tc>
          <w:tcPr>
            <w:tcW w:type="dxa" w:w="413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NX增加</w:t>
            </w:r>
          </w:p>
        </w:tc>
      </w:tr>
      <w:tr>
        <w:trPr>
          <w:cantSplit/>
        </w:trPr>
        <w:tc>
          <w:tcPr>
            <w:tcW w:type="dxa" w:w="294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上述因素反向变化</w:t>
            </w:r>
          </w:p>
        </w:tc>
        <w:tc>
          <w:tcPr>
            <w:tcW w:type="dxa" w:w="147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左移</w:t>
            </w:r>
          </w:p>
        </w:tc>
        <w:tc>
          <w:tcPr>
            <w:tcW w:type="dxa" w:w="413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总计划支出下降</w:t>
            </w:r>
          </w:p>
        </w:tc>
      </w:tr>
    </w:tbl>
    <w:p>
      <w:pPr>
        <w:spacing w:after="0"/>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7ECEC"/>
            <w:tcBorders>
              <w:top w:val="nil"/>
              <w:left w:val="single" w:sz="18" w:color="A33131"/>
              <w:bottom w:val="nil"/>
              <w:right w:val="nil"/>
            </w:tcBorders>
          </w:tcPr>
          <w:p>
            <w:pPr>
              <w:spacing w:before="80" w:after="40"/>
              <w:ind w:firstLine="0"/>
            </w:pPr>
            <w:r>
              <w:rPr>
                <w:rFonts w:ascii="Noto Sans CJK SC" w:hAnsi="Noto Sans CJK SC" w:eastAsia="Noto Sans CJK SC"/>
                <w:b/>
                <w:color w:val="A33131"/>
                <w:sz w:val="20"/>
              </w:rPr>
              <w:t xml:space="preserve">沿曲线移动与曲线移动  </w:t>
            </w:r>
            <w:r>
              <w:rPr>
                <w:rFonts w:ascii="Noto Serif CJK SC" w:hAnsi="Noto Serif CJK SC" w:eastAsia="Noto Serif CJK SC"/>
                <w:color w:val="2F3337"/>
                <w:sz w:val="19"/>
              </w:rPr>
              <w:t>价格水平P自身变化导致沿AD曲线移动；消费、投资、财政、货币或净出口等外生因素变化导致整条AD曲线移动。</w:t>
            </w:r>
          </w:p>
        </w:tc>
      </w:tr>
    </w:tbl>
    <w:p>
      <w:pPr>
        <w:spacing w:after="0"/>
        <w:widowControl/>
      </w:pPr>
    </w:p>
    <w:p>
      <w:pPr>
        <w:pStyle w:val="Heading2"/>
        <w:widowControl/>
      </w:pPr>
      <w:r>
        <w:t>4.3 总供给的基础：生产函数与劳动市场</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Y = F(K,N,A)</w:t>
            </w:r>
          </w:p>
          <w:p>
            <w:pPr>
              <w:spacing w:after="80"/>
              <w:jc w:val="center"/>
            </w:pPr>
            <w:r>
              <w:rPr>
                <w:rFonts w:ascii="Noto Serif CJK SC" w:hAnsi="Noto Serif CJK SC" w:eastAsia="Noto Serif CJK SC"/>
                <w:color w:val="6B6F73"/>
                <w:sz w:val="18"/>
              </w:rPr>
              <w:t>产出取决于资本K、劳动N和技术A。</w:t>
            </w:r>
          </w:p>
        </w:tc>
      </w:tr>
    </w:tbl>
    <w:p>
      <w:pPr>
        <w:spacing w:after="0"/>
        <w:widowControl/>
      </w:pPr>
    </w:p>
    <w:p>
      <w:pPr>
        <w:widowControl/>
      </w:pPr>
      <w:r>
        <w:rPr>
          <w:rFonts w:ascii="Noto Serif CJK SC" w:hAnsi="Noto Serif CJK SC" w:eastAsia="Noto Serif CJK SC"/>
        </w:rPr>
        <w:t>短期内资本和技术相对固定，企业增加产出通常需要增加劳动投入。劳动需求取决于劳动的边际产量与实际工资，劳动供给则受实际工资和偏好影响。潜在产出是资源正常利用时可持续的产出水平。</w:t>
      </w:r>
    </w:p>
    <w:p>
      <w:pPr>
        <w:pStyle w:val="Heading2"/>
        <w:widowControl/>
      </w:pPr>
      <w:r>
        <w:t>4.4 三种总供给形态</w:t>
      </w:r>
    </w:p>
    <w:tbl>
      <w:tblPr>
        <w:tblW w:type="auto" w:w="0"/>
        <w:jc w:val="center"/>
        <w:tblLayout w:type="fixed"/>
        <w:tblLook w:firstColumn="1" w:firstRow="1" w:lastColumn="0" w:lastRow="0" w:noHBand="0" w:noVBand="1" w:val="04A0"/>
      </w:tblPr>
      <w:tblGrid>
        <w:gridCol w:w="1984"/>
        <w:gridCol w:w="2551"/>
        <w:gridCol w:w="4025"/>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形态</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图形特征</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适用解释</w:t>
            </w:r>
          </w:p>
        </w:tc>
      </w:tr>
      <w:tr>
        <w:trPr>
          <w:cantSplit/>
        </w:trPr>
        <w:tc>
          <w:tcPr>
            <w:tcW w:type="dxa" w:w="198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凯恩斯极端</w:t>
            </w:r>
          </w:p>
        </w:tc>
        <w:tc>
          <w:tcPr>
            <w:tcW w:type="dxa" w:w="255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AS近似水平</w:t>
            </w:r>
          </w:p>
        </w:tc>
        <w:tc>
          <w:tcPr>
            <w:tcW w:type="dxa" w:w="402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严重萧条、资源大量闲置，需求增加主要提高产出</w:t>
            </w:r>
          </w:p>
        </w:tc>
      </w:tr>
      <w:tr>
        <w:trPr>
          <w:cantSplit/>
        </w:trPr>
        <w:tc>
          <w:tcPr>
            <w:tcW w:type="dxa" w:w="198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一般短期总供给SRAS</w:t>
            </w:r>
          </w:p>
        </w:tc>
        <w:tc>
          <w:tcPr>
            <w:tcW w:type="dxa" w:w="255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向右上方倾斜</w:t>
            </w:r>
          </w:p>
        </w:tc>
        <w:tc>
          <w:tcPr>
            <w:tcW w:type="dxa" w:w="402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工资和价格存在黏性，产出与价格同时变化</w:t>
            </w:r>
          </w:p>
        </w:tc>
      </w:tr>
      <w:tr>
        <w:trPr>
          <w:cantSplit/>
        </w:trPr>
        <w:tc>
          <w:tcPr>
            <w:tcW w:type="dxa" w:w="198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古典长期总供给LRAS</w:t>
            </w:r>
          </w:p>
        </w:tc>
        <w:tc>
          <w:tcPr>
            <w:tcW w:type="dxa" w:w="255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在潜在产出Y*处垂直</w:t>
            </w:r>
          </w:p>
        </w:tc>
        <w:tc>
          <w:tcPr>
            <w:tcW w:type="dxa" w:w="402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长期中产出由资源和技术决定，需求只影响价格</w:t>
            </w:r>
          </w:p>
        </w:tc>
      </w:tr>
    </w:tbl>
    <w:p>
      <w:pPr>
        <w:spacing w:after="0"/>
        <w:widowControl/>
      </w:pPr>
    </w:p>
    <w:p>
      <w:pPr>
        <w:pStyle w:val="Heading2"/>
        <w:widowControl/>
      </w:pPr>
      <w:r>
        <w:t>4.5 短期总供给为何向右上方倾斜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黏性工资：名义工资调整较慢，价格上升会暂时降低实际工资，企业愿意雇佣更多劳动并扩大产出。</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黏性价格：部分企业未能及时调价，整体需求上升时会先增加销量和产量。</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信息不完全：生产者把总体价格上涨误认为自身产品相对价格上涨，从而增加生产。</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成本约束：产出扩张伴随边际成本上升，企业需要更高价格才愿意提供更多产出。</w:t>
      </w:r>
    </w:p>
    <w:p>
      <w:pPr>
        <w:pStyle w:val="Heading2"/>
        <w:widowControl/>
      </w:pPr>
      <w:r>
        <w:t>4.6 SRAS与LRAS的移动</w:t>
      </w:r>
    </w:p>
    <w:tbl>
      <w:tblPr>
        <w:tblW w:type="auto" w:w="0"/>
        <w:jc w:val="center"/>
        <w:tblLayout w:type="fixed"/>
        <w:tblLook w:firstColumn="1" w:firstRow="1" w:lastColumn="0" w:lastRow="0" w:noHBand="0" w:noVBand="1" w:val="04A0"/>
      </w:tblPr>
      <w:tblGrid>
        <w:gridCol w:w="2835"/>
        <w:gridCol w:w="3515"/>
        <w:gridCol w:w="2268"/>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因素</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短期/长期供给变化</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方向</w:t>
            </w:r>
          </w:p>
        </w:tc>
      </w:tr>
      <w:tr>
        <w:trPr>
          <w:cantSplit/>
        </w:trPr>
        <w:tc>
          <w:tcPr>
            <w:tcW w:type="dxa" w:w="283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能源和原材料价格下降</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生产成本下降</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SRAS右移</w:t>
            </w:r>
          </w:p>
        </w:tc>
      </w:tr>
      <w:tr>
        <w:trPr>
          <w:cantSplit/>
        </w:trPr>
        <w:tc>
          <w:tcPr>
            <w:tcW w:type="dxa" w:w="283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名义工资上升、负向供给冲击</w:t>
            </w:r>
          </w:p>
        </w:tc>
        <w:tc>
          <w:tcPr>
            <w:tcW w:type="dxa" w:w="351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生产成本上升</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SRAS左移</w:t>
            </w:r>
          </w:p>
        </w:tc>
      </w:tr>
      <w:tr>
        <w:trPr>
          <w:cantSplit/>
        </w:trPr>
        <w:tc>
          <w:tcPr>
            <w:tcW w:type="dxa" w:w="283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劳动、资本或技术增加</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潜在生产能力提高</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LRAS右移，同时长期SRAS也右移</w:t>
            </w:r>
          </w:p>
        </w:tc>
      </w:tr>
      <w:tr>
        <w:trPr>
          <w:cantSplit/>
        </w:trPr>
        <w:tc>
          <w:tcPr>
            <w:tcW w:type="dxa" w:w="283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制度改善、生产率提高</w:t>
            </w:r>
          </w:p>
        </w:tc>
        <w:tc>
          <w:tcPr>
            <w:tcW w:type="dxa" w:w="351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单位成本下降、潜在产出提高</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供给曲线右移</w:t>
            </w:r>
          </w:p>
        </w:tc>
      </w:tr>
      <w:tr>
        <w:trPr>
          <w:cantSplit/>
        </w:trPr>
        <w:tc>
          <w:tcPr>
            <w:tcW w:type="dxa" w:w="283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自然灾害、资本损毁</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生产能力下降</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供给曲线左移</w:t>
            </w:r>
          </w:p>
        </w:tc>
      </w:tr>
    </w:tbl>
    <w:p>
      <w:pPr>
        <w:spacing w:after="0"/>
        <w:widowControl/>
      </w:pPr>
    </w:p>
    <w:p>
      <w:pPr>
        <w:pStyle w:val="Heading2"/>
        <w:widowControl/>
      </w:pPr>
      <w:r>
        <w:t>4.7 AD-AS均衡与宏观冲击</w:t>
      </w:r>
    </w:p>
    <w:p>
      <w:pPr>
        <w:pStyle w:val="Heading3"/>
        <w:widowControl/>
      </w:pPr>
      <w:r>
        <w:t>（一）需求冲击</w:t>
      </w:r>
    </w:p>
    <w:p>
      <w:pPr>
        <w:widowControl/>
      </w:pPr>
      <w:r>
        <w:rPr>
          <w:rFonts w:ascii="Noto Serif CJK SC" w:hAnsi="Noto Serif CJK SC" w:eastAsia="Noto Serif CJK SC"/>
        </w:rPr>
        <w:t>AD右移时，短期内产出和价格都上升。如果产出超过潜在水平，劳动力市场趋紧、工资上涨，SRAS逐步左移，长期产出回到Y*，但价格水平永久提高。AD左移的调整方向相反，短期出现衰退缺口。</w:t>
      </w:r>
    </w:p>
    <w:p>
      <w:pPr>
        <w:pStyle w:val="Heading3"/>
        <w:widowControl/>
      </w:pPr>
      <w:r>
        <w:t>（二）供给冲击</w:t>
      </w:r>
    </w:p>
    <w:p>
      <w:pPr>
        <w:widowControl/>
      </w:pPr>
      <w:r>
        <w:rPr>
          <w:rFonts w:ascii="Noto Serif CJK SC" w:hAnsi="Noto Serif CJK SC" w:eastAsia="Noto Serif CJK SC"/>
        </w:rPr>
        <w:t>负向供给冲击使SRAS左移，出现价格上升与产出下降并存的滞胀。此时政策面临两难：刺激需求可以减轻产出下降，却进一步推高物价；抑制需求可以控制通胀，却加剧衰退。</w:t>
      </w:r>
    </w:p>
    <w:tbl>
      <w:tblPr>
        <w:tblW w:type="auto" w:w="0"/>
        <w:jc w:val="center"/>
        <w:tblLayout w:type="fixed"/>
        <w:tblLook w:firstColumn="1" w:firstRow="1" w:lastColumn="0" w:lastRow="0" w:noHBand="0" w:noVBand="1" w:val="04A0"/>
      </w:tblPr>
      <w:tblGrid>
        <w:gridCol w:w="1928"/>
        <w:gridCol w:w="1701"/>
        <w:gridCol w:w="1701"/>
        <w:gridCol w:w="3288"/>
      </w:tblGrid>
      <w:tr>
        <w:trPr>
          <w:tblHeader w:val="true"/>
          <w:cantSplit/>
        </w:trPr>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冲击</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短期Y</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短期P</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长期调整要点</w:t>
            </w:r>
          </w:p>
        </w:tc>
      </w:tr>
      <w:tr>
        <w:trPr>
          <w:cantSplit/>
        </w:trPr>
        <w:tc>
          <w:tcPr>
            <w:tcW w:type="dxa" w:w="192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AD右移</w:t>
            </w:r>
          </w:p>
        </w:tc>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上升</w:t>
            </w:r>
          </w:p>
        </w:tc>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上升</w:t>
            </w:r>
          </w:p>
        </w:tc>
        <w:tc>
          <w:tcPr>
            <w:tcW w:type="dxa" w:w="328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工资和成本上升，SRAS左移，Y回到Y*</w:t>
            </w:r>
          </w:p>
        </w:tc>
      </w:tr>
      <w:tr>
        <w:trPr>
          <w:cantSplit/>
        </w:trPr>
        <w:tc>
          <w:tcPr>
            <w:tcW w:type="dxa" w:w="192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AD左移</w:t>
            </w:r>
          </w:p>
        </w:tc>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下降</w:t>
            </w:r>
          </w:p>
        </w:tc>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下降或涨幅放缓</w:t>
            </w:r>
          </w:p>
        </w:tc>
        <w:tc>
          <w:tcPr>
            <w:tcW w:type="dxa" w:w="328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工资成本逐步下降，SRAS右移</w:t>
            </w:r>
          </w:p>
        </w:tc>
      </w:tr>
      <w:tr>
        <w:trPr>
          <w:cantSplit/>
        </w:trPr>
        <w:tc>
          <w:tcPr>
            <w:tcW w:type="dxa" w:w="192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SRAS左移</w:t>
            </w:r>
          </w:p>
        </w:tc>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下降</w:t>
            </w:r>
          </w:p>
        </w:tc>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上升</w:t>
            </w:r>
          </w:p>
        </w:tc>
        <w:tc>
          <w:tcPr>
            <w:tcW w:type="dxa" w:w="328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若冲击暂时可自行恢复；若潜在能力受损则LRAS也可能左移</w:t>
            </w:r>
          </w:p>
        </w:tc>
      </w:tr>
      <w:tr>
        <w:trPr>
          <w:cantSplit/>
        </w:trPr>
        <w:tc>
          <w:tcPr>
            <w:tcW w:type="dxa" w:w="192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LRAS右移</w:t>
            </w:r>
          </w:p>
        </w:tc>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潜在产出提高</w:t>
            </w:r>
          </w:p>
        </w:tc>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长期价格压力下降</w:t>
            </w:r>
          </w:p>
        </w:tc>
        <w:tc>
          <w:tcPr>
            <w:tcW w:type="dxa" w:w="328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技术、资本或劳动增长带来真实增长</w:t>
            </w:r>
          </w:p>
        </w:tc>
      </w:tr>
    </w:tbl>
    <w:p>
      <w:pPr>
        <w:spacing w:after="0"/>
        <w:widowControl/>
      </w:pPr>
    </w:p>
    <w:p>
      <w:pPr>
        <w:pStyle w:val="Heading2"/>
        <w:widowControl/>
      </w:pPr>
      <w:r>
        <w:t>4.8 产出缺口</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产出缺口 = 实际产出Y − 潜在产出Y*</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Y &lt; Y*：衰退缺口，周期性失业较高，通胀压力较弱。</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Y &gt; Y*：通胀缺口，资源过度利用，工资和价格上涨压力较强。</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Y = Y*：长期均衡，但自然失业仍然存在。</w:t>
      </w: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能够由IS-LM解释AD为什么向右下方倾斜。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区分价格变化导致的沿AD移动与政策冲击导致的AD移动。</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能够解释SRAS正斜率和LRAS垂直的原因。</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能够分别分析需求冲击、供给冲击的短期与长期结果。</w:t>
      </w:r>
    </w:p>
    <w:p>
      <w:pPr>
        <w:pStyle w:val="Heading2"/>
        <w:widowControl/>
      </w:pPr>
      <w:r>
        <w:t>自测题</w:t>
      </w:r>
    </w:p>
    <w:p>
      <w:pPr>
        <w:pStyle w:val="Compact"/>
        <w:ind w:firstLine="0"/>
        <w:widowControl/>
      </w:pPr>
      <w:r>
        <w:rPr>
          <w:rFonts w:ascii="Noto Serif CJK SC" w:hAnsi="Noto Serif CJK SC" w:eastAsia="Noto Serif CJK SC"/>
          <w:sz w:val="19"/>
        </w:rPr>
        <w:t>1. 价格水平下降为什么会提高总需求量？</w:t>
      </w:r>
    </w:p>
    <w:p>
      <w:pPr>
        <w:pStyle w:val="Compact"/>
        <w:ind w:firstLine="0"/>
        <w:widowControl/>
      </w:pPr>
      <w:r>
        <w:rPr>
          <w:rFonts w:ascii="Noto Serif CJK SC" w:hAnsi="Noto Serif CJK SC" w:eastAsia="Noto Serif CJK SC"/>
          <w:sz w:val="19"/>
        </w:rPr>
        <w:t>2. 技术进步会使哪条曲线移动？</w:t>
      </w:r>
    </w:p>
    <w:p>
      <w:pPr>
        <w:pStyle w:val="Compact"/>
        <w:ind w:firstLine="0"/>
        <w:widowControl/>
      </w:pPr>
      <w:r>
        <w:rPr>
          <w:rFonts w:ascii="Noto Serif CJK SC" w:hAnsi="Noto Serif CJK SC" w:eastAsia="Noto Serif CJK SC"/>
          <w:sz w:val="19"/>
        </w:rPr>
        <w:t>3. 为什么负向供给冲击会造成滞胀？</w:t>
      </w:r>
    </w:p>
    <w:p>
      <w:pPr>
        <w:pStyle w:val="Compact"/>
        <w:ind w:firstLine="0"/>
        <w:widowControl/>
      </w:pPr>
      <w:r>
        <w:rPr>
          <w:rFonts w:ascii="Noto Serif CJK SC" w:hAnsi="Noto Serif CJK SC" w:eastAsia="Noto Serif CJK SC"/>
          <w:sz w:val="19"/>
        </w:rPr>
        <w:t>4. 扩张性需求政策能否长期提高实际产出？</w:t>
      </w:r>
    </w:p>
    <w:p>
      <w:pPr>
        <w:keepNext/>
        <w:spacing w:before="1600" w:after="80"/>
        <w:jc w:val="left"/>
        <w:widowControl/>
      </w:pPr>
      <w:r>
        <w:rPr>
          <w:rFonts w:ascii="Noto Sans CJK SC" w:hAnsi="Noto Sans CJK SC" w:eastAsia="Noto Sans CJK SC"/>
          <w:b/>
          <w:color w:val="A33131"/>
          <w:sz w:val="28"/>
        </w:rPr>
        <w:t>第五章</w:t>
      </w:r>
    </w:p>
    <w:p>
      <w:pPr>
        <w:keepNext/>
        <w:spacing w:after="200"/>
        <w:widowControl/>
      </w:pPr>
      <w:r>
        <w:rPr>
          <w:rFonts w:ascii="Noto Sans CJK SC" w:hAnsi="Noto Sans CJK SC" w:eastAsia="Noto Sans CJK SC"/>
          <w:b/>
          <w:color w:val="2F3337"/>
          <w:sz w:val="50"/>
        </w:rPr>
        <w:t>失业、通货膨胀和经济周期</w:t>
      </w:r>
    </w:p>
    <w:p>
      <w:pPr>
        <w:keepNext/>
        <w:spacing w:after="360"/>
        <w:widowControl/>
      </w:pPr>
      <w:r>
        <w:rPr>
          <w:rFonts w:ascii="Noto Serif CJK SC" w:hAnsi="Noto Serif CJK SC" w:eastAsia="Noto Serif CJK SC"/>
          <w:color w:val="6B6F73"/>
          <w:sz w:val="22"/>
        </w:rPr>
        <w:t>识别宏观波动的表现、成因及政策权衡。</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失业分类 → 自然失业率 → 奥肯定律 → 通胀类型 → 通胀成本 → 菲利普斯曲线 → 经济周期</w:t>
            </w:r>
          </w:p>
        </w:tc>
      </w:tr>
    </w:tbl>
    <w:p>
      <w:pPr>
        <w:spacing w:after="0"/>
        <w:widowControl/>
      </w:pPr>
    </w:p>
    <w:p>
      <w:pPr>
        <w:pStyle w:val="Heading2"/>
        <w:widowControl/>
      </w:pPr>
      <w:r>
        <w:t>5.1 失业的类型</w:t>
      </w:r>
    </w:p>
    <w:tbl>
      <w:tblPr>
        <w:tblW w:type="auto" w:w="0"/>
        <w:jc w:val="center"/>
        <w:tblLayout w:type="fixed"/>
        <w:tblLook w:firstColumn="1" w:firstRow="1" w:lastColumn="0" w:lastRow="0" w:noHBand="0" w:noVBand="1" w:val="04A0"/>
      </w:tblPr>
      <w:tblGrid>
        <w:gridCol w:w="1814"/>
        <w:gridCol w:w="4025"/>
        <w:gridCol w:w="2835"/>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类型</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成因</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政策含义</w:t>
            </w:r>
          </w:p>
        </w:tc>
      </w:tr>
      <w:tr>
        <w:trPr>
          <w:cantSplit/>
        </w:trPr>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摩擦性失业</w:t>
            </w:r>
          </w:p>
        </w:tc>
        <w:tc>
          <w:tcPr>
            <w:tcW w:type="dxa" w:w="402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求职与岗位匹配需要时间、信息不完全</w:t>
            </w:r>
          </w:p>
        </w:tc>
        <w:tc>
          <w:tcPr>
            <w:tcW w:type="dxa" w:w="283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改善就业信息、职业介绍可降低</w:t>
            </w:r>
          </w:p>
        </w:tc>
      </w:tr>
      <w:tr>
        <w:trPr>
          <w:cantSplit/>
        </w:trPr>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结构性失业</w:t>
            </w:r>
          </w:p>
        </w:tc>
        <w:tc>
          <w:tcPr>
            <w:tcW w:type="dxa" w:w="402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技能、地区或产业结构与岗位需求不匹配</w:t>
            </w:r>
          </w:p>
        </w:tc>
        <w:tc>
          <w:tcPr>
            <w:tcW w:type="dxa" w:w="283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培训、教育、劳动力流动政策</w:t>
            </w:r>
          </w:p>
        </w:tc>
      </w:tr>
      <w:tr>
        <w:trPr>
          <w:cantSplit/>
        </w:trPr>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周期性失业</w:t>
            </w:r>
          </w:p>
        </w:tc>
        <w:tc>
          <w:tcPr>
            <w:tcW w:type="dxa" w:w="402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总需求不足导致企业减少产出和用工</w:t>
            </w:r>
          </w:p>
        </w:tc>
        <w:tc>
          <w:tcPr>
            <w:tcW w:type="dxa" w:w="283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扩张性需求管理政策</w:t>
            </w:r>
          </w:p>
        </w:tc>
      </w:tr>
      <w:tr>
        <w:trPr>
          <w:cantSplit/>
        </w:trPr>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季节性失业</w:t>
            </w:r>
          </w:p>
        </w:tc>
        <w:tc>
          <w:tcPr>
            <w:tcW w:type="dxa" w:w="402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生产或需求具有季节规律</w:t>
            </w:r>
          </w:p>
        </w:tc>
        <w:tc>
          <w:tcPr>
            <w:tcW w:type="dxa" w:w="283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统计时常做季节调整</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自然失业率 ≈ 摩擦性失业率 + 结构性失业率</w:t>
            </w:r>
          </w:p>
        </w:tc>
      </w:tr>
    </w:tbl>
    <w:p>
      <w:pPr>
        <w:spacing w:after="0"/>
        <w:widowControl/>
      </w:pPr>
    </w:p>
    <w:p>
      <w:pPr>
        <w:widowControl/>
      </w:pPr>
      <w:r>
        <w:rPr>
          <w:rFonts w:ascii="Noto Serif CJK SC" w:hAnsi="Noto Serif CJK SC" w:eastAsia="Noto Serif CJK SC"/>
        </w:rPr>
        <w:t>充分就业并不等于失业率为零，而是周期性失业基本消失，失业率处于自然水平。失业保险、最低工资、工会、效率工资和岗位匹配效率等都会影响自然失业率。</w:t>
      </w:r>
    </w:p>
    <w:p>
      <w:pPr>
        <w:pStyle w:val="Heading2"/>
        <w:widowControl/>
      </w:pPr>
      <w:r>
        <w:t>5.2 失业的理论解释</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古典解释强调实际工资高于市场出清水平，劳动供给超过劳动需求。</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凯恩斯解释强调有效需求不足：企业卖不出产品，因此减少生产和就业，即使工人愿意接受现行工资也无法就业。</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工资黏性可能来自长期合同、最低工资、工会谈判、公平观念和效率工资。工资不能迅速下降时，需求冲击会转化为失业。</w:t>
      </w:r>
    </w:p>
    <w:p>
      <w:pPr>
        <w:pStyle w:val="Heading2"/>
        <w:widowControl/>
      </w:pPr>
      <w:r>
        <w:t>5.3 失业的经济与社会成本</w:t>
      </w:r>
    </w:p>
    <w:p>
      <w:pPr>
        <w:widowControl/>
      </w:pPr>
      <w:r>
        <w:rPr>
          <w:rFonts w:ascii="Noto Serif CJK SC" w:hAnsi="Noto Serif CJK SC" w:eastAsia="Noto Serif CJK SC"/>
        </w:rPr>
        <w:t>失业不仅意味着个人收入损失，还意味着社会未能生产本可生产的产品。长期失业会导致技能退化、就业能力下降和心理压力，并可能造成贫困、财政支出增加和社会矛盾。</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(Y − Y*) / Y* = −α(u − u*)</w:t>
            </w:r>
          </w:p>
          <w:p>
            <w:pPr>
              <w:spacing w:after="80"/>
              <w:jc w:val="center"/>
            </w:pPr>
            <w:r>
              <w:rPr>
                <w:rFonts w:ascii="Noto Serif CJK SC" w:hAnsi="Noto Serif CJK SC" w:eastAsia="Noto Serif CJK SC"/>
                <w:color w:val="6B6F73"/>
                <w:sz w:val="18"/>
              </w:rPr>
              <w:t>奥肯定律：失业率高于自然水平时，实际产出低于潜在产出。</w:t>
            </w:r>
          </w:p>
        </w:tc>
      </w:tr>
    </w:tbl>
    <w:p>
      <w:pPr>
        <w:spacing w:after="0"/>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FF4E5"/>
            <w:tcBorders>
              <w:top w:val="nil"/>
              <w:left w:val="single" w:sz="18" w:color="9A6500"/>
              <w:bottom w:val="nil"/>
              <w:right w:val="nil"/>
            </w:tcBorders>
          </w:tcPr>
          <w:p>
            <w:pPr>
              <w:spacing w:before="80" w:after="40"/>
              <w:ind w:firstLine="0"/>
            </w:pPr>
            <w:r>
              <w:rPr>
                <w:rFonts w:ascii="Noto Sans CJK SC" w:hAnsi="Noto Sans CJK SC" w:eastAsia="Noto Sans CJK SC"/>
                <w:b/>
                <w:color w:val="9A6500"/>
                <w:sz w:val="20"/>
              </w:rPr>
              <w:t xml:space="preserve">注意  </w:t>
            </w:r>
            <w:r>
              <w:rPr>
                <w:rFonts w:ascii="Noto Serif CJK SC" w:hAnsi="Noto Serif CJK SC" w:eastAsia="Noto Serif CJK SC"/>
                <w:color w:val="2F3337"/>
                <w:sz w:val="19"/>
              </w:rPr>
              <w:t>奥肯定律是经验关系，不是机械恒等式。系数α会因国家、时期、劳动市场制度和劳动生产率变化而不同。</w:t>
            </w:r>
          </w:p>
        </w:tc>
      </w:tr>
    </w:tbl>
    <w:p>
      <w:pPr>
        <w:spacing w:after="0"/>
        <w:widowControl/>
      </w:pPr>
    </w:p>
    <w:p>
      <w:pPr>
        <w:pStyle w:val="Heading2"/>
        <w:widowControl/>
      </w:pPr>
      <w:r>
        <w:t>5.4 通货膨胀的含义与分类</w:t>
      </w:r>
    </w:p>
    <w:p>
      <w:pPr>
        <w:widowControl/>
      </w:pPr>
      <w:r>
        <w:rPr>
          <w:rFonts w:ascii="Noto Serif CJK SC" w:hAnsi="Noto Serif CJK SC" w:eastAsia="Noto Serif CJK SC"/>
        </w:rPr>
        <w:t>通货膨胀是一般价格水平持续、普遍上涨。单个商品涨价、一次性价格调整或质量提升引起的价格变化不能直接等同于通胀。</w:t>
      </w:r>
    </w:p>
    <w:tbl>
      <w:tblPr>
        <w:tblW w:type="auto" w:w="0"/>
        <w:jc w:val="center"/>
        <w:tblLayout w:type="fixed"/>
        <w:tblLook w:firstColumn="1" w:firstRow="1" w:lastColumn="0" w:lastRow="0" w:noHBand="0" w:noVBand="1" w:val="04A0"/>
      </w:tblPr>
      <w:tblGrid>
        <w:gridCol w:w="1757"/>
        <w:gridCol w:w="2891"/>
        <w:gridCol w:w="3969"/>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分类标准</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类型</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含义</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按速度</w:t>
            </w:r>
          </w:p>
        </w:tc>
        <w:tc>
          <w:tcPr>
            <w:tcW w:type="dxa" w:w="289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温和、奔腾、恶性通胀</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价格上涨速度和货币功能受损程度不同</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按预期</w:t>
            </w:r>
          </w:p>
        </w:tc>
        <w:tc>
          <w:tcPr>
            <w:tcW w:type="dxa" w:w="289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预期通胀、未预期通胀</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是否已被合同、工资和利率考虑</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按成因</w:t>
            </w:r>
          </w:p>
        </w:tc>
        <w:tc>
          <w:tcPr>
            <w:tcW w:type="dxa" w:w="289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需求拉动、成本推动、结构性、货币性</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总需求、成本、结构或货币增长的作用不同</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按表现</w:t>
            </w:r>
          </w:p>
        </w:tc>
        <w:tc>
          <w:tcPr>
            <w:tcW w:type="dxa" w:w="289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公开通胀、抑制性通胀</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价格是否能自由上涨</w:t>
            </w:r>
          </w:p>
        </w:tc>
      </w:tr>
    </w:tbl>
    <w:p>
      <w:pPr>
        <w:spacing w:after="0"/>
        <w:widowControl/>
      </w:pPr>
    </w:p>
    <w:p>
      <w:pPr>
        <w:pStyle w:val="Heading2"/>
        <w:widowControl/>
      </w:pPr>
      <w:r>
        <w:t>5.5 通货膨胀的成因</w:t>
      </w:r>
    </w:p>
    <w:p>
      <w:pPr>
        <w:pStyle w:val="Heading3"/>
        <w:widowControl/>
      </w:pPr>
      <w:r>
        <w:t>（一）需求拉动型通胀</w:t>
      </w:r>
    </w:p>
    <w:p>
      <w:pPr>
        <w:widowControl/>
      </w:pPr>
      <w:r>
        <w:rPr>
          <w:rFonts w:ascii="Noto Serif CJK SC" w:hAnsi="Noto Serif CJK SC" w:eastAsia="Noto Serif CJK SC"/>
        </w:rPr>
        <w:t>总需求增长快于潜在产出，AD持续右移。经济越接近充分就业，需求扩张越容易转化为价格上涨。</w:t>
      </w:r>
    </w:p>
    <w:p>
      <w:pPr>
        <w:pStyle w:val="Heading3"/>
        <w:widowControl/>
      </w:pPr>
      <w:r>
        <w:t>（二）成本推动型通胀</w:t>
      </w:r>
    </w:p>
    <w:p>
      <w:pPr>
        <w:widowControl/>
      </w:pPr>
      <w:r>
        <w:rPr>
          <w:rFonts w:ascii="Noto Serif CJK SC" w:hAnsi="Noto Serif CJK SC" w:eastAsia="Noto Serif CJK SC"/>
        </w:rPr>
        <w:t>工资、能源、原材料或税费上升使SRAS左移，价格上涨而产出下降。若工资和价格相互推动，可能形成工资—价格螺旋。</w:t>
      </w:r>
    </w:p>
    <w:p>
      <w:pPr>
        <w:pStyle w:val="Heading3"/>
        <w:widowControl/>
      </w:pPr>
      <w:r>
        <w:t>（三）货币数量论解释</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MV = PY</w:t>
            </w:r>
          </w:p>
        </w:tc>
      </w:tr>
    </w:tbl>
    <w:p>
      <w:pPr>
        <w:spacing w:after="0"/>
        <w:widowControl/>
      </w:pPr>
    </w:p>
    <w:p>
      <w:pPr>
        <w:widowControl/>
      </w:pPr>
      <w:r>
        <w:rPr>
          <w:rFonts w:ascii="Noto Serif CJK SC" w:hAnsi="Noto Serif CJK SC" w:eastAsia="Noto Serif CJK SC"/>
        </w:rPr>
        <w:t>在货币流通速度V和实际产出Y长期相对稳定时，货币供给M持续快于实际产出增长，会形成持续通胀。需求或供给冲击可以解释一次性价格水平变化，但长期持续通胀通常需要货币条件配合。</w:t>
      </w:r>
    </w:p>
    <w:p>
      <w:pPr>
        <w:pStyle w:val="Heading2"/>
        <w:widowControl/>
      </w:pPr>
      <w:r>
        <w:t>5.6 通货膨胀的影响与成本</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鞋底成本：为了减少现金余额而更频繁地进行资产转换。</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菜单成本：企业频繁调整价格、合同和标识的成本。</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相对价格扭曲：不同企业调价时点不同，价格信号变得不清晰。</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税收扭曲：名义收入上升可能使纳税人进入更高税档，实际税负变化。</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不确定性：长期投资和合同更难安排，风险溢价上升。</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再分配效应：未预期通胀通常有利于债务人、不利于债权人和固定收入者。</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实际利率 ≈ 名义利率 − 通货膨胀率</w:t>
            </w:r>
          </w:p>
          <w:p>
            <w:pPr>
              <w:spacing w:after="80"/>
              <w:jc w:val="center"/>
            </w:pPr>
            <w:r>
              <w:rPr>
                <w:rFonts w:ascii="Noto Serif CJK SC" w:hAnsi="Noto Serif CJK SC" w:eastAsia="Noto Serif CJK SC"/>
                <w:color w:val="6B6F73"/>
                <w:sz w:val="18"/>
              </w:rPr>
              <w:t>费雪关系的近似形式。</w:t>
            </w:r>
          </w:p>
        </w:tc>
      </w:tr>
    </w:tbl>
    <w:p>
      <w:pPr>
        <w:spacing w:after="0"/>
        <w:widowControl/>
      </w:pPr>
    </w:p>
    <w:p>
      <w:pPr>
        <w:pStyle w:val="Heading2"/>
        <w:widowControl/>
      </w:pPr>
      <w:r>
        <w:t>5.7 菲利普斯曲线</w:t>
      </w:r>
    </w:p>
    <w:p>
      <w:pPr>
        <w:widowControl/>
      </w:pPr>
      <w:r>
        <w:rPr>
          <w:rFonts w:ascii="Noto Serif CJK SC" w:hAnsi="Noto Serif CJK SC" w:eastAsia="Noto Serif CJK SC"/>
        </w:rPr>
        <w:t>短期菲利普斯曲线描述通胀与失业之间可能存在的反向关系：扩张总需求会降低周期性失业，但提高通胀。加入预期后，关系可写为：</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π = πᵉ − β(u − u*) + v</w:t>
            </w:r>
          </w:p>
          <w:p>
            <w:pPr>
              <w:spacing w:after="80"/>
              <w:jc w:val="center"/>
            </w:pPr>
            <w:r>
              <w:rPr>
                <w:rFonts w:ascii="Noto Serif CJK SC" w:hAnsi="Noto Serif CJK SC" w:eastAsia="Noto Serif CJK SC"/>
                <w:color w:val="6B6F73"/>
                <w:sz w:val="18"/>
              </w:rPr>
              <w:t>v代表供给冲击。</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当u &lt; u*时，经济过热，实际通胀往往高于预期通胀。</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当u &gt; u*时，经济疲弱，实际通胀往往低于预期通胀。</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预期通胀提高会使短期菲利普斯曲线上移。</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长期中预期会调整，失业率回到自然水平，因此长期菲利普斯曲线在u*处垂直。</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7ECEC"/>
            <w:tcBorders>
              <w:top w:val="nil"/>
              <w:left w:val="single" w:sz="18" w:color="A33131"/>
              <w:bottom w:val="nil"/>
              <w:right w:val="nil"/>
            </w:tcBorders>
          </w:tcPr>
          <w:p>
            <w:pPr>
              <w:spacing w:before="80" w:after="40"/>
              <w:ind w:firstLine="0"/>
            </w:pPr>
            <w:r>
              <w:rPr>
                <w:rFonts w:ascii="Noto Sans CJK SC" w:hAnsi="Noto Sans CJK SC" w:eastAsia="Noto Sans CJK SC"/>
                <w:b/>
                <w:color w:val="A33131"/>
                <w:sz w:val="20"/>
              </w:rPr>
              <w:t xml:space="preserve">政策含义  </w:t>
            </w:r>
            <w:r>
              <w:rPr>
                <w:rFonts w:ascii="Noto Serif CJK SC" w:hAnsi="Noto Serif CJK SC" w:eastAsia="Noto Serif CJK SC"/>
                <w:color w:val="2F3337"/>
                <w:sz w:val="19"/>
              </w:rPr>
              <w:t>政府不能长期用更高通胀换取更低失业。只有在预期尚未完全调整的短期，需求扩张才可能沿短期菲利普斯曲线移动。</w:t>
            </w:r>
          </w:p>
        </w:tc>
      </w:tr>
    </w:tbl>
    <w:p>
      <w:pPr>
        <w:spacing w:after="0"/>
        <w:widowControl/>
      </w:pPr>
    </w:p>
    <w:p>
      <w:pPr>
        <w:pStyle w:val="Heading2"/>
        <w:widowControl/>
      </w:pPr>
      <w:r>
        <w:t>5.8 经济周期</w:t>
      </w:r>
    </w:p>
    <w:p>
      <w:pPr>
        <w:widowControl/>
      </w:pPr>
      <w:r>
        <w:rPr>
          <w:rFonts w:ascii="Noto Serif CJK SC" w:hAnsi="Noto Serif CJK SC" w:eastAsia="Noto Serif CJK SC"/>
        </w:rPr>
        <w:t>经济周期是实际产出围绕长期趋势的反复波动，通常经历繁荣、衰退、萧条和复苏。投资、耐用品消费和存货波动通常较大；就业与产出顺周期，失业率逆周期。</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外生冲击：技术、能源价格、金融危机、战争、政策变化等。</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乘数机制：自主支出变化被收入—消费循环放大。</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加速原理：企业为满足产出增长需要增加资本存量，投资对产出变化更敏感。</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乘数—加速数相互作用可能放大并延续波动。</w:t>
      </w: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区分摩擦性、结构性和周期性失业，并提出有针对性的政策。</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能够用AD-AS解释需求拉动、成本推动和滞胀。</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能够说明未预期通胀的再分配效应。</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掌握短期与长期菲利普斯曲线及预期调整。</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能用乘数和加速原理解释经济波动被放大的机制。</w:t>
      </w:r>
    </w:p>
    <w:p>
      <w:pPr>
        <w:pStyle w:val="Heading2"/>
        <w:widowControl/>
      </w:pPr>
      <w:r>
        <w:t>自测题</w:t>
      </w:r>
    </w:p>
    <w:p>
      <w:pPr>
        <w:pStyle w:val="Compact"/>
        <w:ind w:firstLine="0"/>
        <w:widowControl/>
      </w:pPr>
      <w:r>
        <w:rPr>
          <w:rFonts w:ascii="Noto Serif CJK SC" w:hAnsi="Noto Serif CJK SC" w:eastAsia="Noto Serif CJK SC"/>
          <w:sz w:val="19"/>
        </w:rPr>
        <w:t>1. 充分就业为什么不等于零失业？</w:t>
      </w:r>
    </w:p>
    <w:p>
      <w:pPr>
        <w:pStyle w:val="Compact"/>
        <w:ind w:firstLine="0"/>
        <w:widowControl/>
      </w:pPr>
      <w:r>
        <w:rPr>
          <w:rFonts w:ascii="Noto Serif CJK SC" w:hAnsi="Noto Serif CJK SC" w:eastAsia="Noto Serif CJK SC"/>
          <w:sz w:val="19"/>
        </w:rPr>
        <w:t>2. 石油价格大幅上涨通常属于哪类通胀？</w:t>
      </w:r>
    </w:p>
    <w:p>
      <w:pPr>
        <w:pStyle w:val="Compact"/>
        <w:ind w:firstLine="0"/>
        <w:widowControl/>
      </w:pPr>
      <w:r>
        <w:rPr>
          <w:rFonts w:ascii="Noto Serif CJK SC" w:hAnsi="Noto Serif CJK SC" w:eastAsia="Noto Serif CJK SC"/>
          <w:sz w:val="19"/>
        </w:rPr>
        <w:t>3. 未预期通胀为什么有利于债务人？</w:t>
      </w:r>
    </w:p>
    <w:p>
      <w:pPr>
        <w:pStyle w:val="Compact"/>
        <w:ind w:firstLine="0"/>
        <w:widowControl/>
      </w:pPr>
      <w:r>
        <w:rPr>
          <w:rFonts w:ascii="Noto Serif CJK SC" w:hAnsi="Noto Serif CJK SC" w:eastAsia="Noto Serif CJK SC"/>
          <w:sz w:val="19"/>
        </w:rPr>
        <w:t>4. 长期菲利普斯曲线为什么垂直？</w:t>
      </w:r>
    </w:p>
    <w:p>
      <w:pPr>
        <w:keepNext/>
        <w:spacing w:before="1600" w:after="80"/>
        <w:jc w:val="left"/>
        <w:widowControl/>
      </w:pPr>
      <w:r>
        <w:rPr>
          <w:rFonts w:ascii="Noto Sans CJK SC" w:hAnsi="Noto Sans CJK SC" w:eastAsia="Noto Sans CJK SC"/>
          <w:b/>
          <w:color w:val="A33131"/>
          <w:sz w:val="28"/>
        </w:rPr>
        <w:t>第六章</w:t>
      </w:r>
    </w:p>
    <w:p>
      <w:pPr>
        <w:keepNext/>
        <w:spacing w:after="200"/>
        <w:widowControl/>
      </w:pPr>
      <w:r>
        <w:rPr>
          <w:rFonts w:ascii="Noto Sans CJK SC" w:hAnsi="Noto Sans CJK SC" w:eastAsia="Noto Sans CJK SC"/>
          <w:b/>
          <w:color w:val="2F3337"/>
          <w:sz w:val="50"/>
        </w:rPr>
        <w:t>宏观经济政策</w:t>
      </w:r>
    </w:p>
    <w:p>
      <w:pPr>
        <w:keepNext/>
        <w:spacing w:after="360"/>
        <w:widowControl/>
      </w:pPr>
      <w:r>
        <w:rPr>
          <w:rFonts w:ascii="Noto Serif CJK SC" w:hAnsi="Noto Serif CJK SC" w:eastAsia="Noto Serif CJK SC"/>
          <w:color w:val="6B6F73"/>
          <w:sz w:val="22"/>
        </w:rPr>
        <w:t>运用财政和货币工具稳定产出、就业和价格，同时认识政策边界。</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政策目标 → 财政政策 → 自动稳定器 → 财政赤字 → 货币政策工具 → 传导机制 → 政策组合 → 时滞与规则</w:t>
            </w:r>
          </w:p>
        </w:tc>
      </w:tr>
    </w:tbl>
    <w:p>
      <w:pPr>
        <w:spacing w:after="0"/>
        <w:widowControl/>
      </w:pPr>
    </w:p>
    <w:p>
      <w:pPr>
        <w:pStyle w:val="Heading2"/>
        <w:widowControl/>
      </w:pPr>
      <w:r>
        <w:t>6.1 宏观经济政策目标与冲突</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充分就业：减少周期性失业，使产出接近潜在水平。</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价格稳定：不是价格绝对不变，而是保持低且可预期的通胀。</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经济增长：提高潜在产出和长期生活水平。</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国际收支平衡：避免持续不可维持的外部失衡。</w:t>
      </w:r>
    </w:p>
    <w:p>
      <w:pPr>
        <w:widowControl/>
      </w:pPr>
      <w:r>
        <w:rPr>
          <w:rFonts w:ascii="Noto Serif CJK SC" w:hAnsi="Noto Serif CJK SC" w:eastAsia="Noto Serif CJK SC"/>
        </w:rPr>
        <w:t>不同目标可能冲突。例如扩张需求可以降低短期失业，却增加通胀和进口；紧缩政策能抑制通胀，却可能加剧衰退。政策选择需要判断冲击类型、经济所处位置和时间维度。</w:t>
      </w:r>
    </w:p>
    <w:p>
      <w:pPr>
        <w:pStyle w:val="Heading2"/>
        <w:widowControl/>
      </w:pPr>
      <w:r>
        <w:t>6.2 财政政策工具</w:t>
      </w:r>
    </w:p>
    <w:tbl>
      <w:tblPr>
        <w:tblW w:type="auto" w:w="0"/>
        <w:jc w:val="center"/>
        <w:tblLayout w:type="fixed"/>
        <w:tblLook w:firstColumn="1" w:firstRow="1" w:lastColumn="0" w:lastRow="0" w:noHBand="0" w:noVBand="1" w:val="04A0"/>
      </w:tblPr>
      <w:tblGrid>
        <w:gridCol w:w="1928"/>
        <w:gridCol w:w="2098"/>
        <w:gridCol w:w="2098"/>
        <w:gridCol w:w="2608"/>
      </w:tblGrid>
      <w:tr>
        <w:trPr>
          <w:tblHeader w:val="true"/>
          <w:cantSplit/>
        </w:trPr>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工具</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扩张性操作</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紧缩性操作</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直接影响</w:t>
            </w:r>
          </w:p>
        </w:tc>
      </w:tr>
      <w:tr>
        <w:trPr>
          <w:cantSplit/>
        </w:trPr>
        <w:tc>
          <w:tcPr>
            <w:tcW w:type="dxa" w:w="192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政府购买G</w:t>
            </w:r>
          </w:p>
        </w:tc>
        <w:tc>
          <w:tcPr>
            <w:tcW w:type="dxa" w:w="209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增加</w:t>
            </w:r>
          </w:p>
        </w:tc>
        <w:tc>
          <w:tcPr>
            <w:tcW w:type="dxa" w:w="209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减少</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直接改变总需求</w:t>
            </w:r>
          </w:p>
        </w:tc>
      </w:tr>
      <w:tr>
        <w:trPr>
          <w:cantSplit/>
        </w:trPr>
        <w:tc>
          <w:tcPr>
            <w:tcW w:type="dxa" w:w="192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税收T</w:t>
            </w:r>
          </w:p>
        </w:tc>
        <w:tc>
          <w:tcPr>
            <w:tcW w:type="dxa" w:w="209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减少</w:t>
            </w:r>
          </w:p>
        </w:tc>
        <w:tc>
          <w:tcPr>
            <w:tcW w:type="dxa" w:w="209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增加</w:t>
            </w:r>
          </w:p>
        </w:tc>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改变可支配收入、消费和投资激励</w:t>
            </w:r>
          </w:p>
        </w:tc>
      </w:tr>
      <w:tr>
        <w:trPr>
          <w:cantSplit/>
        </w:trPr>
        <w:tc>
          <w:tcPr>
            <w:tcW w:type="dxa" w:w="192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转移支付TR</w:t>
            </w:r>
          </w:p>
        </w:tc>
        <w:tc>
          <w:tcPr>
            <w:tcW w:type="dxa" w:w="209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增加</w:t>
            </w:r>
          </w:p>
        </w:tc>
        <w:tc>
          <w:tcPr>
            <w:tcW w:type="dxa" w:w="209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减少</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改变居民可支配收入</w:t>
            </w:r>
          </w:p>
        </w:tc>
      </w:tr>
      <w:tr>
        <w:trPr>
          <w:cantSplit/>
        </w:trPr>
        <w:tc>
          <w:tcPr>
            <w:tcW w:type="dxa" w:w="192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公共投资与结构性支出</w:t>
            </w:r>
          </w:p>
        </w:tc>
        <w:tc>
          <w:tcPr>
            <w:tcW w:type="dxa" w:w="209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增加基础设施、教育等</w:t>
            </w:r>
          </w:p>
        </w:tc>
        <w:tc>
          <w:tcPr>
            <w:tcW w:type="dxa" w:w="209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压缩或推迟支出</w:t>
            </w:r>
          </w:p>
        </w:tc>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兼具需求和供给效应</w:t>
            </w:r>
          </w:p>
        </w:tc>
      </w:tr>
    </w:tbl>
    <w:p>
      <w:pPr>
        <w:spacing w:after="0"/>
        <w:widowControl/>
      </w:pPr>
    </w:p>
    <w:p>
      <w:pPr>
        <w:widowControl/>
      </w:pPr>
      <w:r>
        <w:rPr>
          <w:rFonts w:ascii="Noto Serif CJK SC" w:hAnsi="Noto Serif CJK SC" w:eastAsia="Noto Serif CJK SC"/>
        </w:rPr>
        <w:t>扩张性财政政策使IS或AD右移，适用于需求不足和衰退；紧缩性财政政策使IS或AD左移，适用于需求过热和通胀压力。</w:t>
      </w:r>
    </w:p>
    <w:p>
      <w:pPr>
        <w:pStyle w:val="Heading2"/>
        <w:widowControl/>
      </w:pPr>
      <w:r>
        <w:t>6.3 自动稳定器与斟酌使用政策</w:t>
      </w:r>
    </w:p>
    <w:p>
      <w:pPr>
        <w:widowControl/>
      </w:pPr>
      <w:r>
        <w:rPr>
          <w:rFonts w:ascii="Noto Serif CJK SC" w:hAnsi="Noto Serif CJK SC" w:eastAsia="Noto Serif CJK SC"/>
        </w:rPr>
        <w:t>自动稳定器不需要新的政策决策，就能随经济波动自动改变税收和转移支付。典型机制是累进所得税、失业保险和社会救助。经济繁荣时税收自动增加、转移支付减少；衰退时相反。</w:t>
      </w:r>
    </w:p>
    <w:tbl>
      <w:tblPr>
        <w:tblW w:type="auto" w:w="0"/>
        <w:jc w:val="center"/>
        <w:tblLayout w:type="fixed"/>
        <w:tblLook w:firstColumn="1" w:firstRow="1" w:lastColumn="0" w:lastRow="0" w:noHBand="0" w:noVBand="1" w:val="04A0"/>
      </w:tblPr>
      <w:tblGrid>
        <w:gridCol w:w="2154"/>
        <w:gridCol w:w="3288"/>
        <w:gridCol w:w="3288"/>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类型</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优点</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局限</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自动稳定器</w:t>
            </w:r>
          </w:p>
        </w:tc>
        <w:tc>
          <w:tcPr>
            <w:tcW w:type="dxa" w:w="328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反应迅速、无需立法、缓冲波动</w:t>
            </w:r>
          </w:p>
        </w:tc>
        <w:tc>
          <w:tcPr>
            <w:tcW w:type="dxa" w:w="328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只能减弱波动，不能完全消除衰退或过热</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斟酌使用财政政策</w:t>
            </w:r>
          </w:p>
        </w:tc>
        <w:tc>
          <w:tcPr>
            <w:tcW w:type="dxa" w:w="328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可针对特定冲击调整规模和结构</w:t>
            </w:r>
          </w:p>
        </w:tc>
        <w:tc>
          <w:tcPr>
            <w:tcW w:type="dxa" w:w="328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存在认识、决策、执行和效果时滞</w:t>
            </w:r>
          </w:p>
        </w:tc>
      </w:tr>
    </w:tbl>
    <w:p>
      <w:pPr>
        <w:spacing w:after="0"/>
        <w:widowControl/>
      </w:pPr>
    </w:p>
    <w:p>
      <w:pPr>
        <w:pStyle w:val="Heading2"/>
        <w:widowControl/>
      </w:pPr>
      <w:r>
        <w:t>6.4 财政赤字、政府债务与可持续性</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财政赤字是一个时期内政府支出超过收入的流量；政府债务是历年赤字积累形成的存量。</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周期性赤字由经济衰退造成，经济恢复后会自动缩小；结构性赤字即使在潜在产出下仍然存在。</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评价债务需要看债务/GDP、利息支出、期限结构、币种、经济增长率和资金用途，而不能只看绝对规模。</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若债务利率长期高于经济增长率，且政府持续存在较大初级赤字，债务率上升压力更大。</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FF4E5"/>
            <w:tcBorders>
              <w:top w:val="nil"/>
              <w:left w:val="single" w:sz="18" w:color="9A6500"/>
              <w:bottom w:val="nil"/>
              <w:right w:val="nil"/>
            </w:tcBorders>
          </w:tcPr>
          <w:p>
            <w:pPr>
              <w:spacing w:before="80" w:after="40"/>
              <w:ind w:firstLine="0"/>
            </w:pPr>
            <w:r>
              <w:rPr>
                <w:rFonts w:ascii="Noto Sans CJK SC" w:hAnsi="Noto Sans CJK SC" w:eastAsia="Noto Sans CJK SC"/>
                <w:b/>
                <w:color w:val="9A6500"/>
                <w:sz w:val="20"/>
              </w:rPr>
              <w:t xml:space="preserve">不要简单类比家庭债务  </w:t>
            </w:r>
            <w:r>
              <w:rPr>
                <w:rFonts w:ascii="Noto Serif CJK SC" w:hAnsi="Noto Serif CJK SC" w:eastAsia="Noto Serif CJK SC"/>
                <w:color w:val="2F3337"/>
                <w:sz w:val="19"/>
              </w:rPr>
              <w:t>政府可以征税、发行货币或滚动融资，寿命也不同于个人；但这不意味着债务没有约束。过高债务可能挤压财政空间、提高风险溢价或形成代际负担。</w:t>
            </w:r>
          </w:p>
        </w:tc>
      </w:tr>
    </w:tbl>
    <w:p>
      <w:pPr>
        <w:spacing w:after="0"/>
        <w:widowControl/>
      </w:pPr>
    </w:p>
    <w:p>
      <w:pPr>
        <w:pStyle w:val="Heading2"/>
        <w:widowControl/>
      </w:pPr>
      <w:r>
        <w:t>6.5 挤出效应</w:t>
      </w:r>
    </w:p>
    <w:p>
      <w:pPr>
        <w:widowControl/>
      </w:pPr>
      <w:r>
        <w:rPr>
          <w:rFonts w:ascii="Noto Serif CJK SC" w:hAnsi="Noto Serif CJK SC" w:eastAsia="Noto Serif CJK SC"/>
        </w:rPr>
        <w:t>在货币供给不变时，财政扩张提高收入和货币需求，推高利率，私人投资因此减少。挤出效应越强，财政政策对总产出的净刺激越弱。</w:t>
      </w:r>
    </w:p>
    <w:tbl>
      <w:tblPr>
        <w:tblW w:type="auto" w:w="0"/>
        <w:jc w:val="center"/>
        <w:tblLayout w:type="fixed"/>
        <w:tblLook w:firstColumn="1" w:firstRow="1" w:lastColumn="0" w:lastRow="0" w:noHBand="0" w:noVBand="1" w:val="04A0"/>
      </w:tblPr>
      <w:tblGrid>
        <w:gridCol w:w="4195"/>
        <w:gridCol w:w="4195"/>
      </w:tblGrid>
      <w:tr>
        <w:trPr>
          <w:tblHeader w:val="true"/>
          <w:cantSplit/>
        </w:trPr>
        <w:tc>
          <w:tcPr>
            <w:tcW w:type="dxa" w:w="4762"/>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挤出较弱</w:t>
            </w:r>
          </w:p>
        </w:tc>
        <w:tc>
          <w:tcPr>
            <w:tcW w:type="dxa" w:w="4762"/>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挤出较强</w:t>
            </w:r>
          </w:p>
        </w:tc>
      </w:tr>
      <w:tr>
        <w:trPr>
          <w:cantSplit/>
        </w:trPr>
        <w:tc>
          <w:tcPr>
            <w:tcW w:type="dxa" w:w="419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经济衰退、闲置资源多</w:t>
            </w:r>
          </w:p>
        </w:tc>
        <w:tc>
          <w:tcPr>
            <w:tcW w:type="dxa" w:w="419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经济接近充分就业</w:t>
            </w:r>
          </w:p>
        </w:tc>
      </w:tr>
      <w:tr>
        <w:trPr>
          <w:cantSplit/>
        </w:trPr>
        <w:tc>
          <w:tcPr>
            <w:tcW w:type="dxa" w:w="419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LM较平坦</w:t>
            </w:r>
          </w:p>
        </w:tc>
        <w:tc>
          <w:tcPr>
            <w:tcW w:type="dxa" w:w="419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LM较陡</w:t>
            </w:r>
          </w:p>
        </w:tc>
      </w:tr>
      <w:tr>
        <w:trPr>
          <w:cantSplit/>
        </w:trPr>
        <w:tc>
          <w:tcPr>
            <w:tcW w:type="dxa" w:w="419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投资对利率不太敏感</w:t>
            </w:r>
          </w:p>
        </w:tc>
        <w:tc>
          <w:tcPr>
            <w:tcW w:type="dxa" w:w="419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投资对利率高度敏感</w:t>
            </w:r>
          </w:p>
        </w:tc>
      </w:tr>
      <w:tr>
        <w:trPr>
          <w:cantSplit/>
        </w:trPr>
        <w:tc>
          <w:tcPr>
            <w:tcW w:type="dxa" w:w="419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央行配合扩张货币</w:t>
            </w:r>
          </w:p>
        </w:tc>
        <w:tc>
          <w:tcPr>
            <w:tcW w:type="dxa" w:w="419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央行保持或收紧货币条件</w:t>
            </w:r>
          </w:p>
        </w:tc>
      </w:tr>
    </w:tbl>
    <w:p>
      <w:pPr>
        <w:spacing w:after="0"/>
        <w:widowControl/>
      </w:pPr>
    </w:p>
    <w:p>
      <w:pPr>
        <w:pStyle w:val="Heading2"/>
        <w:widowControl/>
      </w:pPr>
      <w:r>
        <w:t>6.6 货币政策工具</w:t>
      </w:r>
    </w:p>
    <w:tbl>
      <w:tblPr>
        <w:tblW w:type="auto" w:w="0"/>
        <w:jc w:val="center"/>
        <w:tblLayout w:type="fixed"/>
        <w:tblLook w:firstColumn="1" w:firstRow="1" w:lastColumn="0" w:lastRow="0" w:noHBand="0" w:noVBand="1" w:val="04A0"/>
      </w:tblPr>
      <w:tblGrid>
        <w:gridCol w:w="2154"/>
        <w:gridCol w:w="2324"/>
        <w:gridCol w:w="3969"/>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工具</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扩张性操作</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作用机制</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公开市场操作</w:t>
            </w:r>
          </w:p>
        </w:tc>
        <w:tc>
          <w:tcPr>
            <w:tcW w:type="dxa" w:w="232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中央银行买入债券</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增加基础货币和银行准备金，降低市场利率</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法定准备金率</w:t>
            </w:r>
          </w:p>
        </w:tc>
        <w:tc>
          <w:tcPr>
            <w:tcW w:type="dxa" w:w="232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降低准备金率</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提高银行潜在信贷和存款创造能力</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再贴现率/政策利率</w:t>
            </w:r>
          </w:p>
        </w:tc>
        <w:tc>
          <w:tcPr>
            <w:tcW w:type="dxa" w:w="232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降低政策利率</w:t>
            </w:r>
          </w:p>
        </w:tc>
        <w:tc>
          <w:tcPr>
            <w:tcW w:type="dxa" w:w="396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降低银行融资成本并引导市场利率</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非常规工具</w:t>
            </w:r>
          </w:p>
        </w:tc>
        <w:tc>
          <w:tcPr>
            <w:tcW w:type="dxa" w:w="232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资产购买、前瞻指引等</w:t>
            </w:r>
          </w:p>
        </w:tc>
        <w:tc>
          <w:tcPr>
            <w:tcW w:type="dxa" w:w="396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压低长期利率、改善金融条件和预期</w:t>
            </w:r>
          </w:p>
        </w:tc>
      </w:tr>
    </w:tbl>
    <w:p>
      <w:pPr>
        <w:spacing w:after="0"/>
        <w:widowControl/>
      </w:pPr>
    </w:p>
    <w:p>
      <w:pPr>
        <w:widowControl/>
      </w:pPr>
      <w:r>
        <w:rPr>
          <w:rFonts w:ascii="Noto Serif CJK SC" w:hAnsi="Noto Serif CJK SC" w:eastAsia="Noto Serif CJK SC"/>
        </w:rPr>
        <w:t>紧缩性货币政策方向相反。现实中中央银行通常通过短期政策利率和公开市场操作实施政策，而货币总量会内生响应信贷需求和银行行为。</w:t>
      </w:r>
    </w:p>
    <w:p>
      <w:pPr>
        <w:pStyle w:val="Heading2"/>
        <w:widowControl/>
      </w:pPr>
      <w:r>
        <w:t>6.7 货币政策传导机制</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货币政策 → 金融条件 → 消费/投资/净出口 → 总需求 → 产出与价格</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利率渠道：政策利率下降，融资成本下降，投资和耐用品消费增加。</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资产价格渠道：资产价格上升，提高财富和抵押品价值，促进消费与信贷。</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信贷渠道：银行准备金、资产负债表和风险偏好影响贷款供给。</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汇率渠道：利率下降可能造成资本流出和本币贬值，净出口增加。</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预期渠道：可信的政策承诺会改变未来利率和通胀预期。</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FF4E5"/>
            <w:tcBorders>
              <w:top w:val="nil"/>
              <w:left w:val="single" w:sz="18" w:color="9A6500"/>
              <w:bottom w:val="nil"/>
              <w:right w:val="nil"/>
            </w:tcBorders>
          </w:tcPr>
          <w:p>
            <w:pPr>
              <w:spacing w:before="80" w:after="40"/>
              <w:ind w:firstLine="0"/>
            </w:pPr>
            <w:r>
              <w:rPr>
                <w:rFonts w:ascii="Noto Sans CJK SC" w:hAnsi="Noto Sans CJK SC" w:eastAsia="Noto Sans CJK SC"/>
                <w:b/>
                <w:color w:val="9A6500"/>
                <w:sz w:val="20"/>
              </w:rPr>
              <w:t xml:space="preserve">政策失效的常见原因  </w:t>
            </w:r>
            <w:r>
              <w:rPr>
                <w:rFonts w:ascii="Noto Serif CJK SC" w:hAnsi="Noto Serif CJK SC" w:eastAsia="Noto Serif CJK SC"/>
                <w:color w:val="2F3337"/>
                <w:sz w:val="19"/>
              </w:rPr>
              <w:t>流动性陷阱、银行惜贷、企业预期悲观、家庭高负债、投资对利率不敏感、金融市场分割等，都会削弱从货币到实体经济的传导。</w:t>
            </w:r>
          </w:p>
        </w:tc>
      </w:tr>
    </w:tbl>
    <w:p>
      <w:pPr>
        <w:spacing w:after="0"/>
        <w:widowControl/>
      </w:pPr>
    </w:p>
    <w:p>
      <w:pPr>
        <w:pStyle w:val="Heading2"/>
        <w:widowControl/>
      </w:pPr>
      <w:r>
        <w:t>6.8 财政与货币政策组合</w:t>
      </w:r>
    </w:p>
    <w:tbl>
      <w:tblPr>
        <w:tblW w:type="auto" w:w="0"/>
        <w:jc w:val="center"/>
        <w:tblLayout w:type="fixed"/>
        <w:tblLook w:firstColumn="1" w:firstRow="1" w:lastColumn="0" w:lastRow="0" w:noHBand="0" w:noVBand="1" w:val="04A0"/>
      </w:tblPr>
      <w:tblGrid>
        <w:gridCol w:w="2438"/>
        <w:gridCol w:w="2268"/>
        <w:gridCol w:w="2268"/>
        <w:gridCol w:w="1814"/>
      </w:tblGrid>
      <w:tr>
        <w:trPr>
          <w:tblHeader w:val="true"/>
          <w:cantSplit/>
        </w:trPr>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组合</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对产出的共同影响</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对利率的可能影响</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适用或结构效果</w:t>
            </w:r>
          </w:p>
        </w:tc>
      </w:tr>
      <w:tr>
        <w:trPr>
          <w:cantSplit/>
        </w:trPr>
        <w:tc>
          <w:tcPr>
            <w:tcW w:type="dxa" w:w="243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财政扩张 + 货币扩张</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强力提高总需求</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方向取决于两者力度</w:t>
            </w:r>
          </w:p>
        </w:tc>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严重衰退，但通胀风险较高</w:t>
            </w:r>
          </w:p>
        </w:tc>
      </w:tr>
      <w:tr>
        <w:trPr>
          <w:cantSplit/>
        </w:trPr>
        <w:tc>
          <w:tcPr>
            <w:tcW w:type="dxa" w:w="243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财政紧缩 + 货币紧缩</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强力压低总需求</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方向取决于两者力度</w:t>
            </w:r>
          </w:p>
        </w:tc>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治理过热，衰退风险较高</w:t>
            </w:r>
          </w:p>
        </w:tc>
      </w:tr>
      <w:tr>
        <w:trPr>
          <w:cantSplit/>
        </w:trPr>
        <w:tc>
          <w:tcPr>
            <w:tcW w:type="dxa" w:w="243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财政扩张 + 货币紧缩</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产出效应不确定</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利率较易上升</w:t>
            </w:r>
          </w:p>
        </w:tc>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政府支出增加、私人投资受挤压</w:t>
            </w:r>
          </w:p>
        </w:tc>
      </w:tr>
      <w:tr>
        <w:trPr>
          <w:cantSplit/>
        </w:trPr>
        <w:tc>
          <w:tcPr>
            <w:tcW w:type="dxa" w:w="243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财政紧缩 + 货币扩张</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产出效应不确定</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利率较易下降</w:t>
            </w:r>
          </w:p>
        </w:tc>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有利于私人投资，政府部门收缩</w:t>
            </w:r>
          </w:p>
        </w:tc>
      </w:tr>
    </w:tbl>
    <w:p>
      <w:pPr>
        <w:spacing w:after="0"/>
        <w:widowControl/>
      </w:pPr>
    </w:p>
    <w:p>
      <w:pPr>
        <w:pStyle w:val="Heading2"/>
        <w:widowControl/>
      </w:pPr>
      <w:r>
        <w:t>6.9 政策时滞、规则与相机抉择</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认识时滞：确认经济发生衰退或通胀需要数据。</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决策时滞：财政政策需要预算和政治程序。</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执行时滞：项目落地、税收调整和信贷投放需要时间。</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效果时滞：政策传导到消费、投资、产出和价格并非即时。</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相机抉择能够针对具体冲击，但可能受政治周期、时间不一致和误判影响；政策规则提高可预期性，但灵活性较低。</w:t>
      </w:r>
    </w:p>
    <w:p>
      <w:pPr>
        <w:pStyle w:val="Heading2"/>
        <w:widowControl/>
      </w:pPr>
      <w:r>
        <w:t>6.10 供给管理政策</w:t>
      </w:r>
    </w:p>
    <w:p>
      <w:pPr>
        <w:widowControl/>
      </w:pPr>
      <w:r>
        <w:rPr>
          <w:rFonts w:ascii="Noto Serif CJK SC" w:hAnsi="Noto Serif CJK SC" w:eastAsia="Noto Serif CJK SC"/>
        </w:rPr>
        <w:t>需求管理主要稳定短期波动，供给政策则通过提高劳动、资本和技术效率扩大潜在产出。包括教育培训、研发支持、产权保护、竞争政策、基础设施、税制优化和劳动力市场改革。供给政策通常见效较慢，但能降低通胀与增长之间的冲突。</w:t>
      </w: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区分自动稳定器与斟酌使用财政政策。</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能够结合IS-LM和AD-AS分析财政、货币政策的短期结果。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能够解释赤字与债务、周期性赤字与结构性赤字。</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掌握货币政策工具及利率、信贷、汇率和预期传导渠道。</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能够讨论政策时滞、挤出效应和政策组合。</w:t>
      </w:r>
    </w:p>
    <w:p>
      <w:pPr>
        <w:pStyle w:val="Heading2"/>
        <w:widowControl/>
      </w:pPr>
      <w:r>
        <w:t>自测题</w:t>
      </w:r>
    </w:p>
    <w:p>
      <w:pPr>
        <w:pStyle w:val="Compact"/>
        <w:ind w:firstLine="0"/>
        <w:widowControl/>
      </w:pPr>
      <w:r>
        <w:rPr>
          <w:rFonts w:ascii="Noto Serif CJK SC" w:hAnsi="Noto Serif CJK SC" w:eastAsia="Noto Serif CJK SC"/>
          <w:sz w:val="19"/>
        </w:rPr>
        <w:t>1. 为什么失业保险属于自动稳定器？</w:t>
      </w:r>
    </w:p>
    <w:p>
      <w:pPr>
        <w:pStyle w:val="Compact"/>
        <w:ind w:firstLine="0"/>
        <w:widowControl/>
      </w:pPr>
      <w:r>
        <w:rPr>
          <w:rFonts w:ascii="Noto Serif CJK SC" w:hAnsi="Noto Serif CJK SC" w:eastAsia="Noto Serif CJK SC"/>
          <w:sz w:val="19"/>
        </w:rPr>
        <w:t>2. 财政赤字与政府债务有何区别？</w:t>
      </w:r>
    </w:p>
    <w:p>
      <w:pPr>
        <w:pStyle w:val="Compact"/>
        <w:ind w:firstLine="0"/>
        <w:widowControl/>
      </w:pPr>
      <w:r>
        <w:rPr>
          <w:rFonts w:ascii="Noto Serif CJK SC" w:hAnsi="Noto Serif CJK SC" w:eastAsia="Noto Serif CJK SC"/>
          <w:sz w:val="19"/>
        </w:rPr>
        <w:t>3. 央行买入债券如何影响利率和产出？</w:t>
      </w:r>
    </w:p>
    <w:p>
      <w:pPr>
        <w:pStyle w:val="Compact"/>
        <w:ind w:firstLine="0"/>
        <w:widowControl/>
      </w:pPr>
      <w:r>
        <w:rPr>
          <w:rFonts w:ascii="Noto Serif CJK SC" w:hAnsi="Noto Serif CJK SC" w:eastAsia="Noto Serif CJK SC"/>
          <w:sz w:val="19"/>
        </w:rPr>
        <w:t>4. 严重衰退时为什么挤出效应通常较弱？</w:t>
      </w:r>
    </w:p>
    <w:p>
      <w:pPr>
        <w:keepNext/>
        <w:spacing w:before="1600" w:after="80"/>
        <w:jc w:val="left"/>
        <w:widowControl/>
      </w:pPr>
      <w:r>
        <w:rPr>
          <w:rFonts w:ascii="Noto Sans CJK SC" w:hAnsi="Noto Sans CJK SC" w:eastAsia="Noto Sans CJK SC"/>
          <w:b/>
          <w:color w:val="A33131"/>
          <w:sz w:val="28"/>
        </w:rPr>
        <w:t>第七章</w:t>
      </w:r>
    </w:p>
    <w:p>
      <w:pPr>
        <w:keepNext/>
        <w:spacing w:after="200"/>
        <w:widowControl/>
      </w:pPr>
      <w:r>
        <w:rPr>
          <w:rFonts w:ascii="Noto Sans CJK SC" w:hAnsi="Noto Sans CJK SC" w:eastAsia="Noto Sans CJK SC"/>
          <w:b/>
          <w:color w:val="2F3337"/>
          <w:sz w:val="50"/>
        </w:rPr>
        <w:t>开放条件下的宏观经济</w:t>
      </w:r>
    </w:p>
    <w:p>
      <w:pPr>
        <w:keepNext/>
        <w:spacing w:after="360"/>
        <w:widowControl/>
      </w:pPr>
      <w:r>
        <w:rPr>
          <w:rFonts w:ascii="Noto Serif CJK SC" w:hAnsi="Noto Serif CJK SC" w:eastAsia="Noto Serif CJK SC"/>
          <w:color w:val="6B6F73"/>
          <w:sz w:val="22"/>
        </w:rPr>
        <w:t>加入国际贸易、资本流动与汇率制度，重新判断政策效果。</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汇率 → 实际汇率 → 国际收支 → 净出口 → BP曲线 → 蒙代尔—弗莱明 → 固定汇率 → 浮动汇率 → 不可能三角</w:t>
            </w:r>
          </w:p>
        </w:tc>
      </w:tr>
    </w:tbl>
    <w:p>
      <w:pPr>
        <w:spacing w:after="0"/>
        <w:widowControl/>
      </w:pPr>
    </w:p>
    <w:p>
      <w:pPr>
        <w:pStyle w:val="Heading2"/>
        <w:widowControl/>
      </w:pPr>
      <w:r>
        <w:t>7.1 名义汇率与实际汇率</w:t>
      </w:r>
    </w:p>
    <w:p>
      <w:pPr>
        <w:widowControl/>
      </w:pPr>
      <w:r>
        <w:rPr>
          <w:rFonts w:ascii="Noto Serif CJK SC" w:hAnsi="Noto Serif CJK SC" w:eastAsia="Noto Serif CJK SC"/>
        </w:rPr>
        <w:t>汇率是一种货币用另一种货币表示的价格。直接标价法通常表示购买一单位外币需要多少本币；该数值上升意味着本币贬值、外币升值。答题时必须先说明采用哪种标价法。</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实际汇率 ε = eP* ÷ P</w:t>
            </w:r>
          </w:p>
          <w:p>
            <w:pPr>
              <w:spacing w:after="80"/>
              <w:jc w:val="center"/>
            </w:pPr>
            <w:r>
              <w:rPr>
                <w:rFonts w:ascii="Noto Serif CJK SC" w:hAnsi="Noto Serif CJK SC" w:eastAsia="Noto Serif CJK SC"/>
                <w:color w:val="6B6F73"/>
                <w:sz w:val="18"/>
              </w:rPr>
              <w:t>e为名义汇率，P*为外国价格水平，P为国内价格水平。</w:t>
            </w:r>
          </w:p>
        </w:tc>
      </w:tr>
    </w:tbl>
    <w:p>
      <w:pPr>
        <w:spacing w:after="0"/>
        <w:widowControl/>
      </w:pPr>
    </w:p>
    <w:p>
      <w:pPr>
        <w:widowControl/>
      </w:pPr>
      <w:r>
        <w:rPr>
          <w:rFonts w:ascii="Noto Serif CJK SC" w:hAnsi="Noto Serif CJK SC" w:eastAsia="Noto Serif CJK SC"/>
        </w:rPr>
        <w:t>实际汇率衡量国内产品相对于外国产品的价格竞争力。在上述直接标价约定下，ε上升通常表示本国产品相对便宜、实际贬值，有利于净出口。</w:t>
      </w:r>
    </w:p>
    <w:p>
      <w:pPr>
        <w:pStyle w:val="Heading2"/>
        <w:widowControl/>
      </w:pPr>
      <w:r>
        <w:t>7.2 汇率制度</w:t>
      </w:r>
    </w:p>
    <w:tbl>
      <w:tblPr>
        <w:tblW w:type="auto" w:w="0"/>
        <w:jc w:val="center"/>
        <w:tblLayout w:type="fixed"/>
        <w:tblLook w:firstColumn="1" w:firstRow="1" w:lastColumn="0" w:lastRow="0" w:noHBand="0" w:noVBand="1" w:val="04A0"/>
      </w:tblPr>
      <w:tblGrid>
        <w:gridCol w:w="1757"/>
        <w:gridCol w:w="2268"/>
        <w:gridCol w:w="2608"/>
        <w:gridCol w:w="2268"/>
      </w:tblGrid>
      <w:tr>
        <w:trPr>
          <w:tblHeader w:val="true"/>
          <w:cantSplit/>
        </w:trPr>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制度</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汇率形成</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中央银行作用</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主要特点</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固定汇率</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围绕官方目标维持</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买卖外汇、调整货币供给</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稳定性高，但货币政策独立性受限</w:t>
            </w:r>
          </w:p>
        </w:tc>
      </w:tr>
      <w:tr>
        <w:trPr>
          <w:cantSplit/>
        </w:trPr>
        <w:tc>
          <w:tcPr>
            <w:tcW w:type="dxa" w:w="1757"/>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自由浮动汇率</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由市场供求决定</w:t>
            </w:r>
          </w:p>
        </w:tc>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通常不承诺特定水平</w:t>
            </w:r>
          </w:p>
        </w:tc>
        <w:tc>
          <w:tcPr>
            <w:tcW w:type="dxa" w:w="226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可吸收外部冲击，但波动较大</w:t>
            </w:r>
          </w:p>
        </w:tc>
      </w:tr>
      <w:tr>
        <w:trPr>
          <w:cantSplit/>
        </w:trPr>
        <w:tc>
          <w:tcPr>
            <w:tcW w:type="dxa" w:w="1757"/>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有管理浮动</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市场决定为主</w:t>
            </w:r>
          </w:p>
        </w:tc>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必要时干预过度波动</w:t>
            </w:r>
          </w:p>
        </w:tc>
        <w:tc>
          <w:tcPr>
            <w:tcW w:type="dxa" w:w="226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兼顾灵活性与稳定性</w:t>
            </w:r>
          </w:p>
        </w:tc>
      </w:tr>
    </w:tbl>
    <w:p>
      <w:pPr>
        <w:spacing w:after="0"/>
        <w:widowControl/>
      </w:pPr>
    </w:p>
    <w:p>
      <w:pPr>
        <w:pStyle w:val="Heading2"/>
        <w:widowControl/>
      </w:pPr>
      <w:r>
        <w:t>7.3 国际收支账户</w:t>
      </w:r>
    </w:p>
    <w:tbl>
      <w:tblPr>
        <w:tblW w:type="auto" w:w="0"/>
        <w:jc w:val="center"/>
        <w:tblLayout w:type="fixed"/>
        <w:tblLook w:firstColumn="1" w:firstRow="1" w:lastColumn="0" w:lastRow="0" w:noHBand="0" w:noVBand="1" w:val="04A0"/>
      </w:tblPr>
      <w:tblGrid>
        <w:gridCol w:w="1814"/>
        <w:gridCol w:w="4139"/>
        <w:gridCol w:w="2835"/>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账户</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主要内容</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直观理解</w:t>
            </w:r>
          </w:p>
        </w:tc>
      </w:tr>
      <w:tr>
        <w:trPr>
          <w:cantSplit/>
        </w:trPr>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经常账户</w:t>
            </w:r>
          </w:p>
        </w:tc>
        <w:tc>
          <w:tcPr>
            <w:tcW w:type="dxa" w:w="413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货物和服务、初次收入、二次收入</w:t>
            </w:r>
          </w:p>
        </w:tc>
        <w:tc>
          <w:tcPr>
            <w:tcW w:type="dxa" w:w="283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当期产品、服务和收入流动</w:t>
            </w:r>
          </w:p>
        </w:tc>
      </w:tr>
      <w:tr>
        <w:trPr>
          <w:cantSplit/>
        </w:trPr>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资本与金融账户</w:t>
            </w:r>
          </w:p>
        </w:tc>
        <w:tc>
          <w:tcPr>
            <w:tcW w:type="dxa" w:w="413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直接投资、证券投资、其他投资等</w:t>
            </w:r>
          </w:p>
        </w:tc>
        <w:tc>
          <w:tcPr>
            <w:tcW w:type="dxa" w:w="283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资产所有权和资金流动</w:t>
            </w:r>
          </w:p>
        </w:tc>
      </w:tr>
      <w:tr>
        <w:trPr>
          <w:cantSplit/>
        </w:trPr>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储备资产</w:t>
            </w:r>
          </w:p>
        </w:tc>
        <w:tc>
          <w:tcPr>
            <w:tcW w:type="dxa" w:w="4139"/>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中央银行持有的外汇、黄金等变化</w:t>
            </w:r>
          </w:p>
        </w:tc>
        <w:tc>
          <w:tcPr>
            <w:tcW w:type="dxa" w:w="283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官方干预和外部支付能力</w:t>
            </w:r>
          </w:p>
        </w:tc>
      </w:tr>
      <w:tr>
        <w:trPr>
          <w:cantSplit/>
        </w:trPr>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误差与遗漏</w:t>
            </w:r>
          </w:p>
        </w:tc>
        <w:tc>
          <w:tcPr>
            <w:tcW w:type="dxa" w:w="4139"/>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统计来源与时点差异</w:t>
            </w:r>
          </w:p>
        </w:tc>
        <w:tc>
          <w:tcPr>
            <w:tcW w:type="dxa" w:w="283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使账户在统计上平衡</w:t>
            </w:r>
          </w:p>
        </w:tc>
      </w:tr>
    </w:tbl>
    <w:p>
      <w:pPr>
        <w:spacing w:after="0"/>
        <w:widowControl/>
      </w:pPr>
    </w:p>
    <w:p>
      <w:pPr>
        <w:widowControl/>
      </w:pPr>
      <w:r>
        <w:rPr>
          <w:rFonts w:ascii="Noto Serif CJK SC" w:hAnsi="Noto Serif CJK SC" w:eastAsia="Noto Serif CJK SC"/>
        </w:rPr>
        <w:t>国际收支在会计意义上总是平衡，但某个子账户可以顺差或逆差。经常账户逆差通常需要资本净流入或储备资产减少来融资。</w:t>
      </w:r>
    </w:p>
    <w:p>
      <w:pPr>
        <w:pStyle w:val="Heading2"/>
        <w:widowControl/>
      </w:pPr>
      <w:r>
        <w:t>7.4 净出口的决定</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NX = X − M</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国内收入上升会提高进口需求，使NX下降。</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外国收入上升会提高对本国出口品的需求，使NX上升。</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本币实际贬值通常改善价格竞争力，使出口增加、进口减少，但效果可能存在时滞。</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贸易结构、供给能力和进出口需求弹性会影响汇率变化的最终效果。</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J曲线提示  </w:t>
            </w:r>
            <w:r>
              <w:rPr>
                <w:rFonts w:ascii="Noto Serif CJK SC" w:hAnsi="Noto Serif CJK SC" w:eastAsia="Noto Serif CJK SC"/>
                <w:color w:val="2F3337"/>
                <w:sz w:val="19"/>
              </w:rPr>
              <w:t>本币贬值后，贸易合同和数量调整需要时间，短期进口账单可能先上升，贸易余额随后才改善。</w:t>
            </w:r>
          </w:p>
        </w:tc>
      </w:tr>
    </w:tbl>
    <w:p>
      <w:pPr>
        <w:spacing w:after="0"/>
        <w:widowControl/>
      </w:pPr>
    </w:p>
    <w:p>
      <w:pPr>
        <w:pStyle w:val="Heading2"/>
        <w:widowControl/>
      </w:pPr>
      <w:r>
        <w:t>7.5 BP曲线与资本流动</w:t>
      </w:r>
    </w:p>
    <w:p>
      <w:pPr>
        <w:widowControl/>
      </w:pPr>
      <w:r>
        <w:rPr>
          <w:rFonts w:ascii="Noto Serif CJK SC" w:hAnsi="Noto Serif CJK SC" w:eastAsia="Noto Serif CJK SC"/>
        </w:rPr>
        <w:t>BP曲线表示国际收支平衡时收入Y与利率r的组合。收入提高会增加进口、恶化经常账户，需要更高利率吸引资本流入以维持国际收支平衡，因此BP通常向右上方倾斜。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资本流动越敏感，较小的利率差即可引起大量资本流动，BP越平坦。</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资本完全流动时，国内利率难以长期偏离世界利率，BP近似水平。</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本币贬值、外国收入提高或出口增加会改善国际收支，使BP向右移动。</w:t>
      </w:r>
    </w:p>
    <w:p>
      <w:pPr>
        <w:pStyle w:val="Heading2"/>
        <w:widowControl/>
      </w:pPr>
      <w:r>
        <w:t>7.6 蒙代尔—弗莱明模型</w:t>
      </w:r>
    </w:p>
    <w:p>
      <w:pPr>
        <w:widowControl/>
      </w:pPr>
      <w:r>
        <w:rPr>
          <w:rFonts w:ascii="Noto Serif CJK SC" w:hAnsi="Noto Serif CJK SC" w:eastAsia="Noto Serif CJK SC"/>
        </w:rPr>
        <w:t>蒙代尔—弗莱明模型是开放经济的小国IS-LM模型。它同时考虑产品市场、货币市场和国际收支，并强调汇率制度与资本流动程度会改变政策效果。</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IS：Y = C + I + G + NX(e,Y,Y*)；LM：M/P = L(Y,r)；外部均衡：BP = 0</w:t>
            </w:r>
          </w:p>
        </w:tc>
      </w:tr>
    </w:tbl>
    <w:p>
      <w:pPr>
        <w:spacing w:after="0"/>
        <w:widowControl/>
      </w:pPr>
    </w:p>
    <w:p>
      <w:pPr>
        <w:pStyle w:val="Heading2"/>
        <w:widowControl/>
      </w:pPr>
      <w:r>
        <w:t>7.7 固定汇率下的政策效果</w:t>
      </w:r>
    </w:p>
    <w:p>
      <w:pPr>
        <w:pStyle w:val="Heading3"/>
        <w:widowControl/>
      </w:pPr>
      <w:r>
        <w:t>（一）财政扩张</w:t>
      </w:r>
    </w:p>
    <w:p>
      <w:pPr>
        <w:widowControl/>
      </w:pPr>
      <w:r>
        <w:rPr>
          <w:rFonts w:ascii="Noto Serif CJK SC" w:hAnsi="Noto Serif CJK SC" w:eastAsia="Noto Serif CJK SC"/>
        </w:rPr>
        <w:t>财政扩张使IS右移，收入和利率上升，吸引资本流入并造成本币升值压力。为了维持固定汇率，中央银行买入外汇、投放本币，LM进一步右移。因此在资本高度流动时，财政政策较有效。</w:t>
      </w:r>
    </w:p>
    <w:p>
      <w:pPr>
        <w:pStyle w:val="Heading3"/>
        <w:widowControl/>
      </w:pPr>
      <w:r>
        <w:t>（二）货币扩张</w:t>
      </w:r>
    </w:p>
    <w:p>
      <w:pPr>
        <w:widowControl/>
      </w:pPr>
      <w:r>
        <w:rPr>
          <w:rFonts w:ascii="Noto Serif CJK SC" w:hAnsi="Noto Serif CJK SC" w:eastAsia="Noto Serif CJK SC"/>
        </w:rPr>
        <w:t>货币扩张使LM右移，利率下降，资本流出并造成本币贬值压力。中央银行必须卖出外汇、回收本币以维持汇率，最初的货币扩张被抵消，因此独立货币政策较弱。</w:t>
      </w:r>
    </w:p>
    <w:p>
      <w:pPr>
        <w:pStyle w:val="Heading2"/>
        <w:widowControl/>
      </w:pPr>
      <w:r>
        <w:t>7.8 浮动汇率下的政策效果</w:t>
      </w:r>
    </w:p>
    <w:p>
      <w:pPr>
        <w:pStyle w:val="Heading3"/>
        <w:widowControl/>
      </w:pPr>
      <w:r>
        <w:t>（一）货币扩张</w:t>
      </w:r>
    </w:p>
    <w:p>
      <w:pPr>
        <w:widowControl/>
      </w:pPr>
      <w:r>
        <w:rPr>
          <w:rFonts w:ascii="Noto Serif CJK SC" w:hAnsi="Noto Serif CJK SC" w:eastAsia="Noto Serif CJK SC"/>
        </w:rPr>
        <w:t>LM右移使利率下降，资本流出、本币贬值，净出口增加，IS也右移，货币政策效果被汇率渠道放大。</w:t>
      </w:r>
    </w:p>
    <w:p>
      <w:pPr>
        <w:pStyle w:val="Heading3"/>
        <w:widowControl/>
      </w:pPr>
      <w:r>
        <w:t>（二）财政扩张</w:t>
      </w:r>
    </w:p>
    <w:p>
      <w:pPr>
        <w:widowControl/>
      </w:pPr>
      <w:r>
        <w:rPr>
          <w:rFonts w:ascii="Noto Serif CJK SC" w:hAnsi="Noto Serif CJK SC" w:eastAsia="Noto Serif CJK SC"/>
        </w:rPr>
        <w:t>IS右移使利率上升，资本流入、本币升值，净出口下降，IS被部分拉回。因此资本高度流动时，财政政策可能受到汇率升值和净出口挤出的削弱。</w:t>
      </w:r>
    </w:p>
    <w:tbl>
      <w:tblPr>
        <w:tblW w:type="auto" w:w="0"/>
        <w:jc w:val="center"/>
        <w:tblLayout w:type="fixed"/>
        <w:tblLook w:firstColumn="1" w:firstRow="1" w:lastColumn="0" w:lastRow="0" w:noHBand="0" w:noVBand="1" w:val="04A0"/>
      </w:tblPr>
      <w:tblGrid>
        <w:gridCol w:w="2608"/>
        <w:gridCol w:w="1814"/>
        <w:gridCol w:w="1814"/>
        <w:gridCol w:w="2665"/>
      </w:tblGrid>
      <w:tr>
        <w:trPr>
          <w:tblHeader w:val="true"/>
          <w:cantSplit/>
        </w:trPr>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汇率制度</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财政政策</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货币政策</w:t>
            </w:r>
          </w:p>
        </w:tc>
        <w:tc>
          <w:tcPr>
            <w:tcW w:type="dxa" w:w="2381"/>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核心原因</w:t>
            </w:r>
          </w:p>
        </w:tc>
      </w:tr>
      <w:tr>
        <w:trPr>
          <w:cantSplit/>
        </w:trPr>
        <w:tc>
          <w:tcPr>
            <w:tcW w:type="dxa" w:w="260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固定汇率、资本高度流动</w:t>
            </w:r>
          </w:p>
        </w:tc>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较有效</w:t>
            </w:r>
          </w:p>
        </w:tc>
        <w:tc>
          <w:tcPr>
            <w:tcW w:type="dxa" w:w="181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较弱</w:t>
            </w:r>
          </w:p>
        </w:tc>
        <w:tc>
          <w:tcPr>
            <w:tcW w:type="dxa" w:w="266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央行为守汇率被动调整货币供给</w:t>
            </w:r>
          </w:p>
        </w:tc>
      </w:tr>
      <w:tr>
        <w:trPr>
          <w:cantSplit/>
        </w:trPr>
        <w:tc>
          <w:tcPr>
            <w:tcW w:type="dxa" w:w="260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浮动汇率、资本高度流动</w:t>
            </w:r>
          </w:p>
        </w:tc>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较弱</w:t>
            </w:r>
          </w:p>
        </w:tc>
        <w:tc>
          <w:tcPr>
            <w:tcW w:type="dxa" w:w="181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较有效</w:t>
            </w:r>
          </w:p>
        </w:tc>
        <w:tc>
          <w:tcPr>
            <w:tcW w:type="dxa" w:w="266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汇率变化抵消财政、放大货币政策</w:t>
            </w:r>
          </w:p>
        </w:tc>
      </w:tr>
    </w:tbl>
    <w:p>
      <w:pPr>
        <w:spacing w:after="0"/>
        <w:widowControl/>
      </w:pPr>
    </w:p>
    <w:p>
      <w:pPr>
        <w:pStyle w:val="Heading2"/>
        <w:widowControl/>
      </w:pPr>
      <w:r>
        <w:t>7.9 不可能三角</w:t>
      </w:r>
    </w:p>
    <w:p>
      <w:pPr>
        <w:widowControl/>
      </w:pPr>
      <w:r>
        <w:rPr>
          <w:rFonts w:ascii="Noto Serif CJK SC" w:hAnsi="Noto Serif CJK SC" w:eastAsia="Noto Serif CJK SC"/>
        </w:rPr>
        <w:t>一个经济体不能同时完全实现固定汇率、资本自由流动和独立货币政策，最多选择其中两个。固定汇率和资本自由流动意味着国内利率必须追随世界利率；若要保持货币政策独立，就必须允许汇率浮动或限制资本流动。</w:t>
      </w: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7ECEC"/>
            <w:tcBorders>
              <w:top w:val="nil"/>
              <w:left w:val="single" w:sz="18" w:color="A33131"/>
              <w:bottom w:val="nil"/>
              <w:right w:val="nil"/>
            </w:tcBorders>
          </w:tcPr>
          <w:p>
            <w:pPr>
              <w:spacing w:before="80" w:after="40"/>
              <w:ind w:firstLine="0"/>
            </w:pPr>
            <w:r>
              <w:rPr>
                <w:rFonts w:ascii="Noto Sans CJK SC" w:hAnsi="Noto Sans CJK SC" w:eastAsia="Noto Sans CJK SC"/>
                <w:b/>
                <w:color w:val="A33131"/>
                <w:sz w:val="20"/>
              </w:rPr>
              <w:t xml:space="preserve">答题模板  </w:t>
            </w:r>
            <w:r>
              <w:rPr>
                <w:rFonts w:ascii="Noto Serif CJK SC" w:hAnsi="Noto Serif CJK SC" w:eastAsia="Noto Serif CJK SC"/>
                <w:color w:val="2F3337"/>
                <w:sz w:val="19"/>
              </w:rPr>
              <w:t>先写三个目标，再说明其中任意两个如何排斥第三个，最后结合具体汇率制度判断中央银行能否独立调节利率。</w:t>
            </w:r>
          </w:p>
        </w:tc>
      </w:tr>
    </w:tbl>
    <w:p>
      <w:pPr>
        <w:spacing w:after="0"/>
        <w:widowControl/>
      </w:pP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明确汇率标价法，正确判断本币升值或贬值。</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能够说明经常账户逆差如何通过资本流入或储备变化融资。</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理解BP斜率与资本流动程度的关系。</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熟练比较固定/浮动汇率下财政与货币政策效果。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能够解释不可能三角，而不仅是背诵三个名词。</w:t>
      </w:r>
    </w:p>
    <w:p>
      <w:pPr>
        <w:pStyle w:val="Heading2"/>
        <w:widowControl/>
      </w:pPr>
      <w:r>
        <w:t>自测题</w:t>
      </w:r>
    </w:p>
    <w:p>
      <w:pPr>
        <w:pStyle w:val="Compact"/>
        <w:ind w:firstLine="0"/>
        <w:widowControl/>
      </w:pPr>
      <w:r>
        <w:rPr>
          <w:rFonts w:ascii="Noto Serif CJK SC" w:hAnsi="Noto Serif CJK SC" w:eastAsia="Noto Serif CJK SC"/>
          <w:sz w:val="19"/>
        </w:rPr>
        <w:t>1. 直接标价法下汇率数值上升通常意味着什么？</w:t>
      </w:r>
    </w:p>
    <w:p>
      <w:pPr>
        <w:pStyle w:val="Compact"/>
        <w:ind w:firstLine="0"/>
        <w:widowControl/>
      </w:pPr>
      <w:r>
        <w:rPr>
          <w:rFonts w:ascii="Noto Serif CJK SC" w:hAnsi="Noto Serif CJK SC" w:eastAsia="Noto Serif CJK SC"/>
          <w:sz w:val="19"/>
        </w:rPr>
        <w:t>2. 为什么资本流动越充分，BP曲线越平？</w:t>
      </w:r>
    </w:p>
    <w:p>
      <w:pPr>
        <w:pStyle w:val="Compact"/>
        <w:ind w:firstLine="0"/>
        <w:widowControl/>
      </w:pPr>
      <w:r>
        <w:rPr>
          <w:rFonts w:ascii="Noto Serif CJK SC" w:hAnsi="Noto Serif CJK SC" w:eastAsia="Noto Serif CJK SC"/>
          <w:sz w:val="19"/>
        </w:rPr>
        <w:t>3. 固定汇率下货币扩张为什么会被抵消？</w:t>
      </w:r>
    </w:p>
    <w:p>
      <w:pPr>
        <w:pStyle w:val="Compact"/>
        <w:ind w:firstLine="0"/>
        <w:widowControl/>
      </w:pPr>
      <w:r>
        <w:rPr>
          <w:rFonts w:ascii="Noto Serif CJK SC" w:hAnsi="Noto Serif CJK SC" w:eastAsia="Noto Serif CJK SC"/>
          <w:sz w:val="19"/>
        </w:rPr>
        <w:t>4. 浮动汇率下财政扩张为什么可能挤出净出口？</w:t>
      </w:r>
    </w:p>
    <w:p>
      <w:pPr>
        <w:keepNext/>
        <w:spacing w:before="1600" w:after="80"/>
        <w:jc w:val="left"/>
        <w:widowControl/>
      </w:pPr>
      <w:r>
        <w:rPr>
          <w:rFonts w:ascii="Noto Sans CJK SC" w:hAnsi="Noto Sans CJK SC" w:eastAsia="Noto Sans CJK SC"/>
          <w:b/>
          <w:color w:val="A33131"/>
          <w:sz w:val="28"/>
        </w:rPr>
        <w:t>第八章</w:t>
      </w:r>
    </w:p>
    <w:p>
      <w:pPr>
        <w:keepNext/>
        <w:spacing w:after="200"/>
        <w:widowControl/>
      </w:pPr>
      <w:r>
        <w:rPr>
          <w:rFonts w:ascii="Noto Sans CJK SC" w:hAnsi="Noto Sans CJK SC" w:eastAsia="Noto Sans CJK SC"/>
          <w:b/>
          <w:color w:val="2F3337"/>
          <w:sz w:val="50"/>
        </w:rPr>
        <w:t>经济增长</w:t>
      </w:r>
    </w:p>
    <w:p>
      <w:pPr>
        <w:keepNext/>
        <w:spacing w:after="360"/>
        <w:widowControl/>
      </w:pPr>
      <w:r>
        <w:rPr>
          <w:rFonts w:ascii="Noto Serif CJK SC" w:hAnsi="Noto Serif CJK SC" w:eastAsia="Noto Serif CJK SC"/>
          <w:color w:val="6B6F73"/>
          <w:sz w:val="22"/>
        </w:rPr>
        <w:t>从短期总需求转向长期供给，解释人均生活水平持续提高的来源。</w:t>
      </w:r>
    </w:p>
    <w:p>
      <w:pPr>
        <w:keepNext/>
        <w:spacing w:after="300"/>
        <w:pBdr>
          <w:bottom w:val="single" w:sz="18" w:space="1" w:color="A33131"/>
        </w:pBdr>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EEF4F8"/>
            <w:tcBorders>
              <w:top w:val="nil"/>
              <w:left w:val="single" w:sz="18" w:color="3D657A"/>
              <w:bottom w:val="nil"/>
              <w:right w:val="nil"/>
            </w:tcBorders>
          </w:tcPr>
          <w:p>
            <w:pPr>
              <w:spacing w:before="80" w:after="40"/>
              <w:ind w:firstLine="0"/>
            </w:pPr>
            <w:r>
              <w:rPr>
                <w:rFonts w:ascii="Noto Sans CJK SC" w:hAnsi="Noto Sans CJK SC" w:eastAsia="Noto Sans CJK SC"/>
                <w:b/>
                <w:color w:val="3D657A"/>
                <w:sz w:val="20"/>
              </w:rPr>
              <w:t xml:space="preserve">本章主线  </w:t>
            </w:r>
            <w:r>
              <w:rPr>
                <w:rFonts w:ascii="Noto Serif CJK SC" w:hAnsi="Noto Serif CJK SC" w:eastAsia="Noto Serif CJK SC"/>
                <w:color w:val="2F3337"/>
                <w:sz w:val="19"/>
              </w:rPr>
              <w:t>增长事实 → 生产函数 → 资本积累 → 索洛稳态 → 储蓄率 → 黄金律 → 人口与技术 → 收敛 → 内生增长 → 增长政策</w:t>
            </w:r>
          </w:p>
        </w:tc>
      </w:tr>
    </w:tbl>
    <w:p>
      <w:pPr>
        <w:spacing w:after="0"/>
        <w:widowControl/>
      </w:pPr>
    </w:p>
    <w:p>
      <w:pPr>
        <w:pStyle w:val="Heading2"/>
        <w:widowControl/>
      </w:pPr>
      <w:r>
        <w:t>8.1 经济增长与经济发展</w:t>
      </w:r>
    </w:p>
    <w:p>
      <w:pPr>
        <w:widowControl/>
      </w:pPr>
      <w:r>
        <w:rPr>
          <w:rFonts w:ascii="Noto Serif CJK SC" w:hAnsi="Noto Serif CJK SC" w:eastAsia="Noto Serif CJK SC"/>
        </w:rPr>
        <w:t>经济增长通常指实际GDP或人均实际GDP的长期增加；经济发展还包括产业结构、制度、教育、健康、分配和生活质量改善。总GDP增长可能来自人口增加，因此比较生活水平时应关注人均实际GDP。</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人均实际GDP增长率 ≈ 实际GDP增长率 − 人口增长率</w:t>
            </w:r>
          </w:p>
        </w:tc>
      </w:tr>
    </w:tbl>
    <w:p>
      <w:pPr>
        <w:spacing w:after="0"/>
        <w:widowControl/>
      </w:pPr>
    </w:p>
    <w:p>
      <w:pPr>
        <w:widowControl/>
      </w:pPr>
      <w:r>
        <w:rPr>
          <w:rFonts w:ascii="Noto Serif CJK SC" w:hAnsi="Noto Serif CJK SC" w:eastAsia="Noto Serif CJK SC"/>
        </w:rPr>
        <w:t>较小的增长率差异经过复利会造成巨大的长期收入差距。增长率为g时，翻倍时间可用“70法则”近似：70/g。</w:t>
      </w:r>
    </w:p>
    <w:p>
      <w:pPr>
        <w:pStyle w:val="Heading2"/>
        <w:widowControl/>
      </w:pPr>
      <w:r>
        <w:t>8.2 增长的决定因素</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物质资本：机器、厂房、基础设施等。</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人力资本：教育、技能、健康和经验。</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劳动投入：人口、劳动参与率和工作时间。</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技术进步：使相同投入产生更多产出。</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制度与政策：产权保护、法治、市场竞争、宏观稳定和开放程度。</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自然资源：可能提供优势，但并非长期富裕的充分条件。</w:t>
      </w:r>
    </w:p>
    <w:p>
      <w:pPr>
        <w:pStyle w:val="Heading2"/>
        <w:widowControl/>
      </w:pPr>
      <w:r>
        <w:t>8.3 生产函数与规模报酬</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Y = F(K,L,A)</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柯布—道格拉斯：Y = AK^αL^(1−α)</w:t>
            </w:r>
          </w:p>
        </w:tc>
      </w:tr>
    </w:tbl>
    <w:p>
      <w:pPr>
        <w:spacing w:after="0"/>
        <w:widowControl/>
      </w:pPr>
    </w:p>
    <w:p>
      <w:pPr>
        <w:widowControl/>
      </w:pPr>
      <w:r>
        <w:rPr>
          <w:rFonts w:ascii="Noto Serif CJK SC" w:hAnsi="Noto Serif CJK SC" w:eastAsia="Noto Serif CJK SC"/>
        </w:rPr>
        <w:t>若生产函数具有规模报酬不变，同时把资本和劳动扩大相同比例，产出也按相同比例扩大。转换为每工人形式后，y = f(k)，其中y = Y/L，k = K/L。资本边际产量递减意味着k越高，再增加一单位资本带来的产出增量越小。</w:t>
      </w:r>
    </w:p>
    <w:p>
      <w:pPr>
        <w:pStyle w:val="Heading2"/>
        <w:widowControl/>
      </w:pPr>
      <w:r>
        <w:t>8.4 索洛模型的资本积累</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Δk = s f(k) − (n + δ)k</w:t>
            </w:r>
          </w:p>
          <w:p>
            <w:pPr>
              <w:spacing w:after="80"/>
              <w:jc w:val="center"/>
            </w:pPr>
            <w:r>
              <w:rPr>
                <w:rFonts w:ascii="Noto Serif CJK SC" w:hAnsi="Noto Serif CJK SC" w:eastAsia="Noto Serif CJK SC"/>
                <w:color w:val="6B6F73"/>
                <w:sz w:val="18"/>
              </w:rPr>
              <w:t>sf(k)为每工人投资，(n+δ)k为维持人均资本所需的保本投资。</w:t>
            </w:r>
          </w:p>
        </w:tc>
      </w:tr>
    </w:tbl>
    <w:p>
      <w:pPr>
        <w:spacing w:after="0"/>
        <w:widowControl/>
      </w:pP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s：储蓄率，决定产出中用于投资的比例。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n：人口增长率，新劳动者会稀释人均资本。</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δ：折旧率，现有资本不断损耗。</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当投资大于保本投资时，k增加；小于保本投资时，k下降。</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稳态条件：s f(k*) = (n + δ)k*</w:t>
            </w:r>
          </w:p>
        </w:tc>
      </w:tr>
    </w:tbl>
    <w:p>
      <w:pPr>
        <w:spacing w:after="0"/>
        <w:widowControl/>
      </w:pPr>
    </w:p>
    <w:p>
      <w:pPr>
        <w:widowControl/>
      </w:pPr>
      <w:r>
        <w:rPr>
          <w:rFonts w:ascii="Noto Serif CJK SC" w:hAnsi="Noto Serif CJK SC" w:eastAsia="Noto Serif CJK SC"/>
        </w:rPr>
        <w:t>稳态意味着人均资本和人均产出不再变化，不意味着总量停止增长。若人口增长率为n，总产出和资本仍可按n增长。</w:t>
      </w:r>
    </w:p>
    <w:p>
      <w:pPr>
        <w:pStyle w:val="Heading2"/>
        <w:widowControl/>
      </w:pPr>
      <w:r>
        <w:t>8.5 储蓄率变化与过渡动态</w:t>
      </w:r>
    </w:p>
    <w:p>
      <w:pPr>
        <w:widowControl/>
      </w:pPr>
      <w:r>
        <w:rPr>
          <w:rFonts w:ascii="Noto Serif CJK SC" w:hAnsi="Noto Serif CJK SC" w:eastAsia="Noto Serif CJK SC"/>
        </w:rPr>
        <w:t>提高储蓄率使投资曲线上移，经济从原稳态向更高的人均资本和人均产出稳态过渡。过渡期间人均产出增长加快，但到达新稳态后，没有技术进步时人均增长率重新回到零。</w:t>
      </w:r>
    </w:p>
    <w:tbl>
      <w:tblPr>
        <w:tblW w:type="auto" w:w="0"/>
        <w:jc w:val="center"/>
        <w:tblLayout w:type="fixed"/>
        <w:tblLook w:firstColumn="1" w:firstRow="1" w:lastColumn="0" w:lastRow="0" w:noHBand="0" w:noVBand="1" w:val="04A0"/>
      </w:tblPr>
      <w:tblGrid>
        <w:gridCol w:w="2551"/>
        <w:gridCol w:w="3005"/>
        <w:gridCol w:w="3061"/>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储蓄率提高的结果</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短期/过渡期</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长期稳态</w:t>
            </w:r>
          </w:p>
        </w:tc>
      </w:tr>
      <w:tr>
        <w:trPr>
          <w:cantSplit/>
        </w:trPr>
        <w:tc>
          <w:tcPr>
            <w:tcW w:type="dxa" w:w="255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人均资本</w:t>
            </w:r>
          </w:p>
        </w:tc>
        <w:tc>
          <w:tcPr>
            <w:tcW w:type="dxa" w:w="300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逐步增加</w:t>
            </w:r>
          </w:p>
        </w:tc>
        <w:tc>
          <w:tcPr>
            <w:tcW w:type="dxa" w:w="306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达到更高水平</w:t>
            </w:r>
          </w:p>
        </w:tc>
      </w:tr>
      <w:tr>
        <w:trPr>
          <w:cantSplit/>
        </w:trPr>
        <w:tc>
          <w:tcPr>
            <w:tcW w:type="dxa" w:w="255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人均产出</w:t>
            </w:r>
          </w:p>
        </w:tc>
        <w:tc>
          <w:tcPr>
            <w:tcW w:type="dxa" w:w="300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增长率暂时提高</w:t>
            </w:r>
          </w:p>
        </w:tc>
        <w:tc>
          <w:tcPr>
            <w:tcW w:type="dxa" w:w="306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达到更高水平，但增长率不永久提高</w:t>
            </w:r>
          </w:p>
        </w:tc>
      </w:tr>
      <w:tr>
        <w:trPr>
          <w:cantSplit/>
        </w:trPr>
        <w:tc>
          <w:tcPr>
            <w:tcW w:type="dxa" w:w="255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人均消费</w:t>
            </w:r>
          </w:p>
        </w:tc>
        <w:tc>
          <w:tcPr>
            <w:tcW w:type="dxa" w:w="300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初期可能下降</w:t>
            </w:r>
          </w:p>
        </w:tc>
        <w:tc>
          <w:tcPr>
            <w:tcW w:type="dxa" w:w="306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取决于是否接近黄金律水平</w:t>
            </w:r>
          </w:p>
        </w:tc>
      </w:tr>
    </w:tbl>
    <w:p>
      <w:pPr>
        <w:spacing w:after="0"/>
        <w:widowControl/>
      </w:pPr>
    </w:p>
    <w:p>
      <w:pPr>
        <w:pStyle w:val="Heading2"/>
        <w:widowControl/>
      </w:pPr>
      <w:r>
        <w:t>8.6 黄金律资本水平</w:t>
      </w:r>
    </w:p>
    <w:p>
      <w:pPr>
        <w:widowControl/>
      </w:pPr>
      <w:r>
        <w:rPr>
          <w:rFonts w:ascii="Noto Serif CJK SC" w:hAnsi="Noto Serif CJK SC" w:eastAsia="Noto Serif CJK SC"/>
        </w:rPr>
        <w:t>黄金律资本水平使稳态人均消费最大。稳态消费等于产出减去维持资本所需的投资：</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c* = f(k*) − (n + δ)k*</w:t>
            </w:r>
          </w:p>
        </w:tc>
      </w:tr>
    </w:tbl>
    <w:p>
      <w:pPr>
        <w:spacing w:after="0"/>
        <w:widowControl/>
      </w:pP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20"/>
              <w:jc w:val="center"/>
            </w:pPr>
            <w:r>
              <w:rPr>
                <w:rFonts w:ascii="Noto Sans CJK SC" w:hAnsi="Noto Sans CJK SC" w:eastAsia="Noto Sans CJK SC"/>
                <w:b/>
                <w:color w:val="2F3337"/>
                <w:sz w:val="24"/>
              </w:rPr>
              <w:t>黄金律条件：MPK = n + δ</w:t>
            </w:r>
          </w:p>
          <w:p>
            <w:pPr>
              <w:spacing w:after="80"/>
              <w:jc w:val="center"/>
            </w:pPr>
            <w:r>
              <w:rPr>
                <w:rFonts w:ascii="Noto Serif CJK SC" w:hAnsi="Noto Serif CJK SC" w:eastAsia="Noto Serif CJK SC"/>
                <w:color w:val="6B6F73"/>
                <w:sz w:val="18"/>
              </w:rPr>
              <w:t>考虑技术进步时通常写为MPK = n + g + δ。</w:t>
            </w:r>
          </w:p>
        </w:tc>
      </w:tr>
    </w:tbl>
    <w:p>
      <w:pPr>
        <w:spacing w:after="0"/>
        <w:widowControl/>
      </w:pPr>
    </w:p>
    <w:p>
      <w:pPr>
        <w:widowControl/>
      </w:pPr>
      <w:r>
        <w:rPr>
          <w:rFonts w:ascii="Noto Serif CJK SC" w:hAnsi="Noto Serif CJK SC" w:eastAsia="Noto Serif CJK SC"/>
        </w:rPr>
        <w:t>若现有资本低于黄金律，提高储蓄率会牺牲当前消费但提高未来稳态消费；若资本高于黄金律，降低储蓄率反而可以同时提高当前和未来消费。</w:t>
      </w:r>
    </w:p>
    <w:p>
      <w:pPr>
        <w:pStyle w:val="Heading2"/>
        <w:widowControl/>
      </w:pPr>
      <w:r>
        <w:t>8.7 人口增长与技术进步</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人口增长率n提高，会提高保本投资线斜率，降低稳态人均资本和人均产出。</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人口增长可提高总产出增长，但不保证人均生活水平提高。</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技术进步提高有效劳动生产率，是长期人均产出持续增长的核心来源。</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引入劳动增进型技术进步g后，稳态中每单位有效劳动的资本不变，但每工人产出可按g持续增长。</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含技术进步的稳态：s f(k*) = (n + g + δ)k*</w:t>
            </w:r>
          </w:p>
        </w:tc>
      </w:tr>
    </w:tbl>
    <w:p>
      <w:pPr>
        <w:spacing w:after="0"/>
        <w:widowControl/>
      </w:pPr>
    </w:p>
    <w:p>
      <w:pPr>
        <w:pStyle w:val="Heading2"/>
        <w:widowControl/>
      </w:pPr>
      <w:r>
        <w:t>8.8 收敛</w:t>
      </w:r>
    </w:p>
    <w:p>
      <w:pPr>
        <w:widowControl/>
      </w:pPr>
      <w:r>
        <w:rPr>
          <w:rFonts w:ascii="Noto Serif CJK SC" w:hAnsi="Noto Serif CJK SC" w:eastAsia="Noto Serif CJK SC"/>
        </w:rPr>
        <w:t>资本边际报酬递减意味着其他条件相同时，资本较少的经济体增加资本的收益更高，因此可能增长更快。</w:t>
      </w:r>
    </w:p>
    <w:tbl>
      <w:tblPr>
        <w:tblW w:type="auto" w:w="0"/>
        <w:jc w:val="center"/>
        <w:tblLayout w:type="fixed"/>
        <w:tblLook w:firstColumn="1" w:firstRow="1" w:lastColumn="0" w:lastRow="0" w:noHBand="0" w:noVBand="1" w:val="04A0"/>
      </w:tblPr>
      <w:tblGrid>
        <w:gridCol w:w="1928"/>
        <w:gridCol w:w="3515"/>
        <w:gridCol w:w="3118"/>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概念</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含义</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8"/>
              </w:rPr>
              <w:t>条件</w:t>
            </w:r>
          </w:p>
        </w:tc>
      </w:tr>
      <w:tr>
        <w:trPr>
          <w:cantSplit/>
        </w:trPr>
        <w:tc>
          <w:tcPr>
            <w:tcW w:type="dxa" w:w="192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绝对收敛</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贫穷经济体最终追赶富裕经济体</w:t>
            </w:r>
          </w:p>
        </w:tc>
        <w:tc>
          <w:tcPr>
            <w:tcW w:type="dxa" w:w="311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各经济体储蓄率、人口增长、技术和制度相同</w:t>
            </w:r>
          </w:p>
        </w:tc>
      </w:tr>
      <w:tr>
        <w:trPr>
          <w:cantSplit/>
        </w:trPr>
        <w:tc>
          <w:tcPr>
            <w:tcW w:type="dxa" w:w="192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条件收敛</w:t>
            </w:r>
          </w:p>
        </w:tc>
        <w:tc>
          <w:tcPr>
            <w:tcW w:type="dxa" w:w="351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经济体趋向各自稳态，距自身稳态越远增长越快</w:t>
            </w:r>
          </w:p>
        </w:tc>
        <w:tc>
          <w:tcPr>
            <w:tcW w:type="dxa" w:w="3118"/>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允许稳态由制度、储蓄率等决定</w:t>
            </w:r>
          </w:p>
        </w:tc>
      </w:tr>
      <w:tr>
        <w:trPr>
          <w:cantSplit/>
        </w:trPr>
        <w:tc>
          <w:tcPr>
            <w:tcW w:type="dxa" w:w="192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俱乐部收敛</w:t>
            </w:r>
          </w:p>
        </w:tc>
        <w:tc>
          <w:tcPr>
            <w:tcW w:type="dxa" w:w="351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相似制度和结构的经济体在组内收敛</w:t>
            </w:r>
          </w:p>
        </w:tc>
        <w:tc>
          <w:tcPr>
            <w:tcW w:type="dxa" w:w="3118"/>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8"/>
              </w:rPr>
              <w:t>存在多重稳态或门槛效应</w:t>
            </w:r>
          </w:p>
        </w:tc>
      </w:tr>
    </w:tbl>
    <w:p>
      <w:pPr>
        <w:spacing w:after="0"/>
        <w:widowControl/>
      </w:pPr>
    </w:p>
    <w:p>
      <w:pPr>
        <w:pStyle w:val="Heading2"/>
        <w:widowControl/>
      </w:pPr>
      <w:r>
        <w:t>8.9 增长核算</w:t>
      </w:r>
    </w:p>
    <w:tbl>
      <w:tblPr>
        <w:tblW w:type="auto" w:w="0"/>
        <w:jc w:val="center"/>
        <w:tblLayout w:type="fixed"/>
        <w:tblLook w:firstColumn="1" w:firstRow="1" w:lastColumn="0" w:lastRow="0" w:noHBand="0" w:noVBand="1" w:val="04A0"/>
      </w:tblPr>
      <w:tblGrid>
        <w:gridCol w:w="8957"/>
      </w:tblGrid>
      <w:tr>
        <w:trPr>
          <w:tblHeader w:val="true"/>
          <w:cantSplit/>
        </w:trPr>
        <w:tc>
          <w:tcPr>
            <w:tcW w:type="dxa" w:w="9525"/>
            <w:shd w:fill="F7ECEC"/>
            <w:tcBorders>
              <w:top w:val="single" w:sz="8" w:color="A33131"/>
              <w:left w:val="single" w:sz="8" w:color="A33131"/>
              <w:bottom w:val="single" w:sz="8" w:color="A33131"/>
              <w:right w:val="single" w:sz="8" w:color="A33131"/>
            </w:tcBorders>
            <w:vAlign w:val="center"/>
          </w:tcPr>
          <w:p>
            <w:pPr>
              <w:spacing w:before="100" w:after="80"/>
              <w:jc w:val="center"/>
            </w:pPr>
            <w:r>
              <w:rPr>
                <w:rFonts w:ascii="Noto Sans CJK SC" w:hAnsi="Noto Sans CJK SC" w:eastAsia="Noto Sans CJK SC"/>
                <w:b/>
                <w:color w:val="2F3337"/>
                <w:sz w:val="24"/>
              </w:rPr>
              <w:t>ΔY/Y = α·ΔK/K + (1−α)·ΔL/L + ΔA/A</w:t>
            </w:r>
          </w:p>
        </w:tc>
      </w:tr>
    </w:tbl>
    <w:p>
      <w:pPr>
        <w:spacing w:after="0"/>
        <w:widowControl/>
      </w:pPr>
    </w:p>
    <w:p>
      <w:pPr>
        <w:widowControl/>
      </w:pPr>
      <w:r>
        <w:rPr>
          <w:rFonts w:ascii="Noto Serif CJK SC" w:hAnsi="Noto Serif CJK SC" w:eastAsia="Noto Serif CJK SC"/>
        </w:rPr>
        <w:t>增长核算把产出增长分解为资本投入、劳动投入和全要素生产率TFP的贡献。TFP是无法由可观测要素投入解释的“索洛余值”，反映技术、组织、制度和测量误差等综合影响。</w:t>
      </w:r>
    </w:p>
    <w:p>
      <w:pPr>
        <w:pStyle w:val="Heading2"/>
        <w:widowControl/>
      </w:pPr>
      <w:r>
        <w:t>8.10 内生增长理论</w:t>
      </w:r>
    </w:p>
    <w:p>
      <w:pPr>
        <w:widowControl/>
      </w:pPr>
      <w:r>
        <w:rPr>
          <w:rFonts w:ascii="Noto Serif CJK SC" w:hAnsi="Noto Serif CJK SC" w:eastAsia="Noto Serif CJK SC"/>
        </w:rPr>
        <w:t>索洛模型把长期技术进步视为外生变量。内生增长理论强调知识、人力资本、研发和学习效应可以由经济体系内部的投资决策产生。知识具有非竞争性和外部性，社会收益可能高于企业私人收益，因此教育和研发支持可能具有政策理由。</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AK模型在广义资本不存在强烈边际报酬递减时，可以产生持续的人均增长。</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研发模型强调创新投入、专利和市场规模。</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人力资本模型强调教育、技能与学习积累。</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制度决定激励：产权不稳、腐败和市场扭曲会抑制投资与创新。</w:t>
      </w:r>
    </w:p>
    <w:p>
      <w:pPr>
        <w:pStyle w:val="Heading2"/>
        <w:widowControl/>
      </w:pPr>
      <w:r>
        <w:t>8.11 促进经济增长的政策</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提高基础教育、职业教育和公共健康水平。</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鼓励有效的物质资本投资和高质量基础设施。</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支持研发、知识扩散和创新，同时平衡知识产权与竞争。</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保护产权、改善法治和营商环境。</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保持宏观稳定，避免高通胀和金融危机破坏长期投资。</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扩大开放与技术交流，但重视吸收能力和产业升级。</w:t>
      </w:r>
    </w:p>
    <w:p>
      <w:pPr>
        <w:pStyle w:val="Heading2"/>
        <w:widowControl/>
      </w:pPr>
      <w:r>
        <w:t>本章考试抓手</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能够写出索洛模型资本积累方程并解释每一项。</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能根据投资曲线与保本投资线判断人均资本变化方向。</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理解提高储蓄率只提高长期收入水平，不永久提高无技术进步时的人均增长率。</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掌握黄金律条件、人口增长和技术进步的作用。</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区分绝对收敛、条件收敛与内生增长理论。</w:t>
      </w:r>
    </w:p>
    <w:p>
      <w:pPr>
        <w:pStyle w:val="Heading2"/>
        <w:widowControl/>
      </w:pPr>
      <w:r>
        <w:t>自测题</w:t>
      </w:r>
    </w:p>
    <w:p>
      <w:pPr>
        <w:pStyle w:val="Compact"/>
        <w:ind w:firstLine="0"/>
        <w:widowControl/>
      </w:pPr>
      <w:r>
        <w:rPr>
          <w:rFonts w:ascii="Noto Serif CJK SC" w:hAnsi="Noto Serif CJK SC" w:eastAsia="Noto Serif CJK SC"/>
          <w:sz w:val="19"/>
        </w:rPr>
        <w:t>1. 稳态为什么不等于经济总量停止增长？</w:t>
      </w:r>
    </w:p>
    <w:p>
      <w:pPr>
        <w:pStyle w:val="Compact"/>
        <w:ind w:firstLine="0"/>
        <w:widowControl/>
      </w:pPr>
      <w:r>
        <w:rPr>
          <w:rFonts w:ascii="Noto Serif CJK SC" w:hAnsi="Noto Serif CJK SC" w:eastAsia="Noto Serif CJK SC"/>
          <w:sz w:val="19"/>
        </w:rPr>
        <w:t>2. 提高储蓄率能否永久提高人均产出增长率？</w:t>
      </w:r>
    </w:p>
    <w:p>
      <w:pPr>
        <w:pStyle w:val="Compact"/>
        <w:ind w:firstLine="0"/>
        <w:widowControl/>
      </w:pPr>
      <w:r>
        <w:rPr>
          <w:rFonts w:ascii="Noto Serif CJK SC" w:hAnsi="Noto Serif CJK SC" w:eastAsia="Noto Serif CJK SC"/>
          <w:sz w:val="19"/>
        </w:rPr>
        <w:t>3. 人口增长率上升如何影响稳态人均资本？</w:t>
      </w:r>
    </w:p>
    <w:p>
      <w:pPr>
        <w:pStyle w:val="Compact"/>
        <w:ind w:firstLine="0"/>
        <w:widowControl/>
      </w:pPr>
      <w:r>
        <w:rPr>
          <w:rFonts w:ascii="Noto Serif CJK SC" w:hAnsi="Noto Serif CJK SC" w:eastAsia="Noto Serif CJK SC"/>
          <w:sz w:val="19"/>
        </w:rPr>
        <w:t>4. 为什么技术进步是长期人均增长的核心来源？</w:t>
      </w:r>
    </w:p>
    <w:p>
      <w:pPr>
        <w:widowControl/>
      </w:pPr>
      <w:r>
        <w:br w:type="page"/>
      </w:r>
    </w:p>
    <w:p>
      <w:pPr>
        <w:pStyle w:val="Heading1"/>
        <w:widowControl/>
      </w:pPr>
      <w:r>
        <w:t>附录A：核心公式速查</w:t>
      </w:r>
    </w:p>
    <w:p>
      <w:pPr>
        <w:pStyle w:val="Lead"/>
        <w:ind w:firstLine="0"/>
        <w:widowControl/>
      </w:pPr>
      <w:r>
        <w:rPr>
          <w:rFonts w:ascii="Noto Serif CJK SC" w:hAnsi="Noto Serif CJK SC" w:eastAsia="Noto Serif CJK SC"/>
        </w:rPr>
        <w:t>以下公式用于考前快速回忆。使用时先确认模型假设和变量定义，不要脱离条件机械套用。</w:t>
      </w:r>
    </w:p>
    <w:tbl>
      <w:tblPr>
        <w:tblW w:type="auto" w:w="0"/>
        <w:jc w:val="center"/>
        <w:tblLayout w:type="fixed"/>
        <w:tblLook w:firstColumn="1" w:firstRow="1" w:lastColumn="0" w:lastRow="0" w:noHBand="0" w:noVBand="1" w:val="04A0"/>
      </w:tblPr>
      <w:tblGrid>
        <w:gridCol w:w="1701"/>
        <w:gridCol w:w="3855"/>
        <w:gridCol w:w="3175"/>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模块</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核心公式</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用途</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国民核算</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C + I + G + NX</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支出法GDP与总需求恒等式</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价格指标</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GDP平减指数 = 名义GDP/实际GDP×100</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分离价格与产量变化</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就业</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u = 失业人口/劳动力；参与率 = 劳动力/劳动年龄人口</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劳动力市场指标</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消费储蓄</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C = a+bYd；S = −a+(1−b)Yd</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收入—支出模型</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简单乘数</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k = 1/(1−b)</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自主支出变化对均衡收入的放大</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开放乘数</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k = 1/[1−b(1−t)+m]</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考虑比例税和进口泄漏</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IS均衡</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C(Y−T)+I(r)+G+NX</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产品市场均衡</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LM均衡</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M/P = L(Y,r)</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货币市场均衡</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总需求</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AD = C+I+G+NX</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价格水平与均衡产出关系</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奥肯定律</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(Y−Y*)/Y* = −α(u−u*)</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产出缺口与周期性失业</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费雪关系</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实际利率 ≈ 名义利率−通胀率</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名义与实际收益</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菲利普斯曲线</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π = πe−β(u−u*)+v</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通胀、失业、预期与供给冲击</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实际汇率</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ε = eP*/P</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国际竞争力与净出口</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索洛积累</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Δk = sf(k)−(n+δ)k</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人均资本动态</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索洛稳态</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sf(k*)=(n+δ)k*</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人均资本不再变化</w:t>
            </w:r>
          </w:p>
        </w:tc>
      </w:tr>
      <w:tr>
        <w:trPr>
          <w:cantSplit/>
        </w:trPr>
        <w:tc>
          <w:tcPr>
            <w:tcW w:type="dxa" w:w="1701"/>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黄金律</w:t>
            </w:r>
          </w:p>
        </w:tc>
        <w:tc>
          <w:tcPr>
            <w:tcW w:type="dxa" w:w="385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MPK=n+δ（含技术时加g）</w:t>
            </w:r>
          </w:p>
        </w:tc>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稳态消费最大化</w:t>
            </w:r>
          </w:p>
        </w:tc>
      </w:tr>
      <w:tr>
        <w:trPr>
          <w:cantSplit/>
        </w:trPr>
        <w:tc>
          <w:tcPr>
            <w:tcW w:type="dxa" w:w="1701"/>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增长核算</w:t>
            </w:r>
          </w:p>
        </w:tc>
        <w:tc>
          <w:tcPr>
            <w:tcW w:type="dxa" w:w="385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gY = αgK+(1−α)gL+gA</w:t>
            </w:r>
          </w:p>
        </w:tc>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分解资本、劳动和TFP贡献</w:t>
            </w:r>
          </w:p>
        </w:tc>
      </w:tr>
    </w:tbl>
    <w:p>
      <w:pPr>
        <w:spacing w:after="0"/>
        <w:widowControl/>
      </w:pPr>
    </w:p>
    <w:p>
      <w:pPr>
        <w:pStyle w:val="Heading2"/>
        <w:widowControl/>
      </w:pPr>
      <w:r>
        <w:t>附录B：必须会画的图</w:t>
      </w:r>
    </w:p>
    <w:tbl>
      <w:tblPr>
        <w:tblW w:type="auto" w:w="0"/>
        <w:jc w:val="center"/>
        <w:tblLayout w:type="fixed"/>
        <w:tblLook w:firstColumn="1" w:firstRow="1" w:lastColumn="0" w:lastRow="0" w:noHBand="0" w:noVBand="1" w:val="04A0"/>
      </w:tblPr>
      <w:tblGrid>
        <w:gridCol w:w="2154"/>
        <w:gridCol w:w="2494"/>
        <w:gridCol w:w="4082"/>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图形</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横轴/纵轴</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最少要会表达的内容</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凯恩斯交叉</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AE</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45°线、计划支出线、存货调整、乘数</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消费与储蓄函数</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Yd / C或S</w:t>
            </w:r>
          </w:p>
        </w:tc>
        <w:tc>
          <w:tcPr>
            <w:tcW w:type="dxa" w:w="408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截距、MPC/MPS、收支平衡点</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IS曲线</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r</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负斜率、财政政策和自主支出移动</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LM曲线</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r</w:t>
            </w:r>
          </w:p>
        </w:tc>
        <w:tc>
          <w:tcPr>
            <w:tcW w:type="dxa" w:w="408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正斜率、货币供给和价格水平移动</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IS-LM</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r</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共同均衡、财政与货币政策、挤出效应</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AD曲线</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P</w:t>
            </w:r>
          </w:p>
        </w:tc>
        <w:tc>
          <w:tcPr>
            <w:tcW w:type="dxa" w:w="408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由M/P与LM推导、需求政策移动</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AD-AS</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Y / P</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SRAS、LRAS、需求冲击与供给冲击</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短期菲利普斯曲线</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u / π</w:t>
            </w:r>
          </w:p>
        </w:tc>
        <w:tc>
          <w:tcPr>
            <w:tcW w:type="dxa" w:w="408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预期变化导致曲线上移下移、长期垂直</w:t>
            </w:r>
          </w:p>
        </w:tc>
      </w:tr>
      <w:tr>
        <w:trPr>
          <w:cantSplit/>
        </w:trPr>
        <w:tc>
          <w:tcPr>
            <w:tcW w:type="dxa" w:w="215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外汇市场或IS-LM-BP</w:t>
            </w:r>
          </w:p>
        </w:tc>
        <w:tc>
          <w:tcPr>
            <w:tcW w:type="dxa" w:w="249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外汇量/汇率或Y/r</w:t>
            </w:r>
          </w:p>
        </w:tc>
        <w:tc>
          <w:tcPr>
            <w:tcW w:type="dxa" w:w="408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资本流动、固定/浮动汇率政策</w:t>
            </w:r>
          </w:p>
        </w:tc>
      </w:tr>
      <w:tr>
        <w:trPr>
          <w:cantSplit/>
        </w:trPr>
        <w:tc>
          <w:tcPr>
            <w:tcW w:type="dxa" w:w="215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索洛模型</w:t>
            </w:r>
          </w:p>
        </w:tc>
        <w:tc>
          <w:tcPr>
            <w:tcW w:type="dxa" w:w="249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k / 每工人投资</w:t>
            </w:r>
          </w:p>
        </w:tc>
        <w:tc>
          <w:tcPr>
            <w:tcW w:type="dxa" w:w="408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sf(k)、(n+δ)k、稳态与储蓄率变化</w:t>
            </w:r>
          </w:p>
        </w:tc>
      </w:tr>
    </w:tbl>
    <w:p>
      <w:pPr>
        <w:spacing w:after="0"/>
        <w:widowControl/>
      </w:pPr>
    </w:p>
    <w:tbl>
      <w:tblPr>
        <w:tblW w:type="auto" w:w="0"/>
        <w:jc w:val="center"/>
        <w:tblLayout w:type="autofit"/>
        <w:tblLook w:firstColumn="1" w:firstRow="1" w:lastColumn="0" w:lastRow="0" w:noHBand="0" w:noVBand="1" w:val="04A0"/>
      </w:tblPr>
      <w:tblGrid>
        <w:gridCol w:w="9525"/>
      </w:tblGrid>
      <w:tr>
        <w:trPr>
          <w:tblHeader w:val="true"/>
          <w:cantSplit/>
        </w:trPr>
        <w:tc>
          <w:tcPr>
            <w:tcW w:type="dxa" w:w="9525"/>
            <w:shd w:fill="F7ECEC"/>
            <w:tcBorders>
              <w:top w:val="nil"/>
              <w:left w:val="single" w:sz="18" w:color="A33131"/>
              <w:bottom w:val="nil"/>
              <w:right w:val="nil"/>
            </w:tcBorders>
          </w:tcPr>
          <w:p>
            <w:pPr>
              <w:spacing w:before="80" w:after="40"/>
              <w:ind w:firstLine="0"/>
            </w:pPr>
            <w:r>
              <w:rPr>
                <w:rFonts w:ascii="Noto Sans CJK SC" w:hAnsi="Noto Sans CJK SC" w:eastAsia="Noto Sans CJK SC"/>
                <w:b/>
                <w:color w:val="A33131"/>
                <w:sz w:val="20"/>
              </w:rPr>
              <w:t xml:space="preserve">画图要求  </w:t>
            </w:r>
            <w:r>
              <w:rPr>
                <w:rFonts w:ascii="Noto Serif CJK SC" w:hAnsi="Noto Serif CJK SC" w:eastAsia="Noto Serif CJK SC"/>
                <w:color w:val="2F3337"/>
                <w:sz w:val="19"/>
              </w:rPr>
              <w:t>所有图必须标明坐标轴、原均衡、曲线移动方向和新均衡。仅画箭头不写原因通常不能获得完整分数。</w:t>
            </w:r>
          </w:p>
        </w:tc>
      </w:tr>
    </w:tbl>
    <w:p>
      <w:pPr>
        <w:spacing w:after="0"/>
        <w:widowControl/>
      </w:pPr>
    </w:p>
    <w:p>
      <w:pPr>
        <w:pStyle w:val="Heading2"/>
        <w:widowControl/>
      </w:pPr>
      <w:r>
        <w:t>附录C：常见易错判断</w:t>
      </w:r>
    </w:p>
    <w:tbl>
      <w:tblPr>
        <w:tblW w:type="auto" w:w="0"/>
        <w:jc w:val="center"/>
        <w:tblLayout w:type="fixed"/>
        <w:tblLook w:firstColumn="1" w:firstRow="1" w:lastColumn="0" w:lastRow="0" w:noHBand="0" w:noVBand="1" w:val="04A0"/>
      </w:tblPr>
      <w:tblGrid>
        <w:gridCol w:w="3175"/>
        <w:gridCol w:w="1134"/>
        <w:gridCol w:w="4252"/>
      </w:tblGrid>
      <w:tr>
        <w:trPr>
          <w:tblHeader w:val="true"/>
          <w:cantSplit/>
        </w:trPr>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判断</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结论</w:t>
            </w:r>
          </w:p>
        </w:tc>
        <w:tc>
          <w:tcPr>
            <w:tcW w:type="dxa" w:w="3175"/>
            <w:shd w:fill="A33131"/>
            <w:tcBorders>
              <w:top w:val="single" w:sz="5" w:color="A33131"/>
              <w:left w:val="single" w:sz="5" w:color="FFFFFF"/>
              <w:bottom w:val="single" w:sz="5" w:color="A33131"/>
              <w:right w:val="single" w:sz="5" w:color="FFFFFF"/>
            </w:tcBorders>
          </w:tcPr>
          <w:p>
            <w:pPr>
              <w:ind w:firstLine="0"/>
              <w:jc w:val="center"/>
            </w:pPr>
            <w:r>
              <w:rPr>
                <w:rFonts w:ascii="Noto Sans CJK SC" w:hAnsi="Noto Sans CJK SC" w:eastAsia="Noto Sans CJK SC"/>
                <w:b/>
                <w:color w:val="FFFFFF"/>
                <w:sz w:val="17"/>
              </w:rPr>
              <w:t>纠正</w:t>
            </w:r>
          </w:p>
        </w:tc>
      </w:tr>
      <w:tr>
        <w:trPr>
          <w:cantSplit/>
        </w:trPr>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“所有商品交易都计入GDP”</w:t>
            </w:r>
          </w:p>
        </w:tc>
        <w:tc>
          <w:tcPr>
            <w:tcW w:type="dxa" w:w="113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只统计当期国内生产的最终产品与服务</w:t>
            </w:r>
          </w:p>
        </w:tc>
      </w:tr>
      <w:tr>
        <w:trPr>
          <w:cantSplit/>
        </w:trPr>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“储蓄恒等于投资，所以经济总在均衡”</w:t>
            </w:r>
          </w:p>
        </w:tc>
        <w:tc>
          <w:tcPr>
            <w:tcW w:type="dxa" w:w="113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事后核算恒等不等于事前计划相等</w:t>
            </w:r>
          </w:p>
        </w:tc>
      </w:tr>
      <w:tr>
        <w:trPr>
          <w:cantSplit/>
        </w:trPr>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“货币供给增加一定提高产出”</w:t>
            </w:r>
          </w:p>
        </w:tc>
        <w:tc>
          <w:tcPr>
            <w:tcW w:type="dxa" w:w="113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流动性陷阱或投资不敏感时效果可能很弱</w:t>
            </w:r>
          </w:p>
        </w:tc>
      </w:tr>
      <w:tr>
        <w:trPr>
          <w:cantSplit/>
        </w:trPr>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“市场均衡等于充分就业”</w:t>
            </w:r>
          </w:p>
        </w:tc>
        <w:tc>
          <w:tcPr>
            <w:tcW w:type="dxa" w:w="113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IS-LM交点可能低于潜在产出</w:t>
            </w:r>
          </w:p>
        </w:tc>
      </w:tr>
      <w:tr>
        <w:trPr>
          <w:cantSplit/>
        </w:trPr>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“AD右移能永久提高实际产出”</w:t>
            </w:r>
          </w:p>
        </w:tc>
        <w:tc>
          <w:tcPr>
            <w:tcW w:type="dxa" w:w="113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长期产出回到潜在水平，价格更高</w:t>
            </w:r>
          </w:p>
        </w:tc>
      </w:tr>
      <w:tr>
        <w:trPr>
          <w:cantSplit/>
        </w:trPr>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“充分就业就是没有失业”</w:t>
            </w:r>
          </w:p>
        </w:tc>
        <w:tc>
          <w:tcPr>
            <w:tcW w:type="dxa" w:w="113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摩擦性和结构性失业仍存在</w:t>
            </w:r>
          </w:p>
        </w:tc>
      </w:tr>
      <w:tr>
        <w:trPr>
          <w:cantSplit/>
        </w:trPr>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“通胀对所有人影响相同”</w:t>
            </w:r>
          </w:p>
        </w:tc>
        <w:tc>
          <w:tcPr>
            <w:tcW w:type="dxa" w:w="113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未预期通胀会在债务人与债权人之间再分配</w:t>
            </w:r>
          </w:p>
        </w:tc>
      </w:tr>
      <w:tr>
        <w:trPr>
          <w:cantSplit/>
        </w:trPr>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“财政赤字等于政府债务”</w:t>
            </w:r>
          </w:p>
        </w:tc>
        <w:tc>
          <w:tcPr>
            <w:tcW w:type="dxa" w:w="113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赤字是流量，债务是存量</w:t>
            </w:r>
          </w:p>
        </w:tc>
      </w:tr>
      <w:tr>
        <w:trPr>
          <w:cantSplit/>
        </w:trPr>
        <w:tc>
          <w:tcPr>
            <w:tcW w:type="dxa" w:w="3175"/>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“固定汇率下央行可自由调利率”</w:t>
            </w:r>
          </w:p>
        </w:tc>
        <w:tc>
          <w:tcPr>
            <w:tcW w:type="dxa" w:w="1134"/>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资本自由流动时货币政策独立性受到约束</w:t>
            </w:r>
          </w:p>
        </w:tc>
      </w:tr>
      <w:tr>
        <w:trPr>
          <w:cantSplit/>
        </w:trPr>
        <w:tc>
          <w:tcPr>
            <w:tcW w:type="dxa" w:w="3175"/>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“高储蓄率必然使长期消费最高”</w:t>
            </w:r>
          </w:p>
        </w:tc>
        <w:tc>
          <w:tcPr>
            <w:tcW w:type="dxa" w:w="1134"/>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错误</w:t>
            </w:r>
          </w:p>
        </w:tc>
        <w:tc>
          <w:tcPr>
            <w:tcW w:type="dxa" w:w="4252"/>
            <w:shd w:fill="FAFAFA"/>
            <w:tcBorders>
              <w:top w:val="single" w:sz="3" w:color="D8DADD"/>
              <w:left w:val="single" w:sz="3" w:color="D8DADD"/>
              <w:bottom w:val="single" w:sz="3" w:color="D8DADD"/>
              <w:right w:val="single" w:sz="3" w:color="D8DADD"/>
            </w:tcBorders>
            <w:vAlign w:val="center"/>
          </w:tcPr>
          <w:p>
            <w:pPr>
              <w:spacing w:before="40" w:after="40"/>
              <w:ind w:firstLine="0"/>
            </w:pPr>
            <w:r>
              <w:rPr>
                <w:rFonts w:ascii="Noto Serif CJK SC" w:hAnsi="Noto Serif CJK SC" w:eastAsia="Noto Serif CJK SC"/>
                <w:sz w:val="17"/>
              </w:rPr>
              <w:t>超过黄金律水平后储蓄过多会降低稳态消费</w:t>
            </w:r>
          </w:p>
        </w:tc>
      </w:tr>
    </w:tbl>
    <w:p>
      <w:pPr>
        <w:spacing w:after="0"/>
        <w:widowControl/>
      </w:pPr>
    </w:p>
    <w:p>
      <w:pPr>
        <w:pStyle w:val="Heading2"/>
        <w:widowControl/>
      </w:pPr>
      <w:r>
        <w:t>附录D：综合简答题答题模板</w:t>
      </w:r>
    </w:p>
    <w:p>
      <w:pPr>
        <w:pStyle w:val="Heading3"/>
        <w:widowControl/>
      </w:pPr>
      <w:r>
        <w:t>1. “分析某政策的影响”</w:t>
      </w:r>
    </w:p>
    <w:p>
      <w:pPr>
        <w:spacing w:after="60"/>
        <w:ind w:left="312" w:hanging="159"/>
        <w:widowControl/>
      </w:pPr>
      <w:r>
        <w:rPr>
          <w:rFonts w:ascii="Noto Sans CJK SC" w:hAnsi="Noto Sans CJK SC" w:eastAsia="Noto Sans CJK SC"/>
          <w:b/>
          <w:color w:val="A33131"/>
        </w:rPr>
        <w:t xml:space="preserve">1. </w:t>
      </w:r>
      <w:r>
        <w:rPr>
          <w:rFonts w:ascii="Noto Serif CJK SC" w:hAnsi="Noto Serif CJK SC" w:eastAsia="Noto Serif CJK SC"/>
          <w:sz w:val="21"/>
        </w:rPr>
        <w:t>判断政策属于财政还是货币、扩张还是紧缩。</w:t>
      </w:r>
    </w:p>
    <w:p>
      <w:pPr>
        <w:spacing w:after="60"/>
        <w:ind w:left="312" w:hanging="159"/>
        <w:widowControl/>
      </w:pPr>
      <w:r>
        <w:rPr>
          <w:rFonts w:ascii="Noto Sans CJK SC" w:hAnsi="Noto Sans CJK SC" w:eastAsia="Noto Sans CJK SC"/>
          <w:b/>
          <w:color w:val="A33131"/>
        </w:rPr>
        <w:t xml:space="preserve">2. </w:t>
      </w:r>
      <w:r>
        <w:rPr>
          <w:rFonts w:ascii="Noto Serif CJK SC" w:hAnsi="Noto Serif CJK SC" w:eastAsia="Noto Serif CJK SC"/>
          <w:sz w:val="21"/>
        </w:rPr>
        <w:t>写出直接移动的曲线：IS、LM或AD。</w:t>
      </w:r>
    </w:p>
    <w:p>
      <w:pPr>
        <w:spacing w:after="60"/>
        <w:ind w:left="312" w:hanging="159"/>
        <w:widowControl/>
      </w:pPr>
      <w:r>
        <w:rPr>
          <w:rFonts w:ascii="Noto Sans CJK SC" w:hAnsi="Noto Sans CJK SC" w:eastAsia="Noto Sans CJK SC"/>
          <w:b/>
          <w:color w:val="A33131"/>
        </w:rPr>
        <w:t xml:space="preserve">3. </w:t>
      </w:r>
      <w:r>
        <w:rPr>
          <w:rFonts w:ascii="Noto Serif CJK SC" w:hAnsi="Noto Serif CJK SC" w:eastAsia="Noto Serif CJK SC"/>
          <w:sz w:val="21"/>
        </w:rPr>
        <w:t>说明均衡产出、利率和价格的短期变化。</w:t>
      </w:r>
    </w:p>
    <w:p>
      <w:pPr>
        <w:spacing w:after="60"/>
        <w:ind w:left="312" w:hanging="159"/>
        <w:widowControl/>
      </w:pPr>
      <w:r>
        <w:rPr>
          <w:rFonts w:ascii="Noto Sans CJK SC" w:hAnsi="Noto Sans CJK SC" w:eastAsia="Noto Sans CJK SC"/>
          <w:b/>
          <w:color w:val="A33131"/>
        </w:rPr>
        <w:t xml:space="preserve">4. </w:t>
      </w:r>
      <w:r>
        <w:rPr>
          <w:rFonts w:ascii="Noto Serif CJK SC" w:hAnsi="Noto Serif CJK SC" w:eastAsia="Noto Serif CJK SC"/>
          <w:sz w:val="21"/>
        </w:rPr>
        <w:t>补充挤出效应、汇率渠道、预期或时滞。</w:t>
      </w:r>
    </w:p>
    <w:p>
      <w:pPr>
        <w:spacing w:after="60"/>
        <w:ind w:left="312" w:hanging="159"/>
        <w:widowControl/>
      </w:pPr>
      <w:r>
        <w:rPr>
          <w:rFonts w:ascii="Noto Sans CJK SC" w:hAnsi="Noto Sans CJK SC" w:eastAsia="Noto Sans CJK SC"/>
          <w:b/>
          <w:color w:val="A33131"/>
        </w:rPr>
        <w:t xml:space="preserve">5. </w:t>
      </w:r>
      <w:r>
        <w:rPr>
          <w:rFonts w:ascii="Noto Serif CJK SC" w:hAnsi="Noto Serif CJK SC" w:eastAsia="Noto Serif CJK SC"/>
          <w:sz w:val="21"/>
        </w:rPr>
        <w:t>若题目涉及长期，说明产出是否回到潜在水平。</w:t>
      </w:r>
    </w:p>
    <w:p>
      <w:pPr>
        <w:pStyle w:val="Heading3"/>
        <w:widowControl/>
      </w:pPr>
      <w:r>
        <w:t>2. “比较两种理论或模型”</w:t>
      </w:r>
    </w:p>
    <w:p>
      <w:pPr>
        <w:spacing w:after="60"/>
        <w:ind w:left="312" w:hanging="159"/>
        <w:widowControl/>
      </w:pPr>
      <w:r>
        <w:rPr>
          <w:rFonts w:ascii="Noto Sans CJK SC" w:hAnsi="Noto Sans CJK SC" w:eastAsia="Noto Sans CJK SC"/>
          <w:b/>
          <w:color w:val="A33131"/>
        </w:rPr>
        <w:t xml:space="preserve">1. </w:t>
      </w:r>
      <w:r>
        <w:rPr>
          <w:rFonts w:ascii="Noto Serif CJK SC" w:hAnsi="Noto Serif CJK SC" w:eastAsia="Noto Serif CJK SC"/>
          <w:sz w:val="21"/>
        </w:rPr>
        <w:t>先给出共同研究问题。</w:t>
      </w:r>
    </w:p>
    <w:p>
      <w:pPr>
        <w:spacing w:after="60"/>
        <w:ind w:left="312" w:hanging="159"/>
        <w:widowControl/>
      </w:pPr>
      <w:r>
        <w:rPr>
          <w:rFonts w:ascii="Noto Sans CJK SC" w:hAnsi="Noto Sans CJK SC" w:eastAsia="Noto Sans CJK SC"/>
          <w:b/>
          <w:color w:val="A33131"/>
        </w:rPr>
        <w:t xml:space="preserve">2. </w:t>
      </w:r>
      <w:r>
        <w:rPr>
          <w:rFonts w:ascii="Noto Serif CJK SC" w:hAnsi="Noto Serif CJK SC" w:eastAsia="Noto Serif CJK SC"/>
          <w:sz w:val="21"/>
        </w:rPr>
        <w:t>比较关键假设：价格是否黏性、利率是否变化、是否开放、时间维度。</w:t>
      </w:r>
    </w:p>
    <w:p>
      <w:pPr>
        <w:spacing w:after="60"/>
        <w:ind w:left="312" w:hanging="159"/>
        <w:widowControl/>
      </w:pPr>
      <w:r>
        <w:rPr>
          <w:rFonts w:ascii="Noto Sans CJK SC" w:hAnsi="Noto Sans CJK SC" w:eastAsia="Noto Sans CJK SC"/>
          <w:b/>
          <w:color w:val="A33131"/>
        </w:rPr>
        <w:t xml:space="preserve">3. </w:t>
      </w:r>
      <w:r>
        <w:rPr>
          <w:rFonts w:ascii="Noto Serif CJK SC" w:hAnsi="Noto Serif CJK SC" w:eastAsia="Noto Serif CJK SC"/>
          <w:sz w:val="21"/>
        </w:rPr>
        <w:t>比较核心机制和图形。</w:t>
      </w:r>
    </w:p>
    <w:p>
      <w:pPr>
        <w:spacing w:after="60"/>
        <w:ind w:left="312" w:hanging="159"/>
        <w:widowControl/>
      </w:pPr>
      <w:r>
        <w:rPr>
          <w:rFonts w:ascii="Noto Sans CJK SC" w:hAnsi="Noto Sans CJK SC" w:eastAsia="Noto Sans CJK SC"/>
          <w:b/>
          <w:color w:val="A33131"/>
        </w:rPr>
        <w:t xml:space="preserve">4. </w:t>
      </w:r>
      <w:r>
        <w:rPr>
          <w:rFonts w:ascii="Noto Serif CJK SC" w:hAnsi="Noto Serif CJK SC" w:eastAsia="Noto Serif CJK SC"/>
          <w:sz w:val="21"/>
        </w:rPr>
        <w:t>比较政策结论与适用条件。</w:t>
      </w:r>
    </w:p>
    <w:p>
      <w:pPr>
        <w:spacing w:after="60"/>
        <w:ind w:left="312" w:hanging="159"/>
        <w:widowControl/>
      </w:pPr>
      <w:r>
        <w:rPr>
          <w:rFonts w:ascii="Noto Sans CJK SC" w:hAnsi="Noto Sans CJK SC" w:eastAsia="Noto Sans CJK SC"/>
          <w:b/>
          <w:color w:val="A33131"/>
        </w:rPr>
        <w:t xml:space="preserve">5. </w:t>
      </w:r>
      <w:r>
        <w:rPr>
          <w:rFonts w:ascii="Noto Serif CJK SC" w:hAnsi="Noto Serif CJK SC" w:eastAsia="Noto Serif CJK SC"/>
          <w:sz w:val="21"/>
        </w:rPr>
        <w:t>指出两者并非绝对矛盾，而是适用于不同条件。</w:t>
      </w:r>
    </w:p>
    <w:p>
      <w:pPr>
        <w:pStyle w:val="Heading3"/>
        <w:widowControl/>
      </w:pPr>
      <w:r>
        <w:t>3. “解释一种宏观现象”</w:t>
      </w:r>
    </w:p>
    <w:p>
      <w:pPr>
        <w:spacing w:after="60"/>
        <w:ind w:left="312" w:hanging="159"/>
        <w:widowControl/>
      </w:pPr>
      <w:r>
        <w:rPr>
          <w:rFonts w:ascii="Noto Sans CJK SC" w:hAnsi="Noto Sans CJK SC" w:eastAsia="Noto Sans CJK SC"/>
          <w:b/>
          <w:color w:val="A33131"/>
        </w:rPr>
        <w:t xml:space="preserve">1. </w:t>
      </w:r>
      <w:r>
        <w:rPr>
          <w:rFonts w:ascii="Noto Serif CJK SC" w:hAnsi="Noto Serif CJK SC" w:eastAsia="Noto Serif CJK SC"/>
          <w:sz w:val="21"/>
        </w:rPr>
        <w:t>定义现象并说明数据表现。</w:t>
      </w:r>
    </w:p>
    <w:p>
      <w:pPr>
        <w:spacing w:after="60"/>
        <w:ind w:left="312" w:hanging="159"/>
        <w:widowControl/>
      </w:pPr>
      <w:r>
        <w:rPr>
          <w:rFonts w:ascii="Noto Sans CJK SC" w:hAnsi="Noto Sans CJK SC" w:eastAsia="Noto Sans CJK SC"/>
          <w:b/>
          <w:color w:val="A33131"/>
        </w:rPr>
        <w:t xml:space="preserve">2. </w:t>
      </w:r>
      <w:r>
        <w:rPr>
          <w:rFonts w:ascii="Noto Serif CJK SC" w:hAnsi="Noto Serif CJK SC" w:eastAsia="Noto Serif CJK SC"/>
          <w:sz w:val="21"/>
        </w:rPr>
        <w:t>识别需求冲击、供给冲击或长期供给因素。</w:t>
      </w:r>
    </w:p>
    <w:p>
      <w:pPr>
        <w:spacing w:after="60"/>
        <w:ind w:left="312" w:hanging="159"/>
        <w:widowControl/>
      </w:pPr>
      <w:r>
        <w:rPr>
          <w:rFonts w:ascii="Noto Sans CJK SC" w:hAnsi="Noto Sans CJK SC" w:eastAsia="Noto Sans CJK SC"/>
          <w:b/>
          <w:color w:val="A33131"/>
        </w:rPr>
        <w:t xml:space="preserve">3. </w:t>
      </w:r>
      <w:r>
        <w:rPr>
          <w:rFonts w:ascii="Noto Serif CJK SC" w:hAnsi="Noto Serif CJK SC" w:eastAsia="Noto Serif CJK SC"/>
          <w:sz w:val="21"/>
        </w:rPr>
        <w:t>给出完整因果链，至少包含三个环节。</w:t>
      </w:r>
    </w:p>
    <w:p>
      <w:pPr>
        <w:spacing w:after="60"/>
        <w:ind w:left="312" w:hanging="159"/>
        <w:widowControl/>
      </w:pPr>
      <w:r>
        <w:rPr>
          <w:rFonts w:ascii="Noto Sans CJK SC" w:hAnsi="Noto Sans CJK SC" w:eastAsia="Noto Sans CJK SC"/>
          <w:b/>
          <w:color w:val="A33131"/>
        </w:rPr>
        <w:t xml:space="preserve">4. </w:t>
      </w:r>
      <w:r>
        <w:rPr>
          <w:rFonts w:ascii="Noto Serif CJK SC" w:hAnsi="Noto Serif CJK SC" w:eastAsia="Noto Serif CJK SC"/>
          <w:sz w:val="21"/>
        </w:rPr>
        <w:t>说明短期和长期可能不同。</w:t>
      </w:r>
    </w:p>
    <w:p>
      <w:pPr>
        <w:spacing w:after="60"/>
        <w:ind w:left="312" w:hanging="159"/>
        <w:widowControl/>
      </w:pPr>
      <w:r>
        <w:rPr>
          <w:rFonts w:ascii="Noto Sans CJK SC" w:hAnsi="Noto Sans CJK SC" w:eastAsia="Noto Sans CJK SC"/>
          <w:b/>
          <w:color w:val="A33131"/>
        </w:rPr>
        <w:t xml:space="preserve">5. </w:t>
      </w:r>
      <w:r>
        <w:rPr>
          <w:rFonts w:ascii="Noto Serif CJK SC" w:hAnsi="Noto Serif CJK SC" w:eastAsia="Noto Serif CJK SC"/>
          <w:sz w:val="21"/>
        </w:rPr>
        <w:t>提出有针对性的政策，并说明副作用。</w:t>
      </w:r>
    </w:p>
    <w:p>
      <w:pPr>
        <w:pStyle w:val="Heading2"/>
        <w:widowControl/>
      </w:pPr>
      <w:r>
        <w:t>附录E：考前一页清单</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我能判断GDP项目并完成国民收入账户转换。</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我能从消费函数独立求出均衡收入和各类乘数。</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我能画IS、LM并解释斜率、移动与政策效果。</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我能画AD-AS并区分需求冲击和供给冲击。</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我能解释失业分类、奥肯定律、通胀成因和菲利普斯曲线。</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我能比较财政与货币政策的工具、传导、时滞和局限。</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我能比较固定与浮动汇率下的政策效果并解释不可能三角。</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我能写出索洛模型、稳态与黄金律，说明技术进步的重要性。</w:t>
      </w:r>
    </w:p>
    <w:p>
      <w:pPr>
        <w:spacing w:after="60"/>
        <w:ind w:left="312" w:hanging="159"/>
        <w:widowControl/>
      </w:pPr>
      <w:r>
        <w:rPr>
          <w:rFonts w:ascii="Noto Sans CJK SC" w:hAnsi="Noto Sans CJK SC" w:eastAsia="Noto Sans CJK SC"/>
          <w:b/>
          <w:color w:val="A33131"/>
        </w:rPr>
        <w:t xml:space="preserve">• </w:t>
      </w:r>
      <w:r>
        <w:rPr>
          <w:rFonts w:ascii="Noto Serif CJK SC" w:hAnsi="Noto Serif CJK SC" w:eastAsia="Noto Serif CJK SC"/>
          <w:sz w:val="21"/>
        </w:rPr>
        <w:t>我不会只写结论；每个结论后至少有一条因果链或一个图形。</w:t>
      </w:r>
    </w:p>
    <w:p>
      <w:pPr>
        <w:pStyle w:val="Heading2"/>
        <w:widowControl/>
      </w:pPr>
      <w:r>
        <w:t>附录F：各章自测题参考答案</w:t>
      </w:r>
    </w:p>
    <w:p>
      <w:pPr>
        <w:pStyle w:val="Heading3"/>
        <w:widowControl/>
      </w:pPr>
      <w:r>
        <w:t>第一章 宏观经济的基本指标及其衡量</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房款不计入，中介服务费计入当期服务产出</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转移支付没有对应当期产品或服务，只会通过受助者消费间接影响总需求</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不一定，可能完全由价格上涨造成</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可能下降，因为部分人口退出劳动力分母和失业人口统计</w:t>
      </w:r>
    </w:p>
    <w:p>
      <w:pPr>
        <w:pStyle w:val="Heading3"/>
        <w:widowControl/>
      </w:pPr>
      <w:r>
        <w:t>第二章 国民收入的决定：收入—支出模型</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销售超过预期导致非意愿存货下降，企业通过增产补充库存</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从2.5提高到5</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政府购买，因为全部直接进入总支出，减税只有MPC部分转化为消费</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二者都是收入循环中的泄漏，减少下一轮消费支出</w:t>
      </w:r>
    </w:p>
    <w:p>
      <w:pPr>
        <w:pStyle w:val="Heading3"/>
        <w:widowControl/>
      </w:pPr>
      <w:r>
        <w:t>第三章 国民收入的决定：IS-LM模型</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收入上升增加货币需求，在货币供给不变时利率必须上升</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实际货币供给M/P下降，LM左移/上移</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公众愿意以货币形式持有新增供给，利率难以下降，投资难被刺激</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利率小幅变化就会引起投资和均衡收入大幅变化</w:t>
      </w:r>
    </w:p>
    <w:p>
      <w:pPr>
        <w:pStyle w:val="Heading3"/>
        <w:widowControl/>
      </w:pPr>
      <w:r>
        <w:t>第四章 总需求—总供给模型</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实际货币余额增加，利率下降，消费投资和净出口可能增加</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提高潜在产出，使LRAS右移，并通常使SRAS右移</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生产成本上升使供给减少，产出下降而价格上涨</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不能，长期产出由资源和技术决定，需求扩张主要提高价格</w:t>
      </w:r>
    </w:p>
    <w:p>
      <w:pPr>
        <w:pStyle w:val="Heading3"/>
        <w:widowControl/>
      </w:pPr>
      <w:r>
        <w:t>第五章 失业、通货膨胀和经济周期</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摩擦性和结构性失业在正常经济中仍然存在</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成本推动型通胀，并可能伴随滞胀</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偿还的是实际购买力下降的货币，实际债务负担减轻</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预期最终会调整，失业回到自然率，通胀不能永久降低失业</w:t>
      </w:r>
    </w:p>
    <w:p>
      <w:pPr>
        <w:pStyle w:val="Heading3"/>
        <w:widowControl/>
      </w:pPr>
      <w:r>
        <w:t>第六章 宏观经济政策</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衰退时失业增加会自动提高转移支付，无需新政策决策，并支撑消费</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赤字是当期流量，债务是历年赤字累积形成的存量</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增加基础货币和流动性，压低利率，刺激投资消费和总需求</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资金需求和资源利用率较低，利率上升压力小，且企业有闲置产能</w:t>
      </w:r>
    </w:p>
    <w:p>
      <w:pPr>
        <w:pStyle w:val="Heading3"/>
        <w:widowControl/>
      </w:pPr>
      <w:r>
        <w:t>第七章 开放条件下的宏观经济</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本币贬值、外币升值</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小幅利率差即可引起足够资本流动来弥补经常账户变化</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利率下降导致资本流出和贬值压力，央行卖出外汇回收本币</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利率上升吸引资本流入，推动本币升值，出口下降进口增加</w:t>
      </w:r>
    </w:p>
    <w:p>
      <w:pPr>
        <w:pStyle w:val="Heading3"/>
        <w:widowControl/>
      </w:pPr>
      <w:r>
        <w:t>第八章 经济增长</w:t>
      </w:r>
    </w:p>
    <w:p>
      <w:pPr>
        <w:pStyle w:val="Compact"/>
        <w:ind w:firstLine="0"/>
        <w:widowControl/>
      </w:pPr>
      <w:r>
        <w:rPr>
          <w:rFonts w:ascii="Noto Sans CJK SC" w:hAnsi="Noto Sans CJK SC" w:eastAsia="Noto Sans CJK SC"/>
          <w:b/>
          <w:color w:val="A33131"/>
          <w:sz w:val="18"/>
        </w:rPr>
        <w:t xml:space="preserve">1. </w:t>
      </w:r>
      <w:r>
        <w:rPr>
          <w:rFonts w:ascii="Noto Serif CJK SC" w:hAnsi="Noto Serif CJK SC" w:eastAsia="Noto Serif CJK SC"/>
          <w:sz w:val="18"/>
        </w:rPr>
        <w:t>稳态只指人均或每单位有效劳动变量不变，总量仍可随人口和技术增长</w:t>
      </w:r>
    </w:p>
    <w:p>
      <w:pPr>
        <w:pStyle w:val="Compact"/>
        <w:ind w:firstLine="0"/>
        <w:widowControl/>
      </w:pPr>
      <w:r>
        <w:rPr>
          <w:rFonts w:ascii="Noto Sans CJK SC" w:hAnsi="Noto Sans CJK SC" w:eastAsia="Noto Sans CJK SC"/>
          <w:b/>
          <w:color w:val="A33131"/>
          <w:sz w:val="18"/>
        </w:rPr>
        <w:t xml:space="preserve">2. </w:t>
      </w:r>
      <w:r>
        <w:rPr>
          <w:rFonts w:ascii="Noto Serif CJK SC" w:hAnsi="Noto Serif CJK SC" w:eastAsia="Noto Serif CJK SC"/>
          <w:sz w:val="18"/>
        </w:rPr>
        <w:t>在基本索洛模型中不能，只提高稳态水平并带来过渡期增长</w:t>
      </w:r>
    </w:p>
    <w:p>
      <w:pPr>
        <w:pStyle w:val="Compact"/>
        <w:ind w:firstLine="0"/>
        <w:widowControl/>
      </w:pPr>
      <w:r>
        <w:rPr>
          <w:rFonts w:ascii="Noto Sans CJK SC" w:hAnsi="Noto Sans CJK SC" w:eastAsia="Noto Sans CJK SC"/>
          <w:b/>
          <w:color w:val="A33131"/>
          <w:sz w:val="18"/>
        </w:rPr>
        <w:t xml:space="preserve">3. </w:t>
      </w:r>
      <w:r>
        <w:rPr>
          <w:rFonts w:ascii="Noto Serif CJK SC" w:hAnsi="Noto Serif CJK SC" w:eastAsia="Noto Serif CJK SC"/>
          <w:sz w:val="18"/>
        </w:rPr>
        <w:t>提高保本投资需求，使稳态人均资本下降</w:t>
      </w:r>
    </w:p>
    <w:p>
      <w:pPr>
        <w:pStyle w:val="Compact"/>
        <w:ind w:firstLine="0"/>
        <w:widowControl/>
      </w:pPr>
      <w:r>
        <w:rPr>
          <w:rFonts w:ascii="Noto Sans CJK SC" w:hAnsi="Noto Sans CJK SC" w:eastAsia="Noto Sans CJK SC"/>
          <w:b/>
          <w:color w:val="A33131"/>
          <w:sz w:val="18"/>
        </w:rPr>
        <w:t xml:space="preserve">4. </w:t>
      </w:r>
      <w:r>
        <w:rPr>
          <w:rFonts w:ascii="Noto Serif CJK SC" w:hAnsi="Noto Serif CJK SC" w:eastAsia="Noto Serif CJK SC"/>
          <w:sz w:val="18"/>
        </w:rPr>
        <w:t>资本存在边际报酬递减，只有效率持续提高才能支持人均产出长期增长</w:t>
      </w:r>
    </w:p>
    <w:p>
      <w:pPr>
        <w:pStyle w:val="Heading2"/>
        <w:widowControl/>
      </w:pPr>
      <w:r>
        <w:t>整理依据</w:t>
      </w:r>
    </w:p>
    <w:p>
      <w:pPr>
        <w:ind w:firstLine="0"/>
        <w:widowControl/>
      </w:pPr>
      <w:r>
        <w:rPr>
          <w:rFonts w:ascii="Noto Serif CJK SC" w:hAnsi="Noto Serif CJK SC" w:eastAsia="Noto Serif CJK SC"/>
        </w:rPr>
        <w:t>本复习文档根据用户上传的十份宏观经济学课件整理。课件以整页截图为主，文件原始顺序中第五章位于最后一份课件后部；本文件已按课程逻辑重新排序。未发现单独的导论课件，因此在使用说明和第一章开头补充了必要的导论框架。</w:t>
      </w:r>
    </w:p>
    <w:sectPr w:rsidR="00FC693F" w:rsidRPr="0006063C" w:rsidSect="00034616">
      <w:headerReference w:type="default" r:id="rId9"/>
      <w:footerReference w:type="default" r:id="rId10"/>
      <w:pgSz w:w="11906" w:h="16838"/>
      <w:pgMar w:top="1077" w:right="1162"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B6F73"/>
        <w:sz w:val="18"/>
      </w:rPr>
      <w:t xml:space="preserve">—  </w:t>
    </w:r>
    <w:r>
      <w:rPr>
        <w:rFonts w:ascii="Noto Sans CJK SC" w:hAnsi="Noto Sans CJK SC" w:eastAsia="Noto Sans CJK SC"/>
        <w:color w:val="6B6F73"/>
        <w:sz w:val="18"/>
      </w:rPr>
      <w:fldChar w:fldCharType="begin"/>
      <w:instrText xml:space="preserve">PAGE</w:instrText>
      <w:fldChar w:fldCharType="end"/>
    </w:r>
    <w:r>
      <w:rPr>
        <w:rFonts w:ascii="Noto Sans CJK SC" w:hAnsi="Noto Sans CJK SC" w:eastAsia="Noto Sans CJK SC"/>
        <w:color w:val="6B6F73"/>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1" w:color="D8DADD"/>
      </w:pBdr>
    </w:pPr>
    <w:r>
      <w:rPr>
        <w:rFonts w:ascii="Noto Sans CJK SC" w:hAnsi="Noto Sans CJK SC" w:eastAsia="Noto Sans CJK SC"/>
        <w:color w:val="6B6F73"/>
        <w:sz w:val="18"/>
      </w:rPr>
      <w:t>宏观经济学课程复习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70"/>
      <w:ind w:firstLine="4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ind w:firstLine="0"/>
      <w:outlineLvl w:val="0"/>
    </w:pPr>
    <w:rPr>
      <w:rFonts w:asciiTheme="majorHAnsi" w:eastAsiaTheme="majorEastAsia" w:hAnsiTheme="majorHAnsi" w:cstheme="majorBidi" w:ascii="Noto Sans CJK SC" w:hAnsi="Noto Sans CJK SC" w:eastAsia="Noto Sans CJK SC"/>
      <w:b/>
      <w:bCs/>
      <w:color w:val="A33131"/>
      <w:sz w:val="36"/>
      <w:szCs w:val="28"/>
    </w:rPr>
  </w:style>
  <w:style w:type="paragraph" w:styleId="Heading2">
    <w:name w:val="heading 2"/>
    <w:basedOn w:val="Normal"/>
    <w:next w:val="Normal"/>
    <w:link w:val="Heading2Char"/>
    <w:uiPriority w:val="9"/>
    <w:unhideWhenUsed/>
    <w:qFormat/>
    <w:rsid w:val="00FC693F"/>
    <w:pPr>
      <w:keepNext/>
      <w:keepLines/>
      <w:spacing w:before="240" w:after="100"/>
      <w:ind w:firstLine="0"/>
      <w:outlineLvl w:val="1"/>
    </w:pPr>
    <w:rPr>
      <w:rFonts w:asciiTheme="majorHAnsi" w:eastAsiaTheme="majorEastAsia" w:hAnsiTheme="majorHAnsi" w:cstheme="majorBidi" w:ascii="Noto Sans CJK SC" w:hAnsi="Noto Sans CJK SC" w:eastAsia="Noto Sans CJK SC"/>
      <w:b/>
      <w:bCs/>
      <w:color w:val="2F3337"/>
      <w:sz w:val="28"/>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Noto Sans CJK SC" w:hAnsi="Noto Sans CJK SC" w:eastAsia="Noto Sans CJK SC"/>
      <w:b/>
      <w:bCs/>
      <w:color w:val="A33131"/>
      <w:sz w:val="23"/>
    </w:rPr>
  </w:style>
  <w:style w:type="paragraph" w:styleId="Heading4">
    <w:name w:val="heading 4"/>
    <w:basedOn w:val="Normal"/>
    <w:next w:val="Normal"/>
    <w:link w:val="Heading4Char"/>
    <w:uiPriority w:val="9"/>
    <w:semiHidden/>
    <w:unhideWhenUsed/>
    <w:qFormat/>
    <w:rsid w:val="00FC693F"/>
    <w:pPr>
      <w:keepNext/>
      <w:keepLines/>
      <w:spacing w:before="120" w:after="40"/>
      <w:ind w:firstLine="0"/>
      <w:outlineLvl w:val="3"/>
    </w:pPr>
    <w:rPr>
      <w:rFonts w:asciiTheme="majorHAnsi" w:eastAsiaTheme="majorEastAsia" w:hAnsiTheme="majorHAnsi" w:cstheme="majorBidi" w:ascii="Noto Sans CJK SC" w:hAnsi="Noto Sans CJK SC" w:eastAsia="Noto Sans CJK SC"/>
      <w:b/>
      <w:bCs/>
      <w:i/>
      <w:iCs/>
      <w:color w:val="3D657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ind w:firstLine="0"/>
      <w:contextualSpacing/>
    </w:pPr>
    <w:rPr>
      <w:rFonts w:asciiTheme="majorHAnsi" w:eastAsiaTheme="majorEastAsia" w:hAnsiTheme="majorHAnsi" w:cstheme="majorBidi" w:ascii="Noto Sans CJK SC" w:hAnsi="Noto Sans CJK SC" w:eastAsia="Noto Sans CJK SC"/>
      <w:b/>
      <w:color w:val="2F33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ind w:firstLine="0"/>
    </w:pPr>
    <w:rPr>
      <w:rFonts w:asciiTheme="majorHAnsi" w:eastAsiaTheme="majorEastAsia" w:hAnsiTheme="majorHAnsi" w:cstheme="majorBidi" w:ascii="Noto Sans CJK SC" w:hAnsi="Noto Sans CJK SC" w:eastAsia="Noto Sans CJK SC"/>
      <w:b/>
      <w:i/>
      <w:iCs/>
      <w:color w:val="6B6F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48" w:lineRule="auto" w:after="120"/>
      <w:ind w:firstLine="0"/>
    </w:pPr>
    <w:rPr>
      <w:rFonts w:ascii="Noto Serif CJK SC" w:hAnsi="Noto Serif CJK SC" w:eastAsia="Noto Serif CJK SC"/>
      <w:color w:val="2F3337"/>
      <w:sz w:val="22"/>
    </w:rPr>
  </w:style>
  <w:style w:type="paragraph" w:customStyle="1" w:styleId="Compact">
    <w:name w:val="Compact"/>
    <w:pPr>
      <w:spacing w:line="288" w:lineRule="auto" w:after="30"/>
      <w:ind w:firstLine="0"/>
    </w:pPr>
    <w:rPr>
      <w:rFonts w:ascii="Noto Serif CJK SC" w:hAnsi="Noto Serif CJK SC" w:eastAsia="Noto Serif CJK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宏观经济学课程详细复习文档</dc:title>
  <dc:subject>根据课件整理的分章节复习资料</dc:subject>
  <dc:creator>课程复习整理</dc:creator>
  <cp:keywords>宏观经济学, GDP, IS-LM, AD-AS, 财政政策, 货币政策, 经济增长</cp:keywords>
  <dc:description>generated by python-docx</dc:description>
  <cp:lastModifiedBy/>
  <cp:revision>1</cp:revision>
  <dcterms:created xsi:type="dcterms:W3CDTF">2013-12-23T23:15:00Z</dcterms:created>
  <dcterms:modified xsi:type="dcterms:W3CDTF">2013-12-23T23:15:00Z</dcterms:modified>
  <cp:category/>
</cp:coreProperties>
</file>