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8E9F5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I. Collaborative Foundations and Complementary Advantages  </w:t>
      </w:r>
    </w:p>
    <w:p w14:paraId="36C7685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As dual engines of global maritime trade, the Port of Shanghai and the Port of Los Angeles have established a strategic partnership through the Green Shipping Corridor (GSC), leveraging their distinct yet complementary capabilities to pioneer sustainable shipping practices. This collaboration aligns with global decarbonization goals while addressing regional operational demands.  </w:t>
      </w:r>
    </w:p>
    <w:p w14:paraId="72D8778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rPr>
      </w:pPr>
    </w:p>
    <w:p w14:paraId="0DB9B4D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1. Port of Shanghai: Operational Scale Meets Green Innovation  </w:t>
      </w:r>
    </w:p>
    <w:p w14:paraId="55A3C7A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    (1) Unparalleled Trade Capacity: Maintaining its global container throughput leadership since 2010, Shanghai handled 49.1 million TEUs in 2023, accounting for 11% of China's total maritime cargo. This scale provides a critical testing ground for green technologies. </w:t>
      </w:r>
    </w:p>
    <w:p w14:paraId="1FB09C8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lang w:val="en-US" w:eastAsia="zh-CN"/>
        </w:rPr>
      </w:pPr>
      <w:r>
        <w:rPr>
          <w:rFonts w:hint="default" w:ascii="Times New Roman" w:hAnsi="Times New Roman" w:cs="Times New Roman"/>
        </w:rPr>
        <w:t xml:space="preserve">    (2) Clean Energy Infrastructure Leadership: By 2024, Shanghai has operationalized Asia's first bonded green methanol bunkering system through partnerships with COSCO and Sinopec, enabling crossborder lowcarbon fuel transactions. Concurrently, its 85% shore power coverage rate – exceeding the global average of 35% for major ports – eliminates 450,000 tons of annual vessel emissions at berth.</w:t>
      </w:r>
    </w:p>
    <w:p w14:paraId="3C91568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rPr>
      </w:pPr>
    </w:p>
    <w:p w14:paraId="0BD0CB3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2. Port of Los Angeles: PolicyDriven Technological Transition  </w:t>
      </w:r>
    </w:p>
    <w:p w14:paraId="066F956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    (1) Decarbonization Infrastructure Investment: As North America's busiest container hub (processing 9.9 million TEUs in 2023), the port has allocated $1.2 billion since 2020 for shore power retrofits, achieving 60% coverage across 86 berths. Its 2024 incentive program offers $25,000 per vessel for hybrid/electric conversions, accelerating compliance with California's AtBerth Emission Regulations.</w:t>
      </w:r>
      <w:r>
        <w:rPr>
          <w:rFonts w:hint="eastAsia" w:ascii="Times New Roman" w:hAnsi="Times New Roman" w:cs="Times New Roman"/>
          <w:lang w:val="en-US" w:eastAsia="zh-CN"/>
        </w:rPr>
        <w:t>[5]</w:t>
      </w:r>
    </w:p>
    <w:p w14:paraId="399197D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    (2) Digital Ecosystem Integration: Through its Port Optimizer™ platform and blockchainenabled cargo systems, Los Angeles has reduced truck dwell times by 18% since 2022, complementing emission reduction efforts through operational efficiency.  </w:t>
      </w:r>
    </w:p>
    <w:p w14:paraId="48E67A9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rPr>
      </w:pPr>
    </w:p>
    <w:p w14:paraId="611DDA5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3. Strategic Synergies: CrossHemisphere Value Creation  </w:t>
      </w:r>
    </w:p>
    <w:p w14:paraId="60E9003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    (1) Technology CoDevelopment: Shanghai's green methanol pilot (targeting 10% bunkering share by 2030) synergizes with Los Angeles' AIpowered Smart Port Platform, enabling datadriven fuel optimization across the Pacific route. Joint R&amp;D initiatives focus on methanol dualfuel engine standardization and carbon capture retrofitting.  </w:t>
      </w:r>
    </w:p>
    <w:p w14:paraId="3AF17B4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    (2) Policy Framework Integration: The collaboration bridges China's national carbon market (covering 2.2 billion tons CO2 annually) with California's CapandTrade Program, creating a unified carbon accounting methodology for transpacific voyages. This alignment supports the International Maritime Organization's enhanced 2023 GHG strategy targeting 30% emission cuts by 2030.  </w:t>
      </w:r>
    </w:p>
    <w:p w14:paraId="33D9E25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    (3) Financial Innovation: Crossborder green financing mechanisms are being trialed, including Shanghai's carbonneutral bond market (issuing $12.8 billion in 2023) funding Los Angeles' clean truck initiatives, supported by the U.S.China Climate Working Group's maritime task force.  </w:t>
      </w:r>
    </w:p>
    <w:p w14:paraId="634B273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 xml:space="preserve">II. Core Advances and Innovative Practices  </w:t>
      </w:r>
    </w:p>
    <w:p w14:paraId="1874F0F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1. Green Methanol Pilot: Pioneering a New Era of ZeroCarbon Fuels  </w:t>
      </w:r>
    </w:p>
    <w:p w14:paraId="760E13A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(1) CrossBorder Green Methanol Bunkering Breakthrough: Green methanol is an important way to achieve carbon neutrality</w:t>
      </w:r>
      <w:r>
        <w:rPr>
          <w:rFonts w:hint="eastAsia" w:ascii="Times New Roman" w:hAnsi="Times New Roman" w:cs="Times New Roman"/>
          <w:lang w:val="en-US" w:eastAsia="zh-CN"/>
        </w:rPr>
        <w:t>.[2]</w:t>
      </w:r>
      <w:r>
        <w:rPr>
          <w:rFonts w:hint="default" w:ascii="Times New Roman" w:hAnsi="Times New Roman" w:cs="Times New Roman"/>
          <w:lang w:val="en-US" w:eastAsia="zh-CN"/>
        </w:rPr>
        <w:t xml:space="preserve">In June 2024, Shanghai Port, in collaboration with Maersk and SIPG Energy, completed China’s first bonded green methanol "shiptoship" bunkering operation at Waigaoqiao Phase V Terminal, supplying 4,500 tons of fuel to a 24,000TEU methanolpowered container vessel. Leveraging the "frontline liberalization" policy of the Free Trade Zone, this model eliminated tariffs across the entire fuel procurement, storage, and bunkering chain, reducing green methanol costs by 12%.  </w:t>
      </w:r>
    </w:p>
    <w:p w14:paraId="18F162C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(2) FullCycle Certification System: The DNVcertified "ShipPort Collaborative Carbon Tracking System" enables endtoend carbon data verification—from biomass methanol production in Ningxia to ship exhaust monitoring—achieving an 83% reduction in lifecycle carbon emissions per bunkering operation.  </w:t>
      </w:r>
    </w:p>
    <w:p w14:paraId="7D47648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lang w:val="en-US" w:eastAsia="zh-CN"/>
        </w:rPr>
      </w:pPr>
    </w:p>
    <w:p w14:paraId="40CCBC0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2. Shore Power and Smart Terminals: DigitalDriven Emission Reductions  </w:t>
      </w:r>
    </w:p>
    <w:p w14:paraId="3B6F1A6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(1) Shanghai Port’s Shore Power Upgrade:</w:t>
      </w:r>
      <w:r>
        <w:rPr>
          <w:rFonts w:hint="default" w:ascii="Georgia" w:hAnsi="Georgia" w:eastAsia="Georgia" w:cs="Georgia"/>
          <w:i w:val="0"/>
          <w:iCs w:val="0"/>
          <w:caps w:val="0"/>
          <w:color w:val="1F1F1F"/>
          <w:spacing w:val="0"/>
          <w:sz w:val="19"/>
          <w:szCs w:val="19"/>
        </w:rPr>
        <w:t>Shore power not only reduces ship emissions and noise in berthing but also has shown practical implications for maritime competitiveness</w:t>
      </w:r>
      <w:r>
        <w:rPr>
          <w:rFonts w:hint="eastAsia" w:ascii="Georgia" w:hAnsi="Georgia" w:eastAsia="宋体" w:cs="Georgia"/>
          <w:i w:val="0"/>
          <w:iCs w:val="0"/>
          <w:caps w:val="0"/>
          <w:color w:val="1F1F1F"/>
          <w:spacing w:val="0"/>
          <w:sz w:val="19"/>
          <w:szCs w:val="19"/>
          <w:lang w:val="en-US" w:eastAsia="zh-CN"/>
        </w:rPr>
        <w:t>.</w:t>
      </w: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3</w:t>
      </w:r>
      <w:r>
        <w:rPr>
          <w:rFonts w:hint="default" w:ascii="Times New Roman" w:hAnsi="Times New Roman" w:cs="Times New Roman"/>
          <w:lang w:val="en-US" w:eastAsia="zh-CN"/>
        </w:rPr>
        <w:t xml:space="preserve">]A ¥320 million investment from 2022–2024 transformed Yangshan Phase IV Automated Terminal with smart shore power clusters and a Ship Energy Management System (SEMS). AI algorithms dynamically match vessel schedules with grid load, reducing ship electrification time to 25 minutes and cutting annual CO₂ emissions by 9,607 tons—equivalent to the carbon sequestration capacity of 530,000 fir trees.  </w:t>
      </w:r>
    </w:p>
    <w:p w14:paraId="2581F60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(2) Los Angeles Port’s Smart Emission Matrix: Smart ports refer to a new type of port that adopts the framework of cyber-physical systems and leverages innovative applications of advanced technologies to integrate logistics suppliers and demanders into a unified transportation and distribution system. They significantly enhance the port and its related logistics parks' capabilities in comprehensive information processing and optimal resource allocation. Key features include intelligent supervision, intelligent services, and automated loading and unloading, providing modern logistics with high safety, efficiency, and quality services. [</w:t>
      </w:r>
      <w:r>
        <w:rPr>
          <w:rFonts w:hint="eastAsia" w:ascii="Times New Roman" w:hAnsi="Times New Roman" w:cs="Times New Roman"/>
          <w:lang w:val="en-US" w:eastAsia="zh-CN"/>
        </w:rPr>
        <w:t>4</w:t>
      </w:r>
      <w:r>
        <w:rPr>
          <w:rFonts w:hint="default" w:ascii="Times New Roman" w:hAnsi="Times New Roman" w:cs="Times New Roman"/>
          <w:lang w:val="en-US" w:eastAsia="zh-CN"/>
        </w:rPr>
        <w:t>] Utilizing GE Predixpowered smart shore power systems linked to real</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time California grid carbon intensity data, the port prioritizes power supply when renewable energy exceeds 40% of the grid mix. This reduced berthing carbon intensity from 18.2 kg/TEU (2019) to 5.8 kg/TEU (2024), a 68% decrease. </w:t>
      </w:r>
    </w:p>
    <w:p w14:paraId="0796B55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lang w:val="en-US" w:eastAsia="zh-CN"/>
        </w:rPr>
      </w:pPr>
    </w:p>
    <w:p w14:paraId="3F09948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3. Collaboration Mechanisms: Building CrossSector Innovation Ecosystems  </w:t>
      </w:r>
    </w:p>
    <w:p w14:paraId="30C494B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(1) Tripartite Working Group Institutionalization: A joint office comprising COSCO Shipping, AP Moller Terminals, and the South Coast Air Quality Management District established a quarterly "ObjectiveProgressBarrier" evaluation framework. In H1 2024, it facilitated mutual recognition of 15 technical standards, including methanol fuel safety protocols and ISOcompliant shore power interfaces.  </w:t>
      </w:r>
    </w:p>
    <w:p w14:paraId="4E7B037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(2) Data Interoperability Between Port Systems: Shanghai’s "Hailian Zhicang" system and Los Angeles’ CTOS terminal operating system achieved APIlevel data sharing, covering energy efficiency data for 85% of global container ships. Blockchainarchived 6.47 million voyage logs provide auditable evidence for crossborder carbon credit trading.  </w:t>
      </w:r>
    </w:p>
    <w:p w14:paraId="55A4F80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lang w:val="en-US" w:eastAsia="zh-CN"/>
        </w:rPr>
      </w:pPr>
    </w:p>
    <w:p w14:paraId="7622E7E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 xml:space="preserve">III. Key Challenges and Risks  </w:t>
      </w:r>
    </w:p>
    <w:p w14:paraId="4B5E1F7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1. TechnoEconomic Barriers: Critical Thresholds for Scaling  </w:t>
      </w:r>
    </w:p>
    <w:p w14:paraId="068E4E5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(1) Green Fuel Cost Challenges: Current green methanol prices (~$1,200/ton) are 3.2× higher than conventional marine fuels. Even with EU CBAM mechanisms, route operating costs increase by 18%. LNGpowered ships exhibit methane slip rates of 2.1% (exceeding IMO’s 1.5% threshold)</w:t>
      </w:r>
      <w:r>
        <w:rPr>
          <w:rFonts w:hint="eastAsia" w:ascii="Times New Roman" w:hAnsi="Times New Roman" w:cs="Times New Roman"/>
          <w:lang w:val="en-US" w:eastAsia="zh-CN"/>
        </w:rPr>
        <w:t>[6]</w:t>
      </w:r>
      <w:r>
        <w:rPr>
          <w:rFonts w:hint="default" w:ascii="Times New Roman" w:hAnsi="Times New Roman" w:cs="Times New Roman"/>
          <w:lang w:val="en-US" w:eastAsia="zh-CN"/>
        </w:rPr>
        <w:t xml:space="preserve">, negating their carbon advantages. </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7</w:t>
      </w:r>
      <w:r>
        <w:rPr>
          <w:rFonts w:hint="default" w:ascii="Times New Roman" w:hAnsi="Times New Roman" w:eastAsia="宋体" w:cs="Times New Roman"/>
          <w:lang w:val="en-US" w:eastAsia="zh-CN"/>
        </w:rPr>
        <w:t>]</w:t>
      </w:r>
      <w:bookmarkStart w:id="0" w:name="_GoBack"/>
      <w:bookmarkEnd w:id="0"/>
      <w:r>
        <w:rPr>
          <w:rFonts w:hint="default" w:ascii="Times New Roman" w:hAnsi="Times New Roman" w:cs="Times New Roman"/>
          <w:lang w:val="en-US" w:eastAsia="zh-CN"/>
        </w:rPr>
        <w:t xml:space="preserve"> </w:t>
      </w:r>
    </w:p>
    <w:p w14:paraId="117F72F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(2) Infrastructure Compatibility Gaps: Only 23 ports (e.g., Rotterdam, Singapore) globally offer alternative fuel bunkering, covering &lt;40% of major EastWest routes. 76% of existing shore power facilities use outdated fixedfrequency systems, incompatible with modern vessels’ variablefrequency demands.  </w:t>
      </w:r>
    </w:p>
    <w:p w14:paraId="3D35887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lang w:val="en-US" w:eastAsia="zh-CN"/>
        </w:rPr>
      </w:pPr>
    </w:p>
    <w:p w14:paraId="6033648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2. Funding and Policy Coordination: Building Sustainable Frameworks  </w:t>
      </w:r>
    </w:p>
    <w:p w14:paraId="4593F63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(1) Financing Model Innovation Needs: Deloitte estimates annual global port decarbonization requires $32 billion, but 2023 financing reached just $8.9 billion. Developingcountry ports face 4–6% higher climate financing costs—projects like Indonesia’s Tanjung Priok upgrade stalled due to prohibitive interest rates.[1]  </w:t>
      </w:r>
    </w:p>
    <w:p w14:paraId="5727610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(2) Fragmented Policy Tools: Among 21 national port carbon regulations, only EU ETS and California’s AB32 specify shipping compliance timelines. Asian carbon trading pilots lack unified MRV (MonitoringReportingVerification) standards, with port carbon prices varying by $18–32/ton across China, Japan, and South Korea.  </w:t>
      </w:r>
    </w:p>
    <w:p w14:paraId="760FADB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 xml:space="preserve">    (3) Geopolitical Disruption Risks: The U.S. Inflation Reduction Act’s "domestic content" requirements impose 35% tariffs on ChinaU.S. codeveloped methanol fuel cell modules, potentially delaying commercialization by 2–3 years.  </w:t>
      </w:r>
    </w:p>
    <w:p w14:paraId="54075EE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lang w:val="en-US" w:eastAsia="zh-CN"/>
        </w:rPr>
      </w:pPr>
    </w:p>
    <w:p w14:paraId="0618341B">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Ahmed M. Ismail,Fabio Ballini,Aykut I. Ölçer,Anas S. Alamoush.Integrating ports into green shipping corridors: Drivers, challenges, and pathways to implementation[J].Marine Pollution Bulletin,2024,209(PB):117201-117201.</w:t>
      </w:r>
    </w:p>
    <w:p w14:paraId="6D3FB3D3">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Junguo Li,Changning Wu,Daofan Cao,Shunxuan Hu,Li Weng,Ke Liu.Green Methanol—An Important Pathway to Realize Carbon Neutrality[J].Engineering,2023,2927-31.</w:t>
      </w:r>
    </w:p>
    <w:p w14:paraId="15131D0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Jinggai Wang,Huanhuan Li,Zaili Yang,Ying En Ge.Shore power for reduction of shipping emission in port: A bibliometric analysis[J].Transportation Research Part E,2024,188103639-103639.</w:t>
      </w:r>
    </w:p>
    <w:p w14:paraId="41BA7D69">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w:t>
      </w:r>
      <w:r>
        <w:rPr>
          <w:rFonts w:hint="eastAsia" w:ascii="Times New Roman" w:hAnsi="Times New Roman" w:cs="Times New Roman"/>
          <w:lang w:val="en-US" w:eastAsia="zh-CN"/>
        </w:rPr>
        <w:t>4</w:t>
      </w:r>
      <w:r>
        <w:rPr>
          <w:rFonts w:hint="default" w:ascii="Times New Roman" w:hAnsi="Times New Roman" w:cs="Times New Roman"/>
          <w:lang w:val="en-US" w:eastAsia="zh-CN"/>
        </w:rPr>
        <w:t>] Triska Yuri,Frazzon Enzo Morosini,Silva Vanina Macowski Durski,Heilig Leonard.Smart port terminals: conceptual framework, maturity modeling and research agenda[J].Maritime Policy &amp;amp; Management,2024,51(2):259-282.</w:t>
      </w:r>
    </w:p>
    <w:p w14:paraId="6A4E59E5">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5</w:t>
      </w:r>
      <w:r>
        <w:rPr>
          <w:rFonts w:hint="default" w:ascii="Times New Roman" w:hAnsi="Times New Roman" w:eastAsia="宋体" w:cs="Times New Roman"/>
          <w:lang w:val="en-US" w:eastAsia="zh-CN"/>
        </w:rPr>
        <w:t>]Jules Wilson,Rupp Carriveau,William Hurley,Reza Babaei,David S K Ting.Electrifying Maritime Shipping: Evaluating the CO2 Reduction and Viability of Future Battery-Powered Container Ships Calling at the Port of Los Angeles[J].Journal of Physics: Conference Series,2024,2929(1):012007-012007.</w:t>
      </w:r>
    </w:p>
    <w:p w14:paraId="404EC47E">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6</w:t>
      </w:r>
      <w:r>
        <w:rPr>
          <w:rFonts w:hint="default" w:ascii="Times New Roman" w:hAnsi="Times New Roman" w:eastAsia="宋体" w:cs="Times New Roman"/>
          <w:lang w:val="en-US" w:eastAsia="zh-CN"/>
        </w:rPr>
        <w:t>]Ampah Jeffrey Dankwa,Yusuf Abdulfatah Abdu,Afrane Sandylove,Jin Chao,Liu Haifeng.Reviewing two decades of cleaner alternative marine fuels: Towards IMO's decarbonization of the maritime transport sector[J].Journal of Cleaner Production,2021,320</w:t>
      </w:r>
    </w:p>
    <w:p w14:paraId="23A10B17">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7</w:t>
      </w:r>
      <w:r>
        <w:rPr>
          <w:rFonts w:hint="default" w:ascii="Times New Roman" w:hAnsi="Times New Roman" w:eastAsia="宋体" w:cs="Times New Roman"/>
          <w:lang w:val="en-US" w:eastAsia="zh-CN"/>
        </w:rPr>
        <w:t>] Atilhan Selma,Park Sunhwa,El-Halwagi Mahmoud M,Atilhan Mert,Moore Margaux,Nielsen Rasmus B.Green hydrogen as an alternative fuel for the shipping industry[J].Current Opinion in Chemical Engineering,2021,31</w:t>
      </w:r>
    </w:p>
    <w:p w14:paraId="023C3E1B">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p>
    <w:p w14:paraId="5B130367">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ascii="宋体" w:hAnsi="宋体" w:eastAsia="宋体" w:cs="宋体"/>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Georgia">
    <w:panose1 w:val="02040502050405020303"/>
    <w:charset w:val="00"/>
    <w:family w:val="auto"/>
    <w:pitch w:val="default"/>
    <w:sig w:usb0="00000287" w:usb1="00000000" w:usb2="00000000" w:usb3="00000000" w:csb0="2000009F"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FD093C"/>
    <w:multiLevelType w:val="singleLevel"/>
    <w:tmpl w:val="FCFD093C"/>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IyODdmZjY0Zjg0ZWQ3ZmVhZDA3NDFkNTYwZGEwNjYifQ=="/>
  </w:docVars>
  <w:rsids>
    <w:rsidRoot w:val="00000000"/>
    <w:rsid w:val="756A6ADB"/>
    <w:rsid w:val="79E50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297</Words>
  <Characters>1930</Characters>
  <Lines>0</Lines>
  <Paragraphs>0</Paragraphs>
  <TotalTime>0</TotalTime>
  <ScaleCrop>false</ScaleCrop>
  <LinksUpToDate>false</LinksUpToDate>
  <CharactersWithSpaces>2278</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2025-04-14T06:29:00Z</dcterms:created>
  <dc:creator>云誓</dc:creator>
  <cp:lastModifiedBy>柯泓宇</cp:lastModifiedBy>
  <dcterms:modified xsi:type="dcterms:W3CDTF">2025-04-15T15:34:23Z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F4FFBBE761F448509C63B1282B85B80D_12</vt:lpwstr>
  </property>
</Properties>
</file>