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BB751">
      <w:pPr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Q1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.</w:t>
      </w:r>
    </w:p>
    <w:tbl>
      <w:tblPr>
        <w:tblW w:w="0" w:type="auto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0"/>
        <w:gridCol w:w="3315"/>
        <w:gridCol w:w="3391"/>
      </w:tblGrid>
      <w:tr w14:paraId="31C2430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B4FBB3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420BF0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Species Extinction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0CF8DE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Functional Extinction</w:t>
            </w:r>
          </w:p>
        </w:tc>
      </w:tr>
      <w:tr w14:paraId="54EFC28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FC737B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Population Status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46F0A5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 individuals remain alive.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096628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Some individuals may still exist.</w:t>
            </w:r>
          </w:p>
        </w:tc>
      </w:tr>
      <w:tr w14:paraId="515AEF8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5914F6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Ecological Role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94FB93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species no longer exists; no ecological role.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A75884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species has minimal or no ecological impact.</w:t>
            </w:r>
          </w:p>
        </w:tc>
      </w:tr>
      <w:tr w14:paraId="679E3F7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E821A6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Reversibility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FCDBA7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Generally irreversible.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E1B69E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Potentially reversible if population recovers.</w:t>
            </w:r>
          </w:p>
        </w:tc>
      </w:tr>
      <w:tr w14:paraId="573CB0C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65B4D3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Timeframe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E0F3AC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Final stage after functional extinction.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4BC9FD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Can occur before full extinction.</w:t>
            </w:r>
          </w:p>
        </w:tc>
      </w:tr>
    </w:tbl>
    <w:p w14:paraId="1C09B6E5">
      <w:pPr>
        <w:rPr>
          <w:rFonts w:hint="default" w:ascii="Times New Roman" w:hAnsi="Times New Roman" w:cs="Times New Roman"/>
          <w:lang w:val="en-US" w:eastAsia="zh-CN"/>
        </w:rPr>
      </w:pPr>
    </w:p>
    <w:p w14:paraId="01C83F1B">
      <w:pPr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Q2.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7"/>
        <w:gridCol w:w="1755"/>
        <w:gridCol w:w="1924"/>
        <w:gridCol w:w="1940"/>
      </w:tblGrid>
      <w:tr w14:paraId="2D08153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67FC62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物种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D294B7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现状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3B2475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生态角色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BA983B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保护状况</w:t>
            </w:r>
          </w:p>
        </w:tc>
      </w:tr>
      <w:tr w14:paraId="0C54243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16F5B8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中华鲟 (</w:t>
            </w:r>
            <w:r>
              <w:rPr>
                <w:rFonts w:hint="eastAsia" w:ascii="宋体" w:hAnsi="宋体" w:eastAsia="宋体" w:cs="宋体"/>
                <w:b/>
                <w:bCs/>
                <w:i/>
                <w:iCs/>
              </w:rPr>
              <w:t>Acipenser sinensis</w:t>
            </w:r>
            <w:r>
              <w:rPr>
                <w:rFonts w:hint="eastAsia" w:ascii="宋体" w:hAnsi="宋体" w:eastAsia="宋体" w:cs="宋体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4E2CEB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种群数量极少，几乎无法自然繁殖。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4D9788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顶级捕食者，维持水生生态系统的平衡。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8B178E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野生个体数量极少，处于功能灭绝状态。</w:t>
            </w:r>
          </w:p>
        </w:tc>
      </w:tr>
      <w:tr w14:paraId="7DAB771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F4EB18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江豚 (</w:t>
            </w:r>
            <w:r>
              <w:rPr>
                <w:rFonts w:hint="eastAsia" w:ascii="宋体" w:hAnsi="宋体" w:eastAsia="宋体" w:cs="宋体"/>
                <w:b/>
                <w:bCs/>
                <w:i/>
                <w:iCs/>
              </w:rPr>
              <w:t>Neophocaena asiaeorientalis</w:t>
            </w:r>
            <w:r>
              <w:rPr>
                <w:rFonts w:hint="eastAsia" w:ascii="宋体" w:hAnsi="宋体" w:eastAsia="宋体" w:cs="宋体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C1E597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数量极低，难以恢复生态功能。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CF8F43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顶级捕食者，维持水生生物多样性。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39A90E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种群数量极低，处于功能灭绝状态。</w:t>
            </w:r>
          </w:p>
        </w:tc>
      </w:tr>
    </w:tbl>
    <w:p w14:paraId="7394D517">
      <w:pPr>
        <w:rPr>
          <w:rFonts w:hint="default" w:ascii="Times New Roman" w:hAnsi="Times New Roman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yODdmZjY0Zjg0ZWQ3ZmVhZDA3NDFkNTYwZGEwNjYifQ=="/>
  </w:docVars>
  <w:rsids>
    <w:rsidRoot w:val="00000000"/>
    <w:rsid w:val="3863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2024-12-23T01:55:32Z</dcterms:created>
  <dc:creator>云誓</dc:creator>
  <cp:lastModifiedBy>柯泓宇</cp:lastModifiedBy>
  <dcterms:modified xsi:type="dcterms:W3CDTF">2024-12-23T02:05:50Z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5587C55C58C54F729C7A385BD4F8AA48_12</vt:lpwstr>
  </property>
</Properties>
</file>