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80D4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一．</w:t>
      </w:r>
      <w:r>
        <w:rPr>
          <w:rFonts w:hint="default" w:ascii="Times New Roman" w:hAnsi="Times New Roman" w:cs="Times New Roman"/>
          <w:b/>
          <w:bCs/>
        </w:rPr>
        <w:t>墨西哥湾北部夏季底层水体缺氧和酸化现象几乎每年都发生。如果你是墨西哥湾夏季调查航次的首席科学家，请根据以下要求规划你的航次路线：</w:t>
      </w:r>
    </w:p>
    <w:p w14:paraId="5D25D642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1.  航次站位和往年调查类似（见下左图），但在东部区域增加了一些站位（见下右图），根据历史调查数据，你已经获得了站位的相关信息（见“Stations"）</w:t>
      </w:r>
    </w:p>
    <w:p w14:paraId="5D03C5FD">
      <w:p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 你的航次将从7月15日00:00开始从LUMCON码头出发，无论你工作完成进度如何，你必须在7月30日24:00前回到LUMCON码头，以免影响下个航次的科学家用船。</w:t>
      </w:r>
    </w:p>
    <w:p w14:paraId="24897C2B">
      <w:p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3. 调查船的航行速度为8.5节。</w:t>
      </w:r>
    </w:p>
    <w:p w14:paraId="713E96BA">
      <w:p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4. 除特别说明外，所有站位均进行常规CTD调查和水样采集。</w:t>
      </w:r>
    </w:p>
    <w:p w14:paraId="6EEB9EDD">
      <w:p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5. 在200m深度以浅，CTD采水器的投放和回收速度为20m/min；在200m深度以下，其速度为50m/min。CTD上甲板后，样品的采集所需时间为0.5小时。</w:t>
      </w:r>
    </w:p>
    <w:p w14:paraId="19D66B93">
      <w:p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6</w:t>
      </w:r>
      <w:r>
        <w:rPr>
          <w:rFonts w:hint="default" w:ascii="Times New Roman" w:hAnsi="Times New Roman" w:eastAsia="楷体" w:cs="Times New Roman"/>
        </w:rPr>
        <w:t>.  在站位C6R需要进行24小时定点连续观测。</w:t>
      </w:r>
    </w:p>
    <w:p w14:paraId="4610CE5C">
      <w:p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7</w:t>
      </w:r>
      <w:r>
        <w:rPr>
          <w:rFonts w:hint="default" w:ascii="Times New Roman" w:hAnsi="Times New Roman" w:eastAsia="楷体" w:cs="Times New Roman"/>
        </w:rPr>
        <w:t>. 有沉积物研究的科学家加入你的航次，他需要在D5，E6两个站位进行沉积物耗氧速率培养实验。要求：在到达这两个站位时布放原位仪器，并在仪器布放后的2448小时内回到原站点回收仪器，仪器布放和回收时间皆为3小时。</w:t>
      </w:r>
    </w:p>
    <w:p w14:paraId="261C67AA">
      <w:pPr>
        <w:ind w:firstLine="420" w:firstLineChars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8</w:t>
      </w:r>
      <w:r>
        <w:rPr>
          <w:rFonts w:hint="default" w:ascii="Times New Roman" w:hAnsi="Times New Roman" w:eastAsia="楷体" w:cs="Times New Roman"/>
        </w:rPr>
        <w:t>. 采集样品的参数有：溶解无机碳（包含一小部分气体组分），总有机碳（无气体组分，易被污染），溶解氧，pH，叶绿素，溶解无机氮/磷；请你协调安排各参数的采样顺序</w:t>
      </w:r>
    </w:p>
    <w:p w14:paraId="33ADDC3A">
      <w:pPr>
        <w:ind w:firstLine="42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采样顺序</w:t>
      </w:r>
    </w:p>
    <w:p w14:paraId="41805F86">
      <w:pPr>
        <w:ind w:firstLine="420" w:firstLineChars="0"/>
      </w:pPr>
      <w:r>
        <w:drawing>
          <wp:inline distT="0" distB="0" distL="114300" distR="114300">
            <wp:extent cx="5271770" cy="3541395"/>
            <wp:effectExtent l="0" t="0" r="1270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2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如图示顺序完成断面测量，其中浅蓝标记点为D5E6仪器放置点，深蓝色为C6R的24h连续定点观测，为保证科研人员的休息，可以采用轮班制。</w:t>
      </w:r>
    </w:p>
    <w:p w14:paraId="338EB13C">
      <w:pPr>
        <w:rPr>
          <w:rFonts w:hint="eastAsia"/>
          <w:lang w:val="en-US" w:eastAsia="zh-CN"/>
        </w:rPr>
      </w:pPr>
    </w:p>
    <w:p w14:paraId="32D7CBD2">
      <w:pPr>
        <w:rPr>
          <w:rFonts w:hint="eastAsia"/>
          <w:lang w:val="en-US" w:eastAsia="zh-CN"/>
        </w:rPr>
      </w:pPr>
    </w:p>
    <w:p w14:paraId="530DD376">
      <w:pPr>
        <w:rPr>
          <w:rFonts w:hint="eastAsia"/>
          <w:lang w:val="en-US" w:eastAsia="zh-CN"/>
        </w:rPr>
      </w:pPr>
    </w:p>
    <w:p w14:paraId="5AC4E06A">
      <w:pPr>
        <w:rPr>
          <w:rFonts w:hint="eastAsia"/>
          <w:lang w:val="en-US" w:eastAsia="zh-CN"/>
        </w:rPr>
      </w:pPr>
    </w:p>
    <w:p w14:paraId="6B3C127B">
      <w:pPr>
        <w:rPr>
          <w:rFonts w:hint="eastAsia"/>
          <w:lang w:val="en-US" w:eastAsia="zh-CN"/>
        </w:rPr>
      </w:pPr>
    </w:p>
    <w:p w14:paraId="304CC308">
      <w:pPr>
        <w:rPr>
          <w:rFonts w:hint="eastAsia"/>
          <w:lang w:val="en-US" w:eastAsia="zh-CN"/>
        </w:rPr>
      </w:pPr>
    </w:p>
    <w:p w14:paraId="4921010F">
      <w:pPr>
        <w:rPr>
          <w:rFonts w:hint="eastAsia"/>
          <w:lang w:val="en-US" w:eastAsia="zh-CN"/>
        </w:rPr>
      </w:pPr>
      <w:bookmarkStart w:id="0" w:name="_GoBack"/>
      <w:bookmarkEnd w:id="0"/>
    </w:p>
    <w:p w14:paraId="1127211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提交一张水样采集的顺序表，同时根据海洋监测规范（国标）在表中列出各参数的测定方法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373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2D3F3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顺序</w:t>
            </w:r>
          </w:p>
        </w:tc>
        <w:tc>
          <w:tcPr>
            <w:tcW w:w="426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3540E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测定方法</w:t>
            </w:r>
          </w:p>
        </w:tc>
      </w:tr>
      <w:tr w14:paraId="6864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07299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</w:t>
            </w:r>
          </w:p>
        </w:tc>
        <w:tc>
          <w:tcPr>
            <w:tcW w:w="4261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295D2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pH计</w:t>
            </w:r>
          </w:p>
        </w:tc>
      </w:tr>
      <w:tr w14:paraId="55B7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3D41F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2005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碘量法</w:t>
            </w:r>
          </w:p>
        </w:tc>
      </w:tr>
      <w:tr w14:paraId="029A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6BD3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E1FB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库伦法，红外检测法</w:t>
            </w:r>
          </w:p>
        </w:tc>
      </w:tr>
      <w:tr w14:paraId="22512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FF72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TOC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E891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总有机碳仪器、过硫酸钾氧化</w:t>
            </w:r>
          </w:p>
        </w:tc>
      </w:tr>
      <w:tr w14:paraId="301F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50C78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叶绿素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7FBFC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分光光度法</w:t>
            </w:r>
          </w:p>
        </w:tc>
      </w:tr>
      <w:tr w14:paraId="6417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7808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溶解无机NP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8801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萘乙二胺分光光度法</w:t>
            </w:r>
          </w:p>
        </w:tc>
      </w:tr>
    </w:tbl>
    <w:p w14:paraId="44738649">
      <w:pPr>
        <w:rPr>
          <w:rFonts w:hint="default"/>
          <w:b/>
          <w:bCs/>
          <w:lang w:val="en-US" w:eastAsia="zh-CN"/>
        </w:rPr>
      </w:pPr>
    </w:p>
    <w:p w14:paraId="44378D74">
      <w:pPr>
        <w:ind w:firstLine="420" w:firstLineChars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Congratulations! 经过辛苦的海上工作，你的航次取得了圆满的成功，获得了宝贵的数据（见“data" sheet)，请对数据用ODV进行绘图和分析。结合航次设计和结果分析撰写一个航次报告。</w:t>
      </w:r>
    </w:p>
    <w:p w14:paraId="73CB7DD5">
      <w:pPr>
        <w:ind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要求：1. 绘制实际的采样站位图，在图上标注断面名称，并标记重复观测站位D5，标注Mississippi River和Atchafalaya River</w:t>
      </w:r>
    </w:p>
    <w:p w14:paraId="3773E5C9">
      <w:pPr>
        <w:ind w:firstLine="420" w:firstLine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drawing>
          <wp:inline distT="0" distB="0" distL="114300" distR="114300">
            <wp:extent cx="5273675" cy="3890645"/>
            <wp:effectExtent l="0" t="0" r="14605" b="10795"/>
            <wp:docPr id="1" name="图片 1" descr="325028e421bf4e71f027356845f45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25028e421bf4e71f027356845f45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6BC3">
      <w:pPr>
        <w:ind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海洋环境参数垂直分布特征及成因分析：</w:t>
      </w:r>
    </w:p>
    <w:p w14:paraId="0574185B">
      <w:pPr>
        <w:ind w:firstLine="420" w:firstLineChars="0"/>
        <w:rPr>
          <w:rFonts w:hint="default" w:ascii="Times New Roman" w:hAnsi="Times New Roman" w:cs="Times New Roman"/>
          <w:b/>
          <w:bCs/>
        </w:rPr>
      </w:pPr>
    </w:p>
    <w:p w14:paraId="590268FA">
      <w:pPr>
        <w:ind w:firstLine="420" w:firstLineChars="0"/>
        <w:rPr>
          <w:rFonts w:hint="default" w:ascii="Times New Roman" w:hAnsi="Times New Roman" w:cs="Times New Roman"/>
          <w:b/>
          <w:bCs/>
        </w:rPr>
      </w:pPr>
    </w:p>
    <w:p w14:paraId="0393157D">
      <w:pPr>
        <w:ind w:firstLine="420" w:firstLineChars="0"/>
        <w:rPr>
          <w:rFonts w:hint="default" w:ascii="Times New Roman" w:hAnsi="Times New Roman" w:cs="Times New Roman"/>
          <w:b/>
          <w:bCs/>
        </w:rPr>
      </w:pPr>
    </w:p>
    <w:p w14:paraId="2F432960">
      <w:pPr>
        <w:numPr>
          <w:ilvl w:val="0"/>
          <w:numId w:val="1"/>
        </w:numPr>
        <w:ind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在站位D5处进行了4次剖面观测，请在同一张图中绘制4次观测获得的温度，盐度，溶解氧，叶绿素，浊度随深度变化的垂直分布图，并进行简单的描述和分析。</w:t>
      </w:r>
    </w:p>
    <w:p w14:paraId="256DF139">
      <w:pPr>
        <w:numPr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=</w:t>
      </w: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7960" cy="3297555"/>
            <wp:effectExtent l="0" t="0" r="5080" b="9525"/>
            <wp:docPr id="2" name="图片 2" descr="db43ea72a3d97709685577e10939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b43ea72a3d97709685577e10939f7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50DA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 温度垂直分布特征</w:t>
      </w:r>
    </w:p>
    <w:p w14:paraId="7035BF3B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四次剖面观测显示温度随深度增加呈递减趋势，且在26m以深降温速率显著增大。这种分布模式主要受以下因素影响：</w:t>
      </w:r>
    </w:p>
    <w:p w14:paraId="162CDA9D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（1）光照衰减效应：太阳辐射强度随深度呈指数衰减，导致表层吸热显著；</w:t>
      </w:r>
    </w:p>
    <w:p w14:paraId="4B3D75F8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（2）混合层作用：26m以浅存在显著的海水混合层，强烈的湍流混合使热量垂直分布均匀化；</w:t>
      </w:r>
    </w:p>
    <w:p w14:paraId="5AD733B5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（3）温跃层现象：26m以深水动力减弱形成温跃层，温度梯度显著增大。</w:t>
      </w:r>
    </w:p>
    <w:p w14:paraId="54AD115A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</w:p>
    <w:p w14:paraId="35C11FAA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 盐度垂直分布特征</w:t>
      </w:r>
    </w:p>
    <w:p w14:paraId="0A2F2E2B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盐度剖面呈现随深度递增的趋势，但在525m区间保持相对稳定。这种分布可能源于：</w:t>
      </w:r>
    </w:p>
    <w:p w14:paraId="4156945E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（1）营养盐沉降效应：颗粒物携带的营养盐在重力作用下不断向深层迁移；</w:t>
      </w:r>
    </w:p>
    <w:p w14:paraId="4EE2EEFE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（2）混合层影响：表层强混合作用使盐度在525m区间趋于均一化；</w:t>
      </w:r>
    </w:p>
    <w:p w14:paraId="3A790FE0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（3）水体分层：混合层下界（约25m）以下盐度分层现象开始显现。</w:t>
      </w:r>
    </w:p>
    <w:p w14:paraId="35BC85FC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</w:p>
    <w:p w14:paraId="28D41A75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 溶解氧分布特征</w:t>
      </w:r>
    </w:p>
    <w:p w14:paraId="66D6D538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溶解氧在26m以浅维持高值稳定分布，26m以深则急剧降低。该现象反映：</w:t>
      </w:r>
    </w:p>
    <w:p w14:paraId="30046C67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（1）表层光合产氧与大气交换共同维持高氧环境；</w:t>
      </w:r>
    </w:p>
    <w:p w14:paraId="28013851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（2）临界深度（26m）以下光合作用停止而呼吸作用持续耗氧；</w:t>
      </w:r>
    </w:p>
    <w:p w14:paraId="3914FEFD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（3）温跃层阻碍了氧气的垂直输送。</w:t>
      </w:r>
    </w:p>
    <w:p w14:paraId="543EEE47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</w:p>
    <w:p w14:paraId="07DC2E0E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 叶绿素与浊度协同分布特征</w:t>
      </w:r>
    </w:p>
    <w:p w14:paraId="29328A8B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30m以浅叶绿素浓度和浊度均维持低值稳定，30m以深则同步骤增，表明：</w:t>
      </w:r>
    </w:p>
    <w:p w14:paraId="621CB196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（1）沉降聚集效应：浮游植物细胞和悬浮颗粒在重力作用下向深层迁移；</w:t>
      </w:r>
    </w:p>
    <w:p w14:paraId="62E0DE32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（2）动力分选作用：上层强湍流阻碍颗粒物滞留，30m以深流速降低形成沉积区；</w:t>
      </w:r>
    </w:p>
    <w:p w14:paraId="0A7608B9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（3）可能的深层叶绿素最大值层（DCM）现象，反映浮游植物的避光适应策略。</w:t>
      </w:r>
    </w:p>
    <w:p w14:paraId="17B9E80D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</w:p>
    <w:p w14:paraId="0E869308">
      <w:pPr>
        <w:ind w:firstLine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综合来看，约2630m深度存在显著的水文界面，该界面以上受风浪搅拌作用形成强混合层，以下则呈现典型的分层特征。这种物理结构的差异直接调控着各类环境参数的垂直分布格局。</w:t>
      </w:r>
    </w:p>
    <w:p w14:paraId="43FEB385">
      <w:pPr>
        <w:ind w:firstLine="420" w:firstLineChars="0"/>
        <w:rPr>
          <w:rFonts w:hint="default" w:ascii="Times New Roman" w:hAnsi="Times New Roman" w:cs="Times New Roman"/>
          <w:b/>
          <w:bCs/>
        </w:rPr>
      </w:pPr>
    </w:p>
    <w:p w14:paraId="380E8742">
      <w:pPr>
        <w:numPr>
          <w:numId w:val="0"/>
        </w:numPr>
        <w:rPr>
          <w:rFonts w:hint="default" w:ascii="Times New Roman" w:hAnsi="Times New Roman" w:cs="Times New Roman"/>
          <w:b/>
          <w:bCs/>
        </w:rPr>
      </w:pPr>
    </w:p>
    <w:p w14:paraId="1AF71E74">
      <w:pPr>
        <w:numPr>
          <w:ilvl w:val="0"/>
          <w:numId w:val="1"/>
        </w:numPr>
        <w:ind w:left="0" w:leftChars="0"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在同一张图上绘制表层各参数的分布（每个参数一个Panel），结合河流输入的影响和生物活动分析各参数的空间分布格局和变化。</w:t>
      </w:r>
    </w:p>
    <w:p w14:paraId="0EA7C21A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drawing>
          <wp:inline distT="0" distB="0" distL="114300" distR="114300">
            <wp:extent cx="5264785" cy="3724275"/>
            <wp:effectExtent l="0" t="0" r="8255" b="9525"/>
            <wp:docPr id="7" name="图片 7" descr="d9316d9841503ff5368328ad645a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9316d9841503ff5368328ad645a7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20D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 xml:space="preserve"> 海洋环境参数的水平分布特征及成因分析  </w:t>
      </w:r>
    </w:p>
    <w:p w14:paraId="10EED3F5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</w:p>
    <w:p w14:paraId="629BF544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1. 温度的水平分布特征  </w:t>
      </w:r>
    </w:p>
    <w:p w14:paraId="235FAFE1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观测现象：靠近陆地的海域水温较高，远离陆地的海域水温较低。  </w:t>
      </w:r>
    </w:p>
    <w:p w14:paraId="551312DF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成因分析：  </w:t>
      </w:r>
    </w:p>
    <w:p w14:paraId="2E84995F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陆地的比热容效应：陆地比热容远小于海水，导致陆地升温更快，温度较高。陆地上的河流受太阳辐射加热后，将热量带入近岸海域，使近岸海水温度升高。  </w:t>
      </w:r>
    </w:p>
    <w:p w14:paraId="75A5C659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河流热输入：河流水温通常高于周围海水（尤其在夏季），入海后导致河口及近岸海域温度升高。  </w:t>
      </w:r>
    </w:p>
    <w:p w14:paraId="772CDAB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</w:t>
      </w:r>
    </w:p>
    <w:p w14:paraId="7DD76F79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2DC8864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2. 盐度的水平分布特征  </w:t>
      </w:r>
    </w:p>
    <w:p w14:paraId="30564597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观测现象：河流入海口盐度最低（接近淡水），远离陆地后盐度逐渐升高。  </w:t>
      </w:r>
    </w:p>
    <w:p w14:paraId="14989170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成因分析：  </w:t>
      </w:r>
    </w:p>
    <w:p w14:paraId="50ADE188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淡水输入稀释：河流携带大量淡水入海，显著降低河口及近岸海域盐度。  </w:t>
      </w:r>
    </w:p>
    <w:p w14:paraId="31BF0E4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混合效应：在河口区，淡水与海水混合形成盐度梯度，向外海方向盐度逐渐恢复至正常海水水平（~35 PSU）。  </w:t>
      </w:r>
    </w:p>
    <w:p w14:paraId="4701E8DE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蒸发降水影响：远离陆地的开阔海域受蒸发作用影响，盐度可能进一步升高。  </w:t>
      </w:r>
    </w:p>
    <w:p w14:paraId="51DD5466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7149325C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3. 溶解氧的水平分布特征  </w:t>
      </w:r>
    </w:p>
    <w:p w14:paraId="024E99EB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观测现象：近岸海域（特别是河口区）溶解氧较高，远岸海域溶解氧较低；部分近岸区域可能出现缺氧现象。  </w:t>
      </w:r>
    </w:p>
    <w:p w14:paraId="2117B41E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成因分析：  </w:t>
      </w:r>
    </w:p>
    <w:p w14:paraId="17597BD1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浮游植物光合作用：河流输入大量营养盐（氮、磷等），促进近岸浮游植物繁殖，光合作用产氧使溶解氧升高。  </w:t>
      </w:r>
    </w:p>
    <w:p w14:paraId="1AF95CA8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陆源污染影响：部分近岸区域（如工业或农业排放区）可能出现有机物富集，微生物分解耗氧，导致局部缺氧（如“死亡区”）。  </w:t>
      </w:r>
    </w:p>
    <w:p w14:paraId="62083CA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远岸营养限制：远离陆地后营养盐减少，浮游植物减少，光合产氧降低，溶解氧下降。  </w:t>
      </w:r>
    </w:p>
    <w:p w14:paraId="2AE70FC7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5DAC7957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4. 叶绿素的水平分布特征  </w:t>
      </w:r>
    </w:p>
    <w:p w14:paraId="5E58C054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观测现象：近岸叶绿素浓度高（浮游植物多），远岸叶绿素浓度低。  </w:t>
      </w:r>
    </w:p>
    <w:p w14:paraId="019EE05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成因分析：  </w:t>
      </w:r>
    </w:p>
    <w:p w14:paraId="73E7856E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营养盐供应：河流输入大量陆源营养盐，促进浮游植物生长，形成高叶绿素区。  </w:t>
      </w:r>
    </w:p>
    <w:p w14:paraId="115FB411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光照与层化效应：近岸水体较浅，光照充足，有利于浮游植物生长；远岸可能因营养盐限制，生产力下降。  </w:t>
      </w:r>
    </w:p>
    <w:p w14:paraId="12D91E64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上升流影响：某些近岸海域可能受上升流影响，带来深层营养盐，进一步增加叶绿素浓度。  </w:t>
      </w:r>
    </w:p>
    <w:p w14:paraId="69F95D1D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1B126B18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5. 浊度的水平分布特征  </w:t>
      </w:r>
    </w:p>
    <w:p w14:paraId="262502A9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观测现象：河流入海口浊度最高，向外海逐渐降低。  </w:t>
      </w:r>
    </w:p>
    <w:p w14:paraId="4F0C5D6E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成因分析：  </w:t>
      </w:r>
    </w:p>
    <w:p w14:paraId="47A3EB1B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陆源悬浮物输入：河流携带大量泥沙、有机碎屑等进入海洋，导致河口区浊度极高。  </w:t>
      </w:r>
    </w:p>
    <w:p w14:paraId="0535B3FD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沉降效应：随着离岸距离增加，粗颗粒泥沙逐渐沉降，浊度降低。  </w:t>
      </w:r>
    </w:p>
    <w:p w14:paraId="07618766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再悬浮作用：近岸波浪和潮流较强，可能导致沉积物再悬浮，维持较高浊度。 </w:t>
      </w: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 xml:space="preserve"> </w:t>
      </w:r>
    </w:p>
    <w:p w14:paraId="2DC9DDE4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</w:p>
    <w:p w14:paraId="785A970C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</w:p>
    <w:p w14:paraId="2E84CB58">
      <w:pPr>
        <w:numPr>
          <w:ilvl w:val="0"/>
          <w:numId w:val="1"/>
        </w:numPr>
        <w:ind w:left="0" w:leftChars="0"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如果以断面D作为东西部陆架的分界线，分别在东西部陆架选择一条断面，绘制各参数的断面分布图（Section View)，分析各参数在垂直方向上的变化。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ab/>
      </w:r>
    </w:p>
    <w:p w14:paraId="29FB0DFB">
      <w:pPr>
        <w:numPr>
          <w:ilvl w:val="1"/>
          <w:numId w:val="1"/>
        </w:numPr>
        <w:ind w:left="420" w:leftChars="0"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东部陆架</w:t>
      </w:r>
    </w:p>
    <w:p w14:paraId="42270495">
      <w:pPr>
        <w:numPr>
          <w:numId w:val="0"/>
        </w:numPr>
        <w:ind w:left="840" w:left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114300" distR="114300">
            <wp:extent cx="5264150" cy="3317240"/>
            <wp:effectExtent l="0" t="0" r="8890" b="5080"/>
            <wp:docPr id="4" name="图片 4" descr="09ce3b54eeddbc90a2361a7626b4e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9ce3b54eeddbc90a2361a7626b4e7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A6E5">
      <w:pPr>
        <w:numPr>
          <w:ilvl w:val="0"/>
          <w:numId w:val="2"/>
        </w:numPr>
        <w:ind w:left="840" w:leftChars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西部陆架</w:t>
      </w:r>
    </w:p>
    <w:p w14:paraId="65EAC818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drawing>
          <wp:inline distT="0" distB="0" distL="114300" distR="114300">
            <wp:extent cx="5271135" cy="3441065"/>
            <wp:effectExtent l="0" t="0" r="1905" b="3175"/>
            <wp:docPr id="5" name="图片 5" descr="a6fbc04f760a66735074d466439b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6fbc04f760a66735074d466439bd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 w:eastAsia="zh-CN"/>
        </w:rPr>
        <w:tab/>
        <w:t xml:space="preserve"> 海洋环境参数垂直分布特征及机制分析  </w:t>
      </w:r>
    </w:p>
    <w:p w14:paraId="2292D15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2621819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1. 温度垂直分布  </w:t>
      </w:r>
    </w:p>
    <w:p w14:paraId="268C50D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观测现象：两个断面的温度均随深度增加而降低。  </w:t>
      </w:r>
    </w:p>
    <w:p w14:paraId="433F883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主要机制：  </w:t>
      </w:r>
    </w:p>
    <w:p w14:paraId="346C763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光照衰减：太阳辐射随深度指数衰减，表层吸热明显，深层受热少。  </w:t>
      </w:r>
    </w:p>
    <w:p w14:paraId="7AE4F06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混合层与温跃层：  </w:t>
      </w:r>
    </w:p>
    <w:p w14:paraId="703DBDF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 表层（0~20m）受风浪搅拌作用，形成混合层，温度梯度较小；  </w:t>
      </w:r>
    </w:p>
    <w:p w14:paraId="75DF50B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 深层（&gt;20m）进入温跃层，温度急剧下降。  </w:t>
      </w:r>
    </w:p>
    <w:p w14:paraId="342CC89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EA6C84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2. 盐度垂直分布  </w:t>
      </w:r>
    </w:p>
    <w:p w14:paraId="3F941E2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观测现象：盐度随深度增加而升高。  </w:t>
      </w:r>
    </w:p>
    <w:p w14:paraId="2D4AC68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主要机制：  </w:t>
      </w:r>
    </w:p>
    <w:p w14:paraId="0523B13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营养盐沉降：颗粒有机物（如浮游生物残骸、陆源碎屑）携带盐分向深层沉降，导致底层盐度累积。  </w:t>
      </w:r>
    </w:p>
    <w:p w14:paraId="04F8952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水体分层：表层受淡水输入（降水、河流）稀释，盐度较低；深层盐度受高盐冷水团影响。  </w:t>
      </w:r>
    </w:p>
    <w:p w14:paraId="60CFC88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0B642D5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3. 溶解氧垂直分布  </w:t>
      </w:r>
    </w:p>
    <w:p w14:paraId="39E3340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观测现象：  </w:t>
      </w:r>
    </w:p>
    <w:p w14:paraId="3162507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整体趋势：溶解氧随深度增加而降低（光合作用减弱，呼吸耗氧增加）。  </w:t>
      </w:r>
    </w:p>
    <w:p w14:paraId="36A0A68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特殊现象：西部近岸表层出现缺氧（如&lt;3 mg/L）。  </w:t>
      </w:r>
    </w:p>
    <w:p w14:paraId="240571C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主要机制：  </w:t>
      </w:r>
    </w:p>
    <w:p w14:paraId="6ACB7A7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光合作用限制：深层光照不足，浮游植物产氧减少。  </w:t>
      </w:r>
    </w:p>
    <w:p w14:paraId="6A40C48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有机物分解耗氧：近岸陆源污染物（如农业径流、污水）输入，促进微生物分解，消耗氧气。  </w:t>
      </w:r>
    </w:p>
    <w:p w14:paraId="2E81D6A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水团隔离：某些区域可能存在层化现象，阻碍表层氧气向深层扩散。  </w:t>
      </w:r>
    </w:p>
    <w:p w14:paraId="3FE6B1C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DD79F6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4. 叶绿素垂直分布  </w:t>
      </w:r>
    </w:p>
    <w:p w14:paraId="21A14A1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观测现象：  </w:t>
      </w:r>
    </w:p>
    <w:p w14:paraId="60EE467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表层叶绿素最高（光照充足，浮游植物聚集）。  </w:t>
      </w:r>
    </w:p>
    <w:p w14:paraId="721ACE3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中层（~50m）出现次表层叶绿素极大值（SCML）。  </w:t>
      </w:r>
    </w:p>
    <w:p w14:paraId="777CB05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主要机制：  </w:t>
      </w:r>
    </w:p>
    <w:p w14:paraId="2FA5BC8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表层高值：充足光照+营养盐供应，促进浮游植物生长。  </w:t>
      </w:r>
    </w:p>
    <w:p w14:paraId="1B3B9E9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次表层极大值（SCML）成因：  </w:t>
      </w:r>
    </w:p>
    <w:p w14:paraId="4C0DD54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 光营养盐权衡：50m层光照适中（避免强光抑制），且营养盐较表层更丰富。  </w:t>
      </w:r>
    </w:p>
    <w:p w14:paraId="438A050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 浮游动物摄食压力：表层浮游动物摄食较强，而中层摄食压力降低。  </w:t>
      </w:r>
    </w:p>
    <w:p w14:paraId="276B72E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  沉降再悬浮效应：部分浮游植物细胞下沉至该层聚集。  </w:t>
      </w:r>
    </w:p>
    <w:p w14:paraId="7BF8382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2FB3949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5. 浊度垂直分布  </w:t>
      </w:r>
    </w:p>
    <w:p w14:paraId="4718C46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观测现象：浊度随深度增加而升高，近岸河口区浊度更高。  </w:t>
      </w:r>
    </w:p>
    <w:p w14:paraId="4D4287F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主要机制：  </w:t>
      </w:r>
    </w:p>
    <w:p w14:paraId="2C6BD79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颗粒物沉降：陆源泥沙、生物碎屑等随深度逐渐累积。  </w:t>
      </w:r>
    </w:p>
    <w:p w14:paraId="2304749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近岸高浊度：河流输入大量悬浮物，河口区受潮汐、波浪扰动，泥沙再悬浮。  </w:t>
      </w:r>
    </w:p>
    <w:p w14:paraId="67F1062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  深海低扰动：远离陆地的海域底层浊度较低，因粗颗粒物已沉降。  </w:t>
      </w:r>
    </w:p>
    <w:p w14:paraId="79F21B68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7CC05031">
      <w:pPr>
        <w:numPr>
          <w:ilvl w:val="0"/>
          <w:numId w:val="1"/>
        </w:numPr>
        <w:ind w:left="0" w:leftChars="0"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在同一张图上绘制底层各参数的分布（每个参数一个Panel），绘制出缺氧区域的范围，对底层缺氧和酸化的分布进行描述。结合课程所学知识，并讨论其形成原因和控制机制。</w:t>
      </w:r>
    </w:p>
    <w:p w14:paraId="6E0E633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drawing>
          <wp:inline distT="0" distB="0" distL="114300" distR="114300">
            <wp:extent cx="5267325" cy="3777615"/>
            <wp:effectExtent l="0" t="0" r="5715" b="1905"/>
            <wp:docPr id="6" name="图片 6" descr="60499f2e94d3fbef2295b046e3d5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0499f2e94d3fbef2295b046e3d50f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D27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 xml:space="preserve"> 缺氧区形成机制及生态环境影响分析  </w:t>
      </w:r>
    </w:p>
    <w:p w14:paraId="0FB9D77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/>
          <w:bCs/>
          <w:lang w:eastAsia="zh-CN"/>
        </w:rPr>
      </w:pPr>
    </w:p>
    <w:p w14:paraId="3D3EAA74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1. 缺氧区的关键特征  </w:t>
      </w:r>
    </w:p>
    <w:p w14:paraId="756F0FCC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高温低氧：红色方框区域表层水温显著偏高，而溶解氧（DO）极低（可能&lt;2 mg/L，属缺氧状态）。  </w:t>
      </w:r>
    </w:p>
    <w:p w14:paraId="6276713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叶绿素a浓度异常：表层叶绿素a未呈现高值，但历史数据或周边区域可能曾发生藻华。  </w:t>
      </w:r>
    </w:p>
    <w:p w14:paraId="521A1DC5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陆源输入影响：邻近工业/农业密集区，存在氮、磷等营养盐的持续输入。  </w:t>
      </w:r>
    </w:p>
    <w:p w14:paraId="1CEFB2C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6C5F8B85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2. 缺氧形成的主控因素  </w:t>
      </w:r>
    </w:p>
    <w:p w14:paraId="77FC8156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（1）温度的直接效应  </w:t>
      </w:r>
    </w:p>
    <w:p w14:paraId="0C204CE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溶解度负反馈：水温升高会显著降低氧气的溶解度（如25℃时DO饱和度较15℃降低约20%）。  </w:t>
      </w:r>
    </w:p>
    <w:p w14:paraId="7AFC70EF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层化增强：高温加剧水体分层，阻碍表层氧气向底层扩散。  </w:t>
      </w:r>
    </w:p>
    <w:p w14:paraId="0ED944BE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6C77B50D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（2）富营养化驱动的生物耗氧  </w:t>
      </w:r>
    </w:p>
    <w:p w14:paraId="780AB3CA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藻华降解循环：  </w:t>
      </w:r>
    </w:p>
    <w:p w14:paraId="32C1F5DD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1. 营养盐输入：陆源排放的氮、磷引发浮游植物爆发性增殖（可能前期叶绿素a极高）。  </w:t>
      </w:r>
    </w:p>
    <w:p w14:paraId="5CCC0C7E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2. 藻类死亡沉降：藻类短期内大量死亡，形成有机碎屑向深层沉降。  </w:t>
      </w:r>
    </w:p>
    <w:p w14:paraId="1EE1AABE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3. 微生物分解耗氧：异养细菌降解有机物时消耗氧气，反应式如下：  </w:t>
      </w:r>
    </w:p>
    <w:p w14:paraId="75A8CCBB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由Redfield公式，</w:t>
      </w: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每降解1单位有机物需消耗138单位O₂，同时产生酸性物质（HNO₃、H₃PO₄）。  </w:t>
      </w:r>
    </w:p>
    <w:p w14:paraId="374AB384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16CE098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（3）酸化协同效应  </w:t>
      </w:r>
    </w:p>
    <w:p w14:paraId="61D3FEF3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pH下降：有机物分解产生的硝酸、磷酸会降低海水pH，进一步抑制部分需氧生物活性。  </w:t>
      </w:r>
    </w:p>
    <w:p w14:paraId="5E89D97C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硫化物风险：若缺氧持续，硫酸盐还原菌可能将SO₄²⁻还原为H₂S，加剧生态毒性。  </w:t>
      </w:r>
    </w:p>
    <w:p w14:paraId="09D9E926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10FE2F46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3. 观测时间点的生态状态解释  </w:t>
      </w:r>
    </w:p>
    <w:p w14:paraId="7A8865D4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藻华后期阶段：检测时浮游植物已大量死亡，表层叶绿素a回落，但底层仍堆积未完全分解的有机质。  </w:t>
      </w:r>
    </w:p>
    <w:p w14:paraId="64076C1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耗氧滞后性：有机物降解需时间，当前缺氧反映的是前几周藻华累积的耗氧效应。  </w:t>
      </w:r>
    </w:p>
    <w:p w14:paraId="6510DA57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1D092E12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4. 与其他区域的对比  </w:t>
      </w:r>
    </w:p>
    <w:p w14:paraId="4312611D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远岸正常区：温度较低、层化较弱，且无陆源营养盐输入，溶解氧垂直分布符合典型光合呼吸平衡。  </w:t>
      </w:r>
    </w:p>
    <w:p w14:paraId="4765B988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近岸非缺氧区：可能存在较强的物理混合（如风浪、潮流）或较低的营养盐负荷，避免缺氧发生。  </w:t>
      </w:r>
    </w:p>
    <w:p w14:paraId="7102FF0A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</w:p>
    <w:p w14:paraId="2C46B82C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5. 生态与气候影响  </w:t>
      </w:r>
    </w:p>
    <w:p w14:paraId="3F358308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生物多样性丧失：缺氧区易形成“死亡区”，导致鱼类、底栖生物逃离或死亡。  </w:t>
      </w:r>
    </w:p>
    <w:p w14:paraId="3C4A9787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碳循环扰动：有机物厌氧分解可能产生CH₄等温室气体，加剧气候变化。  </w:t>
      </w:r>
    </w:p>
    <w:p w14:paraId="1F4F69B8">
      <w:pPr>
        <w:numPr>
          <w:numId w:val="0"/>
        </w:numPr>
        <w:ind w:left="420" w:leftChars="0"/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lang w:eastAsia="zh-CN"/>
        </w:rPr>
        <w:t xml:space="preserve"> 酸化反馈：生成的酸性物质可能影响钙质生物（如贝类、珊瑚）的生存。  </w:t>
      </w:r>
    </w:p>
    <w:p w14:paraId="0341CB7A">
      <w:pPr>
        <w:ind w:firstLine="420" w:firstLineChars="0"/>
        <w:rPr>
          <w:rFonts w:hint="default" w:ascii="Times New Roman" w:hAnsi="Times New Roman" w:cs="Times New Roman"/>
          <w:b/>
          <w:bCs/>
        </w:rPr>
      </w:pPr>
    </w:p>
    <w:p w14:paraId="2CDCA8BF">
      <w:pPr>
        <w:numPr>
          <w:ilvl w:val="0"/>
          <w:numId w:val="1"/>
        </w:numPr>
        <w:ind w:left="0" w:leftChars="0" w:firstLine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如果政府机构希望控制夏季缺氧的面积并向你咨询解决方案，你可以提供哪些建议？</w:t>
      </w:r>
    </w:p>
    <w:p w14:paraId="34297BB9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 xml:space="preserve"> 综合防治海洋缺氧问题的系统性策略</w:t>
      </w:r>
    </w:p>
    <w:p w14:paraId="5D6C930B">
      <w:pPr>
        <w:numPr>
          <w:numId w:val="0"/>
        </w:numPr>
        <w:ind w:left="420" w:leftChars="0"/>
        <w:rPr>
          <w:rFonts w:hint="default" w:ascii="Times New Roman" w:hAnsi="Times New Roman" w:cs="Times New Roman"/>
          <w:b/>
          <w:bCs/>
        </w:rPr>
      </w:pPr>
    </w:p>
    <w:p w14:paraId="2009101A">
      <w:pPr>
        <w:numPr>
          <w:numId w:val="0"/>
        </w:numPr>
        <w:ind w:left="420" w:left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海洋缺氧问题的治理需要多维度、跨部门的协同努力，涵盖源头控制、生态修复、监测预警及社会参与等方面。以下是系统性解决方案的详细阐述：</w:t>
      </w:r>
    </w:p>
    <w:p w14:paraId="1A266836">
      <w:pPr>
        <w:numPr>
          <w:numId w:val="0"/>
        </w:numPr>
        <w:ind w:left="420" w:leftChars="0"/>
        <w:rPr>
          <w:rFonts w:hint="default" w:ascii="Times New Roman" w:hAnsi="Times New Roman" w:cs="Times New Roman"/>
          <w:b/>
          <w:bCs/>
        </w:rPr>
      </w:pPr>
    </w:p>
    <w:p w14:paraId="63AA75F0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/>
          <w:bCs/>
          <w:lang w:eastAsia="zh-CN"/>
        </w:rPr>
      </w:pPr>
    </w:p>
    <w:p w14:paraId="5759588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1F8C044B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1. 源头控制：减少陆源营养盐输入</w:t>
      </w:r>
    </w:p>
    <w:p w14:paraId="58B9CA25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(1) 农业面源污染治理</w:t>
      </w:r>
    </w:p>
    <w:p w14:paraId="3E38CDCD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精准农业技术  </w:t>
      </w:r>
    </w:p>
    <w:p w14:paraId="544C76DF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推广缓释肥料、测土配方施肥，减少氮磷流失。  </w:t>
      </w:r>
    </w:p>
    <w:p w14:paraId="2E696A43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采用保护性耕作（如免耕、覆盖作物）降低土壤侵蚀。  </w:t>
      </w:r>
    </w:p>
    <w:p w14:paraId="7C09A00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生态农业模式  </w:t>
      </w:r>
    </w:p>
    <w:p w14:paraId="42B3F16E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发展“稻鱼虾”共生系统，利用生物循环吸收过剩营养盐。  </w:t>
      </w:r>
    </w:p>
    <w:p w14:paraId="050E7022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建立农田缓冲带，种植芦苇等植物拦截径流污染物。  </w:t>
      </w:r>
    </w:p>
    <w:p w14:paraId="3649A54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412A0E4E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(2) 点源污染管控</w:t>
      </w:r>
    </w:p>
    <w:p w14:paraId="6ED378A4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污水处理厂升级  </w:t>
      </w:r>
    </w:p>
    <w:p w14:paraId="4D1B8B4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强化脱氮除磷工艺（如A²/O、MBR技术），确保出水总氮&lt;10 mg/L、总磷&lt;0.5 mg/L。  </w:t>
      </w:r>
    </w:p>
    <w:p w14:paraId="733B0900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推广污水资源化利用，处理后的中水用于灌溉或工业冷却。  </w:t>
      </w:r>
    </w:p>
    <w:p w14:paraId="7B11196D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工业排放标准  </w:t>
      </w:r>
    </w:p>
    <w:p w14:paraId="6DFC45F5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对食品加工、造纸等高污染行业执行严于国标的地方标准。  </w:t>
      </w:r>
    </w:p>
    <w:p w14:paraId="02681585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实施排污许可证制度，实时监控重点企业排放数据。  </w:t>
      </w:r>
    </w:p>
    <w:p w14:paraId="1646942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5275FB79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(3) 畜牧业污染防控</w:t>
      </w:r>
    </w:p>
    <w:p w14:paraId="79C2D04D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粪污资源化利用  </w:t>
      </w:r>
    </w:p>
    <w:p w14:paraId="6F263F8B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建设沼气工程，将粪污转化为清洁能源（每头猪年产沼气约50m³）。  </w:t>
      </w:r>
    </w:p>
    <w:p w14:paraId="74B4AEAA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推广“异位发酵床”技术，通过微生物降解减少污染物排放。  </w:t>
      </w:r>
    </w:p>
    <w:p w14:paraId="3E8AF10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3F3FB69A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</w:p>
    <w:p w14:paraId="7AA25C23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3D808E06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2. 生态修复：增强系统自净能力</w:t>
      </w:r>
    </w:p>
    <w:p w14:paraId="18818BBB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(1) 湿地恢复工程  </w:t>
      </w:r>
    </w:p>
    <w:p w14:paraId="610FCD9F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人工湿地建设  </w:t>
      </w:r>
    </w:p>
    <w:p w14:paraId="3BC13562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在河口区构建表面流湿地（SFW）或垂直流湿地（VFW），可去除50%~70%的氮磷。  </w:t>
      </w:r>
    </w:p>
    <w:p w14:paraId="66D7B9D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案例：美国密西西比河三角洲湿地恢复项目，使入海氮负荷降低25%。  </w:t>
      </w:r>
    </w:p>
    <w:p w14:paraId="4F464C9E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(2) 海草床与珊瑚礁保护  </w:t>
      </w:r>
    </w:p>
    <w:p w14:paraId="25FF7E33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海草床可吸附悬浮颗粒，其根系微生物群落能高效降解有机物。  </w:t>
      </w:r>
    </w:p>
    <w:p w14:paraId="01A036E6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珊瑚礁生态系统为鱼类提供栖息地，维持生物多样性以增强系统稳定性。  </w:t>
      </w:r>
    </w:p>
    <w:p w14:paraId="0725278E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2E5BAE15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</w:p>
    <w:p w14:paraId="1993F4D7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5F4BA4F8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3. 工程干预：直接改善缺氧环境</w:t>
      </w:r>
    </w:p>
    <w:p w14:paraId="208ED2FE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(1) 人工增氧技术  </w:t>
      </w:r>
    </w:p>
    <w:p w14:paraId="1A437F3F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深水曝气系统  </w:t>
      </w:r>
    </w:p>
    <w:p w14:paraId="3B82CFAF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在缺氧底层安装微纳米气泡发生器，提升溶解氧2~4 mg/L。  </w:t>
      </w:r>
    </w:p>
    <w:p w14:paraId="75EB792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案例：日本东京湾通过太阳能驱动曝气装置改善底层缺氧。  </w:t>
      </w:r>
    </w:p>
    <w:p w14:paraId="5C9CD901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(2) 层化破坏措施  </w:t>
      </w:r>
    </w:p>
    <w:p w14:paraId="2F87C36A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利用人工上升流泵（如丹麦Kattegat海峡项目）打破温跃层，促进水体垂直交换。  </w:t>
      </w:r>
    </w:p>
    <w:p w14:paraId="6DF181E6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4B1B2F0E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</w:p>
    <w:p w14:paraId="1768B7C7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6A8CF6AF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4. 监测与预警体系</w:t>
      </w:r>
    </w:p>
    <w:p w14:paraId="723827EF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(1) 立体监测网络  </w:t>
      </w:r>
    </w:p>
    <w:p w14:paraId="78985316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遥感+浮标+无人机  </w:t>
      </w:r>
    </w:p>
    <w:p w14:paraId="794D3B79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卫星遥感（如Sentinel3）监测表层叶绿素和温度；  </w:t>
      </w:r>
    </w:p>
    <w:p w14:paraId="5515FC2D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锚系浮标实时传输溶解氧、营养盐数据；  </w:t>
      </w:r>
    </w:p>
    <w:p w14:paraId="325A1F63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无人机巡航补充近岸高频监测。  </w:t>
      </w:r>
    </w:p>
    <w:p w14:paraId="0EA58C94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(2) 预测模型  </w:t>
      </w:r>
    </w:p>
    <w:p w14:paraId="4FDF9C2E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耦合水文生物地球化学模型（如ROMSFennel），提前7~15天预警藻华与缺氧风险。  </w:t>
      </w:r>
    </w:p>
    <w:p w14:paraId="6F710C86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5080F991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</w:p>
    <w:p w14:paraId="5104E303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378EE7B3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5. 政策与社会参与</w:t>
      </w:r>
    </w:p>
    <w:p w14:paraId="7BFDB2F0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(1) 经济激励政策  </w:t>
      </w:r>
    </w:p>
    <w:p w14:paraId="4B3FD878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对减排企业给予税收优惠（如荷兰的绿色税收抵扣）。  </w:t>
      </w:r>
    </w:p>
    <w:p w14:paraId="4227864A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设立生态补偿基金，补偿渔民因保护区禁捕的损失。  </w:t>
      </w:r>
    </w:p>
    <w:p w14:paraId="4194F59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(2) 公众参与机制  </w:t>
      </w:r>
    </w:p>
    <w:p w14:paraId="145B5A2A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“公民科学家”计划：培训志愿者参与海岸带水质监测（如美国Chesapeake Bay项目）。  </w:t>
      </w:r>
    </w:p>
    <w:p w14:paraId="1CF98809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社区蓝碳交易试点：通过红树林修复获取碳汇收益。  </w:t>
      </w:r>
    </w:p>
    <w:p w14:paraId="76D7D361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2DAA69DE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</w:p>
    <w:p w14:paraId="1BCEE43B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</w:p>
    <w:p w14:paraId="3BA9D024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6. 区域与国际合作</w:t>
      </w:r>
    </w:p>
    <w:p w14:paraId="039E68F3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跨境治理框架  </w:t>
      </w:r>
    </w:p>
    <w:p w14:paraId="7B282107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参考《赫尔辛基公约》模式，建立区域性海洋保护协定（如东亚海协作体）。  </w:t>
      </w:r>
    </w:p>
    <w:p w14:paraId="48AA0487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联合研究计划  </w:t>
      </w:r>
    </w:p>
    <w:p w14:paraId="738C7AAC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共享缺氧区数据，合作开发低成本的修复技术（如欧盟H2020项目）。  </w:t>
      </w:r>
    </w:p>
    <w:p w14:paraId="73F1BE71">
      <w:pPr>
        <w:numPr>
          <w:numId w:val="0"/>
        </w:numPr>
        <w:ind w:left="420" w:leftChars="0"/>
        <w:rPr>
          <w:rFonts w:hint="default" w:ascii="Times New Roman" w:hAnsi="Times New Roman" w:cs="Times New Roman"/>
          <w:b/>
          <w:bCs/>
        </w:rPr>
      </w:pPr>
    </w:p>
    <w:p w14:paraId="066CEC3F">
      <w:pPr>
        <w:numPr>
          <w:numId w:val="0"/>
        </w:numPr>
        <w:ind w:left="420" w:leftChars="0"/>
        <w:rPr>
          <w:rFonts w:hint="eastAsia" w:ascii="Times New Roman" w:hAnsi="Times New Roman" w:cs="Times New Roman" w:eastAsiaTheme="minorEastAsia"/>
          <w:b/>
          <w:bCs/>
          <w:lang w:eastAsia="zh-CN"/>
        </w:rPr>
      </w:pPr>
    </w:p>
    <w:p w14:paraId="1754A620">
      <w:pPr>
        <w:numPr>
          <w:numId w:val="0"/>
        </w:numPr>
        <w:ind w:left="420" w:leftChars="0"/>
        <w:rPr>
          <w:rFonts w:hint="default" w:ascii="Times New Roman" w:hAnsi="Times New Roman" w:cs="Times New Roman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D2F98"/>
    <w:multiLevelType w:val="multilevel"/>
    <w:tmpl w:val="CABD2F98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DB76763"/>
    <w:multiLevelType w:val="singleLevel"/>
    <w:tmpl w:val="5DB7676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001533FA"/>
    <w:rsid w:val="00873C57"/>
    <w:rsid w:val="00A56A71"/>
    <w:rsid w:val="014C2E46"/>
    <w:rsid w:val="014C494B"/>
    <w:rsid w:val="023855D7"/>
    <w:rsid w:val="04FB264B"/>
    <w:rsid w:val="05A6154C"/>
    <w:rsid w:val="069E0871"/>
    <w:rsid w:val="06ED319C"/>
    <w:rsid w:val="07C52997"/>
    <w:rsid w:val="08B70BE9"/>
    <w:rsid w:val="08D93C76"/>
    <w:rsid w:val="0A8D47FF"/>
    <w:rsid w:val="0B903300"/>
    <w:rsid w:val="0E7D7D7D"/>
    <w:rsid w:val="12FB214C"/>
    <w:rsid w:val="13337229"/>
    <w:rsid w:val="13B4238F"/>
    <w:rsid w:val="15323002"/>
    <w:rsid w:val="158F7BD1"/>
    <w:rsid w:val="15A71489"/>
    <w:rsid w:val="164148E5"/>
    <w:rsid w:val="16E7429B"/>
    <w:rsid w:val="178E0955"/>
    <w:rsid w:val="18101CB8"/>
    <w:rsid w:val="18B14517"/>
    <w:rsid w:val="19157A7B"/>
    <w:rsid w:val="1B196D2C"/>
    <w:rsid w:val="1BAA243F"/>
    <w:rsid w:val="1BEC47FD"/>
    <w:rsid w:val="1C6339B6"/>
    <w:rsid w:val="1D0010AF"/>
    <w:rsid w:val="1DF87E8F"/>
    <w:rsid w:val="1E777698"/>
    <w:rsid w:val="1F5607E8"/>
    <w:rsid w:val="20FD1339"/>
    <w:rsid w:val="218A200B"/>
    <w:rsid w:val="22455CA5"/>
    <w:rsid w:val="23315296"/>
    <w:rsid w:val="23A3470B"/>
    <w:rsid w:val="244F0DF4"/>
    <w:rsid w:val="24FF6AE9"/>
    <w:rsid w:val="25350DE7"/>
    <w:rsid w:val="273C401C"/>
    <w:rsid w:val="285F7048"/>
    <w:rsid w:val="29C65739"/>
    <w:rsid w:val="29D02F24"/>
    <w:rsid w:val="2B6E1D45"/>
    <w:rsid w:val="2CFE4362"/>
    <w:rsid w:val="2EC80471"/>
    <w:rsid w:val="2F892CE2"/>
    <w:rsid w:val="305F5D6F"/>
    <w:rsid w:val="313867CF"/>
    <w:rsid w:val="31762C79"/>
    <w:rsid w:val="31DD6C2D"/>
    <w:rsid w:val="33145659"/>
    <w:rsid w:val="338D7168"/>
    <w:rsid w:val="33927C82"/>
    <w:rsid w:val="345E669F"/>
    <w:rsid w:val="37281CCE"/>
    <w:rsid w:val="37662E57"/>
    <w:rsid w:val="3A325ADD"/>
    <w:rsid w:val="3A983094"/>
    <w:rsid w:val="3AB35FA4"/>
    <w:rsid w:val="3AC032AE"/>
    <w:rsid w:val="3DF22140"/>
    <w:rsid w:val="3F8914B5"/>
    <w:rsid w:val="409D6D19"/>
    <w:rsid w:val="40F66E35"/>
    <w:rsid w:val="41606F97"/>
    <w:rsid w:val="43D87F16"/>
    <w:rsid w:val="452E1BAB"/>
    <w:rsid w:val="45DB15E4"/>
    <w:rsid w:val="46020604"/>
    <w:rsid w:val="4738211C"/>
    <w:rsid w:val="474C0AFA"/>
    <w:rsid w:val="47EC03AE"/>
    <w:rsid w:val="49603C7A"/>
    <w:rsid w:val="4E9E57A5"/>
    <w:rsid w:val="5007283B"/>
    <w:rsid w:val="5019224F"/>
    <w:rsid w:val="502165AD"/>
    <w:rsid w:val="50FD21D4"/>
    <w:rsid w:val="517405DB"/>
    <w:rsid w:val="53330675"/>
    <w:rsid w:val="539A0DB6"/>
    <w:rsid w:val="53C31A73"/>
    <w:rsid w:val="53D44E90"/>
    <w:rsid w:val="54D87AA0"/>
    <w:rsid w:val="551A0411"/>
    <w:rsid w:val="55687EC1"/>
    <w:rsid w:val="55CE755C"/>
    <w:rsid w:val="56124F68"/>
    <w:rsid w:val="57BE3FA3"/>
    <w:rsid w:val="59A32A4A"/>
    <w:rsid w:val="5A95720F"/>
    <w:rsid w:val="5BF37A70"/>
    <w:rsid w:val="5D3C5F9F"/>
    <w:rsid w:val="5DB627FF"/>
    <w:rsid w:val="5FBD3482"/>
    <w:rsid w:val="60EE3727"/>
    <w:rsid w:val="61236803"/>
    <w:rsid w:val="63642529"/>
    <w:rsid w:val="651D0310"/>
    <w:rsid w:val="67E30D5E"/>
    <w:rsid w:val="68C06836"/>
    <w:rsid w:val="69AD28AC"/>
    <w:rsid w:val="6B091F82"/>
    <w:rsid w:val="6B2F115F"/>
    <w:rsid w:val="6B764F71"/>
    <w:rsid w:val="6BB60B40"/>
    <w:rsid w:val="6D12623B"/>
    <w:rsid w:val="6F056029"/>
    <w:rsid w:val="6F082BFD"/>
    <w:rsid w:val="6F966A3F"/>
    <w:rsid w:val="709721D8"/>
    <w:rsid w:val="712846A0"/>
    <w:rsid w:val="724E1F2A"/>
    <w:rsid w:val="74FC22B8"/>
    <w:rsid w:val="753D4261"/>
    <w:rsid w:val="75BF04AF"/>
    <w:rsid w:val="78993535"/>
    <w:rsid w:val="7BD0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486</Words>
  <Characters>560</Characters>
  <Lines>0</Lines>
  <Paragraphs>0</Paragraphs>
  <TotalTime>0</TotalTime>
  <ScaleCrop>false</ScaleCrop>
  <LinksUpToDate>false</LinksUpToDate>
  <CharactersWithSpaces>570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2025-04-17T01:58:00Z</dcterms:created>
  <dc:creator>云誓</dc:creator>
  <cp:lastModifiedBy>柯泓宇</cp:lastModifiedBy>
  <dcterms:modified xsi:type="dcterms:W3CDTF">2025-06-26T03:02:35Z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D1240CF4630747FF9067E73E59266EED_12</vt:lpwstr>
  </property>
</Properties>
</file>