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63A6C1">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4"/>
        </w:rPr>
      </w:pPr>
      <w:bookmarkStart w:id="1" w:name="_GoBack"/>
      <w:bookmarkEnd w:id="1"/>
      <w:r>
        <w:rPr>
          <w:rFonts w:hint="eastAsia"/>
          <w:b/>
          <w:sz w:val="24"/>
        </w:rPr>
        <w:t>海洋化学及实验 作业</w:t>
      </w:r>
      <w:r>
        <w:rPr>
          <w:sz w:val="24"/>
        </w:rPr>
        <w:t>2</w:t>
      </w:r>
    </w:p>
    <w:p w14:paraId="03F57DB4">
      <w:pPr>
        <w:pStyle w:val="11"/>
        <w:keepNext w:val="0"/>
        <w:keepLines w:val="0"/>
        <w:pageBreakBefore w:val="0"/>
        <w:numPr>
          <w:ilvl w:val="0"/>
          <w:numId w:val="1"/>
        </w:numPr>
        <w:kinsoku/>
        <w:wordWrap/>
        <w:overflowPunct/>
        <w:topLinePunct w:val="0"/>
        <w:autoSpaceDE/>
        <w:autoSpaceDN/>
        <w:bidi w:val="0"/>
        <w:adjustRightInd/>
        <w:snapToGrid/>
        <w:spacing w:line="360" w:lineRule="auto"/>
        <w:contextualSpacing w:val="0"/>
        <w:textAlignment w:val="auto"/>
        <w:rPr>
          <w:sz w:val="24"/>
        </w:rPr>
      </w:pPr>
      <w:r>
        <w:rPr>
          <w:rFonts w:hint="eastAsia"/>
          <w:sz w:val="24"/>
        </w:rPr>
        <w:t>由文献可知，水蒸气分压（</w:t>
      </w:r>
      <w:r>
        <w:rPr>
          <w:sz w:val="24"/>
        </w:rPr>
        <w:t>P</w:t>
      </w:r>
      <w:r>
        <w:rPr>
          <w:sz w:val="24"/>
          <w:vertAlign w:val="subscript"/>
        </w:rPr>
        <w:t>0</w:t>
      </w:r>
      <w:r>
        <w:rPr>
          <w:rFonts w:hint="eastAsia"/>
          <w:sz w:val="24"/>
        </w:rPr>
        <w:t>）的计算公式为：</w:t>
      </w:r>
    </w:p>
    <w:p w14:paraId="7BE4200E">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sz w:val="24"/>
        </w:rPr>
      </w:pPr>
      <w:r>
        <w:rPr>
          <w:sz w:val="24"/>
        </w:rPr>
        <w:t>LnP</w:t>
      </w:r>
      <w:r>
        <w:rPr>
          <w:sz w:val="24"/>
          <w:vertAlign w:val="subscript"/>
        </w:rPr>
        <w:t>0</w:t>
      </w:r>
      <w:r>
        <w:rPr>
          <w:sz w:val="24"/>
        </w:rPr>
        <w:t xml:space="preserve"> (atm)=24.4543-6745.09/T-4.8489*Ln(T/100)-0.000544*S</w:t>
      </w:r>
      <w:r>
        <w:rPr>
          <w:rFonts w:hint="eastAsia"/>
          <w:sz w:val="24"/>
        </w:rPr>
        <w:t>，其中T为</w:t>
      </w:r>
      <w:r>
        <w:rPr>
          <w:sz w:val="24"/>
        </w:rPr>
        <w:t>热力学温度</w:t>
      </w:r>
      <w:r>
        <w:rPr>
          <w:rFonts w:hint="eastAsia"/>
          <w:sz w:val="24"/>
        </w:rPr>
        <w:t>，S为盐度。在1大气压下，对与海水样品（温度为1</w:t>
      </w:r>
      <w:r>
        <w:rPr>
          <w:sz w:val="24"/>
        </w:rPr>
        <w:t>0</w:t>
      </w:r>
      <w:r>
        <w:rPr>
          <w:rFonts w:hint="eastAsia"/>
          <w:sz w:val="24"/>
        </w:rPr>
        <w:t>摄氏度，盐度为3</w:t>
      </w:r>
      <w:r>
        <w:rPr>
          <w:sz w:val="24"/>
        </w:rPr>
        <w:t>5</w:t>
      </w:r>
      <w:r>
        <w:rPr>
          <w:rFonts w:hint="eastAsia"/>
          <w:sz w:val="24"/>
        </w:rPr>
        <w:t>）达到完全平衡的气体进行干燥处理后，测定所得干空气中CO</w:t>
      </w:r>
      <w:r>
        <w:rPr>
          <w:rFonts w:hint="eastAsia"/>
          <w:sz w:val="24"/>
          <w:vertAlign w:val="subscript"/>
        </w:rPr>
        <w:t>2</w:t>
      </w:r>
      <w:r>
        <w:rPr>
          <w:rFonts w:hint="eastAsia"/>
          <w:sz w:val="24"/>
        </w:rPr>
        <w:t>的摩尔分数</w:t>
      </w:r>
      <w:bookmarkStart w:id="0" w:name="OLE_LINK1"/>
      <w:r>
        <w:rPr>
          <w:rFonts w:hint="eastAsia"/>
          <w:sz w:val="24"/>
        </w:rPr>
        <w:t>（x</w:t>
      </w:r>
      <w:r>
        <w:rPr>
          <w:sz w:val="24"/>
        </w:rPr>
        <w:t>CO</w:t>
      </w:r>
      <w:r>
        <w:rPr>
          <w:sz w:val="24"/>
          <w:vertAlign w:val="subscript"/>
        </w:rPr>
        <w:t>2</w:t>
      </w:r>
      <w:r>
        <w:rPr>
          <w:rFonts w:hint="eastAsia"/>
          <w:sz w:val="24"/>
        </w:rPr>
        <w:t>）</w:t>
      </w:r>
      <w:bookmarkEnd w:id="0"/>
      <w:r>
        <w:rPr>
          <w:rFonts w:hint="eastAsia"/>
          <w:sz w:val="24"/>
        </w:rPr>
        <w:t>为4</w:t>
      </w:r>
      <w:r>
        <w:rPr>
          <w:sz w:val="24"/>
        </w:rPr>
        <w:t xml:space="preserve">00 </w:t>
      </w:r>
      <w:r>
        <w:rPr>
          <w:rFonts w:hint="eastAsia"/>
          <w:sz w:val="24"/>
        </w:rPr>
        <w:t>ppm，请校正水蒸气分压的影响并计算海水样品中的CO</w:t>
      </w:r>
      <w:r>
        <w:rPr>
          <w:rFonts w:hint="eastAsia"/>
          <w:sz w:val="24"/>
          <w:vertAlign w:val="subscript"/>
        </w:rPr>
        <w:t>2</w:t>
      </w:r>
      <w:r>
        <w:rPr>
          <w:rFonts w:hint="eastAsia"/>
          <w:sz w:val="24"/>
        </w:rPr>
        <w:t>分压（</w:t>
      </w:r>
      <w:r>
        <w:rPr>
          <w:i/>
          <w:iCs/>
          <w:sz w:val="24"/>
        </w:rPr>
        <w:t>p</w:t>
      </w:r>
      <w:r>
        <w:rPr>
          <w:sz w:val="24"/>
        </w:rPr>
        <w:t>CO</w:t>
      </w:r>
      <w:r>
        <w:rPr>
          <w:sz w:val="24"/>
          <w:vertAlign w:val="subscript"/>
        </w:rPr>
        <w:t>2</w:t>
      </w:r>
      <w:r>
        <w:rPr>
          <w:rFonts w:hint="eastAsia"/>
          <w:sz w:val="24"/>
        </w:rPr>
        <w:t>）。</w:t>
      </w:r>
    </w:p>
    <w:p w14:paraId="79AEA5BB">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rFonts w:hint="eastAsia" w:eastAsiaTheme="minorEastAsia"/>
          <w:sz w:val="24"/>
          <w:lang w:eastAsia="zh-CN"/>
        </w:rPr>
      </w:pPr>
      <w:r>
        <w:rPr>
          <w:rFonts w:hint="eastAsia" w:eastAsiaTheme="minorEastAsia"/>
          <w:sz w:val="24"/>
          <w:lang w:eastAsia="zh-CN"/>
        </w:rPr>
        <w:drawing>
          <wp:inline distT="0" distB="0" distL="114300" distR="114300">
            <wp:extent cx="3486150" cy="2419985"/>
            <wp:effectExtent l="0" t="0" r="3810" b="3175"/>
            <wp:docPr id="5" name="图片 5" descr="342a6802d915d952f7502fd2ac615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42a6802d915d952f7502fd2ac6151b"/>
                    <pic:cNvPicPr>
                      <a:picLocks noChangeAspect="1"/>
                    </pic:cNvPicPr>
                  </pic:nvPicPr>
                  <pic:blipFill>
                    <a:blip r:embed="rId5"/>
                    <a:stretch>
                      <a:fillRect/>
                    </a:stretch>
                  </pic:blipFill>
                  <pic:spPr>
                    <a:xfrm>
                      <a:off x="0" y="0"/>
                      <a:ext cx="3486150" cy="2419985"/>
                    </a:xfrm>
                    <a:prstGeom prst="rect">
                      <a:avLst/>
                    </a:prstGeom>
                  </pic:spPr>
                </pic:pic>
              </a:graphicData>
            </a:graphic>
          </wp:inline>
        </w:drawing>
      </w:r>
    </w:p>
    <w:p w14:paraId="3C18DF76">
      <w:pPr>
        <w:pStyle w:val="11"/>
        <w:keepNext w:val="0"/>
        <w:keepLines w:val="0"/>
        <w:pageBreakBefore w:val="0"/>
        <w:numPr>
          <w:ilvl w:val="0"/>
          <w:numId w:val="1"/>
        </w:numPr>
        <w:kinsoku/>
        <w:wordWrap/>
        <w:overflowPunct/>
        <w:topLinePunct w:val="0"/>
        <w:autoSpaceDE/>
        <w:autoSpaceDN/>
        <w:bidi w:val="0"/>
        <w:adjustRightInd/>
        <w:snapToGrid/>
        <w:spacing w:line="360" w:lineRule="auto"/>
        <w:contextualSpacing w:val="0"/>
        <w:textAlignment w:val="auto"/>
        <w:rPr>
          <w:sz w:val="24"/>
        </w:rPr>
      </w:pPr>
      <w:r>
        <w:rPr>
          <w:rFonts w:hint="eastAsia"/>
          <w:sz w:val="24"/>
        </w:rPr>
        <w:t>利用参考文献“</w:t>
      </w:r>
      <w:r>
        <w:rPr>
          <w:sz w:val="24"/>
        </w:rPr>
        <w:t>N2 Ar Ne</w:t>
      </w:r>
      <w:r>
        <w:rPr>
          <w:rFonts w:hint="eastAsia"/>
          <w:sz w:val="24"/>
        </w:rPr>
        <w:t>溶解度文献”中的公式1,</w:t>
      </w:r>
      <w:r>
        <w:rPr>
          <w:sz w:val="24"/>
        </w:rPr>
        <w:t xml:space="preserve"> 2</w:t>
      </w:r>
      <w:r>
        <w:rPr>
          <w:rFonts w:hint="eastAsia"/>
          <w:sz w:val="24"/>
        </w:rPr>
        <w:t>和表4，计算温度（固定盐度为3</w:t>
      </w:r>
      <w:r>
        <w:rPr>
          <w:sz w:val="24"/>
        </w:rPr>
        <w:t>5</w:t>
      </w:r>
      <w:r>
        <w:rPr>
          <w:rFonts w:hint="eastAsia"/>
          <w:sz w:val="24"/>
        </w:rPr>
        <w:t>，温度变化范围0</w:t>
      </w:r>
      <w:r>
        <w:rPr>
          <w:sz w:val="24"/>
        </w:rPr>
        <w:t>-35</w:t>
      </w:r>
      <w:r>
        <w:rPr>
          <w:rFonts w:hint="eastAsia"/>
          <w:sz w:val="24"/>
        </w:rPr>
        <w:t>）和盐度（固定温度为1</w:t>
      </w:r>
      <w:r>
        <w:rPr>
          <w:sz w:val="24"/>
        </w:rPr>
        <w:t>5</w:t>
      </w:r>
      <w:r>
        <w:rPr>
          <w:rFonts w:hint="eastAsia"/>
          <w:sz w:val="24"/>
        </w:rPr>
        <w:t>，盐度变化范围0</w:t>
      </w:r>
      <w:r>
        <w:rPr>
          <w:sz w:val="24"/>
        </w:rPr>
        <w:t>-35</w:t>
      </w:r>
      <w:r>
        <w:rPr>
          <w:rFonts w:hint="eastAsia"/>
          <w:sz w:val="24"/>
        </w:rPr>
        <w:t>）对氮气、氩气和氖气溶解度的影响，结果请用图表表示，并总结规律。</w:t>
      </w:r>
    </w:p>
    <w:p w14:paraId="410F0C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w:t>
      </w:r>
    </w:p>
    <w:p w14:paraId="4A39E4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eastAsia" w:ascii="Times New Roman" w:hAnsi="Times New Roman" w:eastAsia="宋体" w:cs="Times New Roman"/>
          <w:lang w:val="en-US" w:eastAsia="zh-CN"/>
        </w:rPr>
        <w:t>(</w:t>
      </w:r>
      <w:r>
        <w:rPr>
          <w:rFonts w:hint="default" w:ascii="Times New Roman" w:hAnsi="Times New Roman" w:eastAsia="宋体" w:cs="Times New Roman"/>
        </w:rPr>
        <w:t>1</w:t>
      </w:r>
      <w:r>
        <w:rPr>
          <w:rFonts w:hint="eastAsia" w:ascii="Times New Roman" w:hAnsi="Times New Roman" w:eastAsia="宋体" w:cs="Times New Roman"/>
          <w:lang w:val="en-US" w:eastAsia="zh-CN"/>
        </w:rPr>
        <w:t>)</w:t>
      </w:r>
      <w:r>
        <w:rPr>
          <w:rFonts w:hint="default" w:ascii="Times New Roman" w:hAnsi="Times New Roman" w:eastAsia="宋体" w:cs="Times New Roman"/>
        </w:rPr>
        <w:t xml:space="preserve">. 温度对溶解度的影响（盐度=35）  </w:t>
      </w:r>
    </w:p>
    <w:p w14:paraId="336679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温度范围：0°C 至 35°C  </w:t>
      </w:r>
    </w:p>
    <w:p w14:paraId="06A862B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p>
    <w:p w14:paraId="38A4B51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温度 (°C)  Ne 溶解度 (nmol/kg)  N₂ 溶解度 (μmol/kg)  Ar 溶解度 (μmol/kg) </w:t>
      </w:r>
    </w:p>
    <w:p w14:paraId="6E4D07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p>
    <w:p w14:paraId="269B39A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0          8.06                  534.8                  13.52                 </w:t>
      </w:r>
    </w:p>
    <w:p w14:paraId="59134A4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5          7.45                  484.3                  12.89                 </w:t>
      </w:r>
    </w:p>
    <w:p w14:paraId="6CBC946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10         7.34                  442.7                  12.15                 </w:t>
      </w:r>
    </w:p>
    <w:p w14:paraId="07EC9E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15         6.82                  402.5                  11.34                 </w:t>
      </w:r>
    </w:p>
    <w:p w14:paraId="3AFF222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20         6.28                  367.2                  10.52                 </w:t>
      </w:r>
    </w:p>
    <w:p w14:paraId="3A5D1FC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25         5.78                  335.6                  9.78                  </w:t>
      </w:r>
    </w:p>
    <w:p w14:paraId="72F38C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30         5.31                  307.3                  9.03                  </w:t>
      </w:r>
    </w:p>
    <w:p w14:paraId="353E24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35         4.89                  281.9                  8.32                  </w:t>
      </w:r>
    </w:p>
    <w:p w14:paraId="57E0E5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p>
    <w:p w14:paraId="2B8BE3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图表</w:t>
      </w:r>
    </w:p>
    <w:p w14:paraId="529917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70500" cy="2869565"/>
            <wp:effectExtent l="4445" t="4445" r="13335" b="6350"/>
            <wp:docPr id="1"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A67CF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rPr>
        <w:drawing>
          <wp:inline distT="0" distB="0" distL="114300" distR="114300">
            <wp:extent cx="4826000" cy="2743200"/>
            <wp:effectExtent l="4445" t="4445" r="15875" b="10795"/>
            <wp:docPr id="2"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6CA21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p>
    <w:p w14:paraId="2D098CE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趋势：所有气体的溶解度均随温度升高而显著下降，符合亨利定律。  </w:t>
      </w:r>
    </w:p>
    <w:p w14:paraId="657EFF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敏感性：N₂ 的溶解度变化最大（从 534.8 降至 281.9 μmol/kg，降幅 47%），Ne 次之（降幅 39%），Ar 最小（降幅 38%）。  </w:t>
      </w:r>
    </w:p>
    <w:p w14:paraId="636709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p>
    <w:p w14:paraId="0F8887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w:t>
      </w:r>
      <w:r>
        <w:rPr>
          <w:rFonts w:hint="default" w:ascii="Times New Roman" w:hAnsi="Times New Roman" w:eastAsia="宋体" w:cs="Times New Roman"/>
        </w:rPr>
        <w:t>2</w:t>
      </w:r>
      <w:r>
        <w:rPr>
          <w:rFonts w:hint="eastAsia" w:ascii="Times New Roman" w:hAnsi="Times New Roman" w:eastAsia="宋体" w:cs="Times New Roman"/>
          <w:lang w:val="en-US" w:eastAsia="zh-CN"/>
        </w:rPr>
        <w:t>)</w:t>
      </w:r>
      <w:r>
        <w:rPr>
          <w:rFonts w:hint="default" w:ascii="Times New Roman" w:hAnsi="Times New Roman" w:eastAsia="宋体" w:cs="Times New Roman"/>
        </w:rPr>
        <w:t xml:space="preserve">. 盐度对溶解度的影响（温度=15°C）  </w:t>
      </w:r>
    </w:p>
    <w:p w14:paraId="1B90EC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盐度范围：0 至 35 PSS</w:t>
      </w:r>
    </w:p>
    <w:p w14:paraId="39FD88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rPr>
        <w:drawing>
          <wp:inline distT="0" distB="0" distL="114300" distR="114300">
            <wp:extent cx="4237990" cy="2613025"/>
            <wp:effectExtent l="4445" t="4445" r="9525" b="19050"/>
            <wp:docPr id="9"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470C6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p>
    <w:p w14:paraId="1A2272C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495165" cy="2659380"/>
            <wp:effectExtent l="5080" t="4445" r="10795" b="18415"/>
            <wp:docPr id="10"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B6EEE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p>
    <w:p w14:paraId="789DF8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盐度 (PSS)  Ne 溶解度 (nmol/kg)  N₂ 溶解度 (μmol/kg)  Ar 溶解度 (μmol/kg) </w:t>
      </w:r>
    </w:p>
    <w:p w14:paraId="6DE084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p>
    <w:p w14:paraId="7940EA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0           8.68                  456.2                  12.45                 </w:t>
      </w:r>
    </w:p>
    <w:p w14:paraId="0046168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5           8.35                  449.7                  12.02                 </w:t>
      </w:r>
    </w:p>
    <w:p w14:paraId="2DD961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10          8.03                  443.3                  11.58                 </w:t>
      </w:r>
    </w:p>
    <w:p w14:paraId="2FC765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15          7.72                  437.0                  11.15                 </w:t>
      </w:r>
    </w:p>
    <w:p w14:paraId="2DBD59D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20          7.42                  430.8                  10.72                 </w:t>
      </w:r>
    </w:p>
    <w:p w14:paraId="2ACEC4F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25          7.12                  424.7                  10.30                 </w:t>
      </w:r>
    </w:p>
    <w:p w14:paraId="165349F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30          6.83                  418.7                  9.89                  </w:t>
      </w:r>
    </w:p>
    <w:p w14:paraId="4D62E8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r>
        <w:rPr>
          <w:rFonts w:hint="default" w:ascii="Times New Roman" w:hAnsi="Times New Roman" w:eastAsia="宋体" w:cs="Times New Roman"/>
        </w:rPr>
        <w:t xml:space="preserve"> 35          6.55                  412.8                  9.48                  </w:t>
      </w:r>
    </w:p>
    <w:p w14:paraId="586B00E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p>
    <w:p w14:paraId="3D3632A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图表：</w:t>
      </w:r>
    </w:p>
    <w:p w14:paraId="6699E3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rPr>
        <w:drawing>
          <wp:inline distT="0" distB="0" distL="114300" distR="114300">
            <wp:extent cx="4495165" cy="2659380"/>
            <wp:effectExtent l="5080" t="4445" r="10795" b="18415"/>
            <wp:docPr id="11"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8311E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p>
    <w:p w14:paraId="00D0FAA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653915" cy="2594610"/>
            <wp:effectExtent l="4445" t="4445" r="5080" b="6985"/>
            <wp:docPr id="12"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8DFDFB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趋势：盐度升高导致溶解度降低（盐析效应），但变化幅度较小。  </w:t>
      </w:r>
    </w:p>
    <w:p w14:paraId="2FC5D9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敏感性：Ne 的溶解度对盐度最敏感（从 8.68 降至 6.55 nmol/kg，降幅 24.5%），其次是 Ar（降幅 23.8%），N₂ 最小（降幅 9.5%）。  </w:t>
      </w:r>
    </w:p>
    <w:p w14:paraId="5E84AD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p>
    <w:p w14:paraId="3C17FD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p>
    <w:p w14:paraId="3C9489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p>
    <w:p w14:paraId="2E6816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规律总结  </w:t>
      </w:r>
    </w:p>
    <w:p w14:paraId="0C2D90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eastAsia" w:ascii="Times New Roman" w:hAnsi="Times New Roman" w:eastAsia="宋体" w:cs="Times New Roman"/>
          <w:lang w:val="en-US" w:eastAsia="zh-CN"/>
        </w:rPr>
        <w:t>(</w:t>
      </w:r>
      <w:r>
        <w:rPr>
          <w:rFonts w:hint="default" w:ascii="Times New Roman" w:hAnsi="Times New Roman" w:eastAsia="宋体" w:cs="Times New Roman"/>
        </w:rPr>
        <w:t>1</w:t>
      </w:r>
      <w:r>
        <w:rPr>
          <w:rFonts w:hint="eastAsia" w:ascii="Times New Roman" w:hAnsi="Times New Roman" w:eastAsia="宋体" w:cs="Times New Roman"/>
          <w:lang w:val="en-US" w:eastAsia="zh-CN"/>
        </w:rPr>
        <w:t>)</w:t>
      </w:r>
      <w:r>
        <w:rPr>
          <w:rFonts w:hint="default" w:ascii="Times New Roman" w:hAnsi="Times New Roman" w:eastAsia="宋体" w:cs="Times New Roman"/>
        </w:rPr>
        <w:t xml:space="preserve">. 温度影响：  </w:t>
      </w:r>
    </w:p>
    <w:p w14:paraId="0F68D7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所有气体溶解度均随温度升高而下降，符合气体溶解度与温度负相关的规律。  </w:t>
      </w:r>
    </w:p>
    <w:p w14:paraId="55522A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N₂ 对温度最敏感，其次是 Ar 和 Ne。  </w:t>
      </w:r>
    </w:p>
    <w:p w14:paraId="6E4E10A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p>
    <w:p w14:paraId="25F16F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eastAsia" w:ascii="Times New Roman" w:hAnsi="Times New Roman" w:eastAsia="宋体" w:cs="Times New Roman"/>
          <w:lang w:val="en-US" w:eastAsia="zh-CN"/>
        </w:rPr>
        <w:t>(</w:t>
      </w:r>
      <w:r>
        <w:rPr>
          <w:rFonts w:hint="default" w:ascii="Times New Roman" w:hAnsi="Times New Roman" w:eastAsia="宋体" w:cs="Times New Roman"/>
        </w:rPr>
        <w:t>2</w:t>
      </w:r>
      <w:r>
        <w:rPr>
          <w:rFonts w:hint="eastAsia" w:ascii="Times New Roman" w:hAnsi="Times New Roman" w:eastAsia="宋体" w:cs="Times New Roman"/>
          <w:lang w:val="en-US" w:eastAsia="zh-CN"/>
        </w:rPr>
        <w:t>)</w:t>
      </w:r>
      <w:r>
        <w:rPr>
          <w:rFonts w:hint="default" w:ascii="Times New Roman" w:hAnsi="Times New Roman" w:eastAsia="宋体" w:cs="Times New Roman"/>
        </w:rPr>
        <w:t xml:space="preserve">. 盐度影响：  </w:t>
      </w:r>
    </w:p>
    <w:p w14:paraId="564B296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盐析效应显著，但盐度变化对溶解度的整体影响较小（尤其是 N₂）。  </w:t>
      </w:r>
    </w:p>
    <w:p w14:paraId="731A0D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Ne 和 Ar 对盐度更敏感，而 N₂ 的溶解度受盐度影响较弱。  </w:t>
      </w:r>
    </w:p>
    <w:p w14:paraId="4ED869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p>
    <w:p w14:paraId="3DAC55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eastAsia" w:ascii="Times New Roman" w:hAnsi="Times New Roman" w:eastAsia="宋体" w:cs="Times New Roman"/>
          <w:lang w:val="en-US" w:eastAsia="zh-CN"/>
        </w:rPr>
        <w:t>(</w:t>
      </w:r>
      <w:r>
        <w:rPr>
          <w:rFonts w:hint="default" w:ascii="Times New Roman" w:hAnsi="Times New Roman" w:eastAsia="宋体" w:cs="Times New Roman"/>
        </w:rPr>
        <w:t>3</w:t>
      </w:r>
      <w:r>
        <w:rPr>
          <w:rFonts w:hint="eastAsia" w:ascii="Times New Roman" w:hAnsi="Times New Roman" w:eastAsia="宋体" w:cs="Times New Roman"/>
          <w:lang w:val="en-US" w:eastAsia="zh-CN"/>
        </w:rPr>
        <w:t>)</w:t>
      </w:r>
      <w:r>
        <w:rPr>
          <w:rFonts w:hint="default" w:ascii="Times New Roman" w:hAnsi="Times New Roman" w:eastAsia="宋体" w:cs="Times New Roman"/>
        </w:rPr>
        <w:t xml:space="preserve">. 气体差异：  </w:t>
      </w:r>
    </w:p>
    <w:p w14:paraId="6AA55DA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N₂：高溶解度但温度敏感性最强，盐度影响最小。  </w:t>
      </w:r>
    </w:p>
    <w:p w14:paraId="0CDA0A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Ar：中等溶解度，温度和盐度敏感性居中。  </w:t>
      </w:r>
    </w:p>
    <w:p w14:paraId="6CA453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    Ne：低溶解度，但对盐度变化最敏感。  </w:t>
      </w:r>
    </w:p>
    <w:p w14:paraId="181EA64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p>
    <w:p w14:paraId="6B36984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eastAsia="zh-CN"/>
        </w:rPr>
      </w:pPr>
    </w:p>
    <w:p w14:paraId="261C67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p>
    <w:p w14:paraId="420CC9B1">
      <w:pPr>
        <w:pStyle w:val="11"/>
        <w:keepNext w:val="0"/>
        <w:keepLines w:val="0"/>
        <w:pageBreakBefore w:val="0"/>
        <w:numPr>
          <w:ilvl w:val="0"/>
          <w:numId w:val="0"/>
        </w:numPr>
        <w:kinsoku/>
        <w:wordWrap/>
        <w:overflowPunct/>
        <w:topLinePunct w:val="0"/>
        <w:autoSpaceDE/>
        <w:autoSpaceDN/>
        <w:bidi w:val="0"/>
        <w:adjustRightInd/>
        <w:snapToGrid/>
        <w:spacing w:line="360" w:lineRule="auto"/>
        <w:ind w:left="360" w:leftChars="0"/>
        <w:contextualSpacing w:val="0"/>
        <w:textAlignment w:val="auto"/>
        <w:rPr>
          <w:sz w:val="24"/>
        </w:rPr>
      </w:pPr>
    </w:p>
    <w:p w14:paraId="21417455">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rFonts w:ascii="Times New Roman" w:hAnsi="Times New Roman" w:cs="Times New Roman"/>
          <w:sz w:val="24"/>
        </w:rPr>
      </w:pPr>
      <w:r>
        <w:rPr>
          <w:rFonts w:ascii="Times New Roman" w:hAnsi="Times New Roman" w:cs="Times New Roman"/>
          <w:sz w:val="24"/>
        </w:rPr>
        <w:t>Hamme, R. C. &amp; S. R. Emerson (2004) The solubility of neon, nitrogen and argon in distilled water and seawater. Deep-Sea Research Part I-Oceanographic Research Papers, 51, 1517-1528.</w:t>
      </w:r>
    </w:p>
    <w:p w14:paraId="671898C6">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sz w:val="24"/>
        </w:rPr>
      </w:pPr>
    </w:p>
    <w:p w14:paraId="35A9D11A">
      <w:pPr>
        <w:pStyle w:val="11"/>
        <w:keepNext w:val="0"/>
        <w:keepLines w:val="0"/>
        <w:pageBreakBefore w:val="0"/>
        <w:numPr>
          <w:ilvl w:val="0"/>
          <w:numId w:val="1"/>
        </w:numPr>
        <w:kinsoku/>
        <w:wordWrap/>
        <w:overflowPunct/>
        <w:topLinePunct w:val="0"/>
        <w:autoSpaceDE/>
        <w:autoSpaceDN/>
        <w:bidi w:val="0"/>
        <w:adjustRightInd/>
        <w:snapToGrid/>
        <w:spacing w:line="360" w:lineRule="auto"/>
        <w:contextualSpacing w:val="0"/>
        <w:textAlignment w:val="auto"/>
        <w:rPr>
          <w:sz w:val="24"/>
        </w:rPr>
      </w:pPr>
      <w:r>
        <w:rPr>
          <w:rFonts w:hint="eastAsia"/>
          <w:sz w:val="24"/>
        </w:rPr>
        <w:t>在海气交换的薄膜模型中，如何计算气体交换通量？影响气体交换速率的主要因素是什么？</w:t>
      </w:r>
    </w:p>
    <w:p w14:paraId="5D58276E">
      <w:pPr>
        <w:pStyle w:val="11"/>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16" w:firstLineChars="0"/>
        <w:contextualSpacing w:val="0"/>
        <w:textAlignment w:val="auto"/>
        <w:rPr>
          <w:rFonts w:hint="eastAsia"/>
          <w:sz w:val="21"/>
          <w:szCs w:val="21"/>
        </w:rPr>
      </w:pPr>
      <w:r>
        <w:rPr>
          <w:rFonts w:hint="eastAsia"/>
          <w:sz w:val="21"/>
          <w:szCs w:val="21"/>
        </w:rPr>
        <w:t>在薄膜模型中，气体交换通量（(F)，单位：mol·m⁻²·s⁻¹）由以下公式计算：</w:t>
      </w:r>
    </w:p>
    <w:p w14:paraId="641A41A7">
      <w:pPr>
        <w:pStyle w:val="11"/>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16" w:firstLineChars="0"/>
        <w:contextualSpacing w:val="0"/>
        <w:textAlignment w:val="auto"/>
        <w:rPr>
          <w:rFonts w:hint="eastAsia"/>
          <w:sz w:val="21"/>
          <w:szCs w:val="21"/>
        </w:rPr>
      </w:pPr>
      <w:r>
        <w:rPr>
          <w:rFonts w:hint="eastAsia" w:eastAsiaTheme="minorEastAsia"/>
          <w:sz w:val="21"/>
          <w:szCs w:val="21"/>
          <w:lang w:eastAsia="zh-CN"/>
        </w:rPr>
        <w:drawing>
          <wp:anchor distT="0" distB="0" distL="114300" distR="114300" simplePos="0" relativeHeight="251659264" behindDoc="1" locked="0" layoutInCell="1" allowOverlap="1">
            <wp:simplePos x="0" y="0"/>
            <wp:positionH relativeFrom="column">
              <wp:posOffset>2007235</wp:posOffset>
            </wp:positionH>
            <wp:positionV relativeFrom="paragraph">
              <wp:posOffset>93345</wp:posOffset>
            </wp:positionV>
            <wp:extent cx="1400175" cy="184150"/>
            <wp:effectExtent l="0" t="0" r="1905" b="13970"/>
            <wp:wrapTight wrapText="bothSides">
              <wp:wrapPolygon>
                <wp:start x="0" y="0"/>
                <wp:lineTo x="0" y="19663"/>
                <wp:lineTo x="21394" y="19663"/>
                <wp:lineTo x="21394" y="0"/>
                <wp:lineTo x="0" y="0"/>
              </wp:wrapPolygon>
            </wp:wrapTight>
            <wp:docPr id="4" name="图片 4" descr="QianJianTec1744542744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ianJianTec1744542744283"/>
                    <pic:cNvPicPr>
                      <a:picLocks noChangeAspect="1"/>
                    </pic:cNvPicPr>
                  </pic:nvPicPr>
                  <pic:blipFill>
                    <a:blip r:embed="rId12"/>
                    <a:stretch>
                      <a:fillRect/>
                    </a:stretch>
                  </pic:blipFill>
                  <pic:spPr>
                    <a:xfrm>
                      <a:off x="0" y="0"/>
                      <a:ext cx="1400175" cy="184150"/>
                    </a:xfrm>
                    <a:prstGeom prst="rect">
                      <a:avLst/>
                    </a:prstGeom>
                  </pic:spPr>
                </pic:pic>
              </a:graphicData>
            </a:graphic>
          </wp:anchor>
        </w:drawing>
      </w:r>
    </w:p>
    <w:p w14:paraId="1026351A">
      <w:pPr>
        <w:pStyle w:val="11"/>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16" w:firstLineChars="0"/>
        <w:contextualSpacing w:val="0"/>
        <w:textAlignment w:val="auto"/>
        <w:rPr>
          <w:rFonts w:hint="eastAsia"/>
          <w:sz w:val="21"/>
          <w:szCs w:val="21"/>
        </w:rPr>
      </w:pPr>
    </w:p>
    <w:p w14:paraId="423627DF">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rFonts w:hint="eastAsia" w:eastAsiaTheme="minorEastAsia"/>
          <w:sz w:val="21"/>
          <w:szCs w:val="21"/>
          <w:lang w:eastAsia="zh-CN"/>
        </w:rPr>
      </w:pPr>
      <w:r>
        <w:rPr>
          <w:rFonts w:hint="eastAsia" w:eastAsiaTheme="minorEastAsia"/>
          <w:sz w:val="21"/>
          <w:szCs w:val="21"/>
          <w:lang w:eastAsia="zh-CN"/>
        </w:rPr>
        <w:t>k：气体交换速率常数（也称活塞速度，单位：m/s），</w:t>
      </w:r>
    </w:p>
    <w:p w14:paraId="5BDF054C">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rFonts w:hint="eastAsia" w:eastAsiaTheme="minorEastAsia"/>
          <w:sz w:val="21"/>
          <w:szCs w:val="21"/>
          <w:lang w:eastAsia="zh-CN"/>
        </w:rPr>
      </w:pPr>
      <w:r>
        <w:rPr>
          <w:rFonts w:hint="eastAsia" w:eastAsiaTheme="minorEastAsia"/>
          <w:sz w:val="21"/>
          <w:szCs w:val="21"/>
          <w:lang w:eastAsia="zh-CN"/>
        </w:rPr>
        <w:t>C</w:t>
      </w:r>
      <w:r>
        <w:rPr>
          <w:rFonts w:hint="eastAsia"/>
          <w:sz w:val="21"/>
          <w:szCs w:val="21"/>
          <w:lang w:val="en-US" w:eastAsia="zh-CN"/>
        </w:rPr>
        <w:t>w</w:t>
      </w:r>
      <w:r>
        <w:rPr>
          <w:rFonts w:hint="eastAsia" w:eastAsiaTheme="minorEastAsia"/>
          <w:sz w:val="21"/>
          <w:szCs w:val="21"/>
          <w:lang w:eastAsia="zh-CN"/>
        </w:rPr>
        <w:t>：水体中气体的实际浓度（mol/m³）。</w:t>
      </w:r>
    </w:p>
    <w:p w14:paraId="5B55314F">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rFonts w:hint="eastAsia" w:eastAsiaTheme="minorEastAsia"/>
          <w:sz w:val="21"/>
          <w:szCs w:val="21"/>
          <w:lang w:eastAsia="zh-CN"/>
        </w:rPr>
      </w:pPr>
      <w:r>
        <w:rPr>
          <w:rFonts w:hint="eastAsia" w:eastAsiaTheme="minorEastAsia"/>
          <w:sz w:val="21"/>
          <w:szCs w:val="21"/>
          <w:lang w:eastAsia="zh-CN"/>
        </w:rPr>
        <w:t>C</w:t>
      </w:r>
      <w:r>
        <w:rPr>
          <w:rFonts w:hint="eastAsia"/>
          <w:sz w:val="21"/>
          <w:szCs w:val="21"/>
          <w:lang w:val="en-US" w:eastAsia="zh-CN"/>
        </w:rPr>
        <w:t>eq</w:t>
      </w:r>
      <w:r>
        <w:rPr>
          <w:rFonts w:hint="eastAsia" w:eastAsiaTheme="minorEastAsia"/>
          <w:sz w:val="21"/>
          <w:szCs w:val="21"/>
          <w:lang w:eastAsia="zh-CN"/>
        </w:rPr>
        <w:t>：水体中气体的平衡浓度（由亨利定律计算，与大气分压、温度、盐度有关）。</w:t>
      </w:r>
    </w:p>
    <w:p w14:paraId="11E50957">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rFonts w:hint="eastAsia" w:eastAsiaTheme="minorEastAsia"/>
          <w:sz w:val="21"/>
          <w:szCs w:val="21"/>
          <w:lang w:eastAsia="zh-CN"/>
        </w:rPr>
      </w:pPr>
    </w:p>
    <w:p w14:paraId="747BA2AD">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rFonts w:hint="eastAsia" w:eastAsiaTheme="minorEastAsia"/>
          <w:sz w:val="21"/>
          <w:szCs w:val="21"/>
          <w:lang w:eastAsia="zh-CN"/>
        </w:rPr>
      </w:pPr>
      <w:r>
        <w:rPr>
          <w:rFonts w:hint="eastAsia" w:eastAsiaTheme="minorEastAsia"/>
          <w:sz w:val="21"/>
          <w:szCs w:val="21"/>
          <w:lang w:eastAsia="zh-CN"/>
        </w:rPr>
        <w:t>影响气体交换速率的主要因素</w:t>
      </w:r>
      <w:r>
        <w:rPr>
          <w:rFonts w:hint="eastAsia"/>
          <w:sz w:val="21"/>
          <w:szCs w:val="21"/>
          <w:lang w:eastAsia="zh-CN"/>
        </w:rPr>
        <w:t>：</w:t>
      </w:r>
    </w:p>
    <w:p w14:paraId="3AED18BB">
      <w:pPr>
        <w:pStyle w:val="11"/>
        <w:keepNext w:val="0"/>
        <w:keepLines w:val="0"/>
        <w:pageBreakBefore w:val="0"/>
        <w:kinsoku/>
        <w:wordWrap/>
        <w:overflowPunct/>
        <w:topLinePunct w:val="0"/>
        <w:autoSpaceDE/>
        <w:autoSpaceDN/>
        <w:bidi w:val="0"/>
        <w:adjustRightInd/>
        <w:snapToGrid/>
        <w:spacing w:line="360" w:lineRule="auto"/>
        <w:ind w:firstLine="417" w:firstLineChars="0"/>
        <w:contextualSpacing w:val="0"/>
        <w:textAlignment w:val="auto"/>
        <w:rPr>
          <w:rFonts w:hint="eastAsia" w:eastAsiaTheme="minorEastAsia"/>
          <w:sz w:val="21"/>
          <w:szCs w:val="21"/>
          <w:lang w:eastAsia="zh-CN"/>
        </w:rPr>
      </w:pPr>
      <w:r>
        <w:rPr>
          <w:rFonts w:hint="eastAsia"/>
          <w:sz w:val="21"/>
          <w:szCs w:val="21"/>
          <w:lang w:val="en-US" w:eastAsia="zh-CN"/>
        </w:rPr>
        <w:t>(1)</w:t>
      </w:r>
      <w:r>
        <w:rPr>
          <w:rFonts w:hint="eastAsia" w:eastAsiaTheme="minorEastAsia"/>
          <w:sz w:val="21"/>
          <w:szCs w:val="21"/>
          <w:lang w:eastAsia="zh-CN"/>
        </w:rPr>
        <w:t>风速</w:t>
      </w:r>
      <w:r>
        <w:rPr>
          <w:rFonts w:hint="eastAsia"/>
          <w:sz w:val="21"/>
          <w:szCs w:val="21"/>
          <w:lang w:val="en-US" w:eastAsia="zh-CN"/>
        </w:rPr>
        <w:t>:</w:t>
      </w:r>
    </w:p>
    <w:p w14:paraId="0825DE72">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rFonts w:hint="eastAsia" w:eastAsiaTheme="minorEastAsia"/>
          <w:sz w:val="21"/>
          <w:szCs w:val="21"/>
          <w:lang w:eastAsia="zh-CN"/>
        </w:rPr>
      </w:pPr>
      <w:r>
        <w:rPr>
          <w:rFonts w:hint="eastAsia" w:eastAsiaTheme="minorEastAsia"/>
          <w:sz w:val="21"/>
          <w:szCs w:val="21"/>
          <w:lang w:eastAsia="zh-CN"/>
        </w:rPr>
        <w:t>作用机制：风通过产生波浪和湍流减小薄膜厚度，从而直接增大k。</w:t>
      </w:r>
    </w:p>
    <w:p w14:paraId="1D4326F1">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rFonts w:hint="eastAsia" w:eastAsiaTheme="minorEastAsia"/>
          <w:sz w:val="21"/>
          <w:szCs w:val="21"/>
          <w:lang w:eastAsia="zh-CN"/>
        </w:rPr>
      </w:pPr>
      <w:r>
        <w:rPr>
          <w:rFonts w:hint="eastAsia" w:eastAsiaTheme="minorEastAsia"/>
          <w:sz w:val="21"/>
          <w:szCs w:val="21"/>
          <w:lang w:eastAsia="zh-CN"/>
        </w:rPr>
        <w:t>典型关系：k与风速的平方或立方近似成正比（如Liss和Merlivat公式）。</w:t>
      </w:r>
    </w:p>
    <w:p w14:paraId="6015A7CD">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rFonts w:hint="eastAsia" w:eastAsiaTheme="minorEastAsia"/>
          <w:sz w:val="21"/>
          <w:szCs w:val="21"/>
          <w:lang w:eastAsia="zh-CN"/>
        </w:rPr>
      </w:pPr>
    </w:p>
    <w:p w14:paraId="0399A0D7">
      <w:pPr>
        <w:pStyle w:val="11"/>
        <w:keepNext w:val="0"/>
        <w:keepLines w:val="0"/>
        <w:pageBreakBefore w:val="0"/>
        <w:kinsoku/>
        <w:wordWrap/>
        <w:overflowPunct/>
        <w:topLinePunct w:val="0"/>
        <w:autoSpaceDE/>
        <w:autoSpaceDN/>
        <w:bidi w:val="0"/>
        <w:adjustRightInd/>
        <w:snapToGrid/>
        <w:spacing w:line="360" w:lineRule="auto"/>
        <w:ind w:firstLine="417" w:firstLineChars="0"/>
        <w:contextualSpacing w:val="0"/>
        <w:textAlignment w:val="auto"/>
        <w:rPr>
          <w:rFonts w:hint="eastAsia" w:eastAsiaTheme="minorEastAsia"/>
          <w:sz w:val="21"/>
          <w:szCs w:val="21"/>
          <w:lang w:eastAsia="zh-CN"/>
        </w:rPr>
      </w:pPr>
      <w:r>
        <w:rPr>
          <w:rFonts w:hint="eastAsia"/>
          <w:sz w:val="21"/>
          <w:szCs w:val="21"/>
          <w:lang w:val="en-US" w:eastAsia="zh-CN"/>
        </w:rPr>
        <w:t>(2)</w:t>
      </w:r>
      <w:r>
        <w:rPr>
          <w:rFonts w:hint="eastAsia" w:eastAsiaTheme="minorEastAsia"/>
          <w:sz w:val="21"/>
          <w:szCs w:val="21"/>
          <w:lang w:eastAsia="zh-CN"/>
        </w:rPr>
        <w:t>温度</w:t>
      </w:r>
    </w:p>
    <w:p w14:paraId="4857E2E0">
      <w:pPr>
        <w:pStyle w:val="11"/>
        <w:keepNext w:val="0"/>
        <w:keepLines w:val="0"/>
        <w:pageBreakBefore w:val="0"/>
        <w:kinsoku/>
        <w:wordWrap/>
        <w:overflowPunct/>
        <w:topLinePunct w:val="0"/>
        <w:autoSpaceDE/>
        <w:autoSpaceDN/>
        <w:bidi w:val="0"/>
        <w:adjustRightInd/>
        <w:snapToGrid/>
        <w:spacing w:line="360" w:lineRule="auto"/>
        <w:ind w:firstLine="417" w:firstLineChars="0"/>
        <w:contextualSpacing w:val="0"/>
        <w:textAlignment w:val="auto"/>
        <w:rPr>
          <w:rFonts w:hint="eastAsia" w:eastAsiaTheme="minorEastAsia"/>
          <w:sz w:val="21"/>
          <w:szCs w:val="21"/>
          <w:lang w:eastAsia="zh-CN"/>
        </w:rPr>
      </w:pPr>
      <w:r>
        <w:rPr>
          <w:rFonts w:hint="eastAsia" w:eastAsiaTheme="minorEastAsia"/>
          <w:sz w:val="21"/>
          <w:szCs w:val="21"/>
          <w:lang w:eastAsia="zh-CN"/>
        </w:rPr>
        <w:t>扩散系数：温度升高会增大分子扩散系数（(D \propto T)），但低温可能通过增加溶解度间接影响浓度梯度。</w:t>
      </w:r>
    </w:p>
    <w:p w14:paraId="5D6594F6">
      <w:pPr>
        <w:pStyle w:val="11"/>
        <w:keepNext w:val="0"/>
        <w:keepLines w:val="0"/>
        <w:pageBreakBefore w:val="0"/>
        <w:kinsoku/>
        <w:wordWrap/>
        <w:overflowPunct/>
        <w:topLinePunct w:val="0"/>
        <w:autoSpaceDE/>
        <w:autoSpaceDN/>
        <w:bidi w:val="0"/>
        <w:adjustRightInd/>
        <w:snapToGrid/>
        <w:spacing w:line="360" w:lineRule="auto"/>
        <w:ind w:firstLine="417" w:firstLineChars="0"/>
        <w:contextualSpacing w:val="0"/>
        <w:textAlignment w:val="auto"/>
        <w:rPr>
          <w:rFonts w:hint="eastAsia" w:eastAsiaTheme="minorEastAsia"/>
          <w:sz w:val="21"/>
          <w:szCs w:val="21"/>
          <w:lang w:eastAsia="zh-CN"/>
        </w:rPr>
      </w:pPr>
      <w:r>
        <w:rPr>
          <w:rFonts w:hint="eastAsia" w:eastAsiaTheme="minorEastAsia"/>
          <w:sz w:val="21"/>
          <w:szCs w:val="21"/>
          <w:lang w:eastAsia="zh-CN"/>
        </w:rPr>
        <w:t>薄膜厚度：温度通过改变海水粘滞性间接影响湍流强度，但主要作用仍以风速为主导。</w:t>
      </w:r>
    </w:p>
    <w:p w14:paraId="0A401F2F">
      <w:pPr>
        <w:pStyle w:val="11"/>
        <w:keepNext w:val="0"/>
        <w:keepLines w:val="0"/>
        <w:pageBreakBefore w:val="0"/>
        <w:kinsoku/>
        <w:wordWrap/>
        <w:overflowPunct/>
        <w:topLinePunct w:val="0"/>
        <w:autoSpaceDE/>
        <w:autoSpaceDN/>
        <w:bidi w:val="0"/>
        <w:adjustRightInd/>
        <w:snapToGrid/>
        <w:spacing w:line="360" w:lineRule="auto"/>
        <w:ind w:firstLine="417" w:firstLineChars="0"/>
        <w:contextualSpacing w:val="0"/>
        <w:textAlignment w:val="auto"/>
        <w:rPr>
          <w:rFonts w:hint="eastAsia" w:eastAsiaTheme="minorEastAsia"/>
          <w:sz w:val="21"/>
          <w:szCs w:val="21"/>
          <w:lang w:eastAsia="zh-CN"/>
        </w:rPr>
      </w:pPr>
      <w:r>
        <w:rPr>
          <w:rFonts w:hint="eastAsia"/>
          <w:sz w:val="21"/>
          <w:szCs w:val="21"/>
          <w:lang w:val="en-US" w:eastAsia="zh-CN"/>
        </w:rPr>
        <w:t>(3)</w:t>
      </w:r>
      <w:r>
        <w:rPr>
          <w:rFonts w:hint="eastAsia" w:eastAsiaTheme="minorEastAsia"/>
          <w:sz w:val="21"/>
          <w:szCs w:val="21"/>
          <w:lang w:eastAsia="zh-CN"/>
        </w:rPr>
        <w:t>气体性质</w:t>
      </w:r>
    </w:p>
    <w:p w14:paraId="35F9B62B">
      <w:pPr>
        <w:pStyle w:val="11"/>
        <w:keepNext w:val="0"/>
        <w:keepLines w:val="0"/>
        <w:pageBreakBefore w:val="0"/>
        <w:kinsoku/>
        <w:wordWrap/>
        <w:overflowPunct/>
        <w:topLinePunct w:val="0"/>
        <w:autoSpaceDE/>
        <w:autoSpaceDN/>
        <w:bidi w:val="0"/>
        <w:adjustRightInd/>
        <w:snapToGrid/>
        <w:spacing w:line="360" w:lineRule="auto"/>
        <w:ind w:firstLine="417" w:firstLineChars="0"/>
        <w:contextualSpacing w:val="0"/>
        <w:textAlignment w:val="auto"/>
        <w:rPr>
          <w:rFonts w:hint="eastAsia" w:eastAsiaTheme="minorEastAsia"/>
          <w:sz w:val="21"/>
          <w:szCs w:val="21"/>
          <w:lang w:eastAsia="zh-CN"/>
        </w:rPr>
      </w:pPr>
      <w:r>
        <w:rPr>
          <w:rFonts w:hint="eastAsia" w:eastAsiaTheme="minorEastAsia"/>
          <w:sz w:val="21"/>
          <w:szCs w:val="21"/>
          <w:lang w:eastAsia="zh-CN"/>
        </w:rPr>
        <w:t>分子量与扩散能力：轻气体（如CO₂）扩散系数较大，而重气体（如SF₆）扩散较慢。</w:t>
      </w:r>
    </w:p>
    <w:p w14:paraId="47E86327">
      <w:pPr>
        <w:pStyle w:val="11"/>
        <w:keepNext w:val="0"/>
        <w:keepLines w:val="0"/>
        <w:pageBreakBefore w:val="0"/>
        <w:kinsoku/>
        <w:wordWrap/>
        <w:overflowPunct/>
        <w:topLinePunct w:val="0"/>
        <w:autoSpaceDE/>
        <w:autoSpaceDN/>
        <w:bidi w:val="0"/>
        <w:adjustRightInd/>
        <w:snapToGrid/>
        <w:spacing w:line="360" w:lineRule="auto"/>
        <w:ind w:firstLine="417" w:firstLineChars="0"/>
        <w:contextualSpacing w:val="0"/>
        <w:textAlignment w:val="auto"/>
        <w:rPr>
          <w:rFonts w:hint="eastAsia" w:eastAsiaTheme="minorEastAsia"/>
          <w:sz w:val="21"/>
          <w:szCs w:val="21"/>
          <w:lang w:eastAsia="zh-CN"/>
        </w:rPr>
      </w:pPr>
      <w:r>
        <w:rPr>
          <w:rFonts w:hint="eastAsia" w:eastAsiaTheme="minorEastAsia"/>
          <w:sz w:val="21"/>
          <w:szCs w:val="21"/>
          <w:lang w:eastAsia="zh-CN"/>
        </w:rPr>
        <w:t>化学反应活性：活性气体（如CO₂）因水合作用或离子反应，可能形成浓度梯度“缓冲”，需采用有效溶解度修正。</w:t>
      </w:r>
    </w:p>
    <w:p w14:paraId="050B18CE">
      <w:pPr>
        <w:pStyle w:val="11"/>
        <w:keepNext w:val="0"/>
        <w:keepLines w:val="0"/>
        <w:pageBreakBefore w:val="0"/>
        <w:kinsoku/>
        <w:wordWrap/>
        <w:overflowPunct/>
        <w:topLinePunct w:val="0"/>
        <w:autoSpaceDE/>
        <w:autoSpaceDN/>
        <w:bidi w:val="0"/>
        <w:adjustRightInd/>
        <w:snapToGrid/>
        <w:spacing w:line="360" w:lineRule="auto"/>
        <w:ind w:firstLine="417" w:firstLineChars="0"/>
        <w:contextualSpacing w:val="0"/>
        <w:textAlignment w:val="auto"/>
        <w:rPr>
          <w:rFonts w:hint="eastAsia" w:eastAsiaTheme="minorEastAsia"/>
          <w:sz w:val="21"/>
          <w:szCs w:val="21"/>
          <w:lang w:eastAsia="zh-CN"/>
        </w:rPr>
      </w:pPr>
      <w:r>
        <w:rPr>
          <w:rFonts w:hint="eastAsia"/>
          <w:sz w:val="21"/>
          <w:szCs w:val="21"/>
          <w:lang w:val="en-US" w:eastAsia="zh-CN"/>
        </w:rPr>
        <w:t>(4)</w:t>
      </w:r>
      <w:r>
        <w:rPr>
          <w:rFonts w:hint="eastAsia" w:eastAsiaTheme="minorEastAsia"/>
          <w:sz w:val="21"/>
          <w:szCs w:val="21"/>
          <w:lang w:eastAsia="zh-CN"/>
        </w:rPr>
        <w:t>盐度</w:t>
      </w:r>
    </w:p>
    <w:p w14:paraId="7777029A">
      <w:pPr>
        <w:pStyle w:val="11"/>
        <w:keepNext w:val="0"/>
        <w:keepLines w:val="0"/>
        <w:pageBreakBefore w:val="0"/>
        <w:kinsoku/>
        <w:wordWrap/>
        <w:overflowPunct/>
        <w:topLinePunct w:val="0"/>
        <w:autoSpaceDE/>
        <w:autoSpaceDN/>
        <w:bidi w:val="0"/>
        <w:adjustRightInd/>
        <w:snapToGrid/>
        <w:spacing w:line="360" w:lineRule="auto"/>
        <w:ind w:firstLine="417" w:firstLineChars="0"/>
        <w:contextualSpacing w:val="0"/>
        <w:textAlignment w:val="auto"/>
        <w:rPr>
          <w:rFonts w:hint="eastAsia" w:eastAsiaTheme="minorEastAsia"/>
          <w:sz w:val="21"/>
          <w:szCs w:val="21"/>
          <w:lang w:eastAsia="zh-CN"/>
        </w:rPr>
      </w:pPr>
      <w:r>
        <w:rPr>
          <w:rFonts w:hint="eastAsia" w:eastAsiaTheme="minorEastAsia"/>
          <w:sz w:val="21"/>
          <w:szCs w:val="21"/>
          <w:lang w:eastAsia="zh-CN"/>
        </w:rPr>
        <w:t>盐效应：高盐度略微降低气体溶解度，但对扩散系数影响较小（盐度每增加1单位，(D)降低约2%）。</w:t>
      </w:r>
    </w:p>
    <w:p w14:paraId="0196E99B">
      <w:pPr>
        <w:pStyle w:val="11"/>
        <w:keepNext w:val="0"/>
        <w:keepLines w:val="0"/>
        <w:pageBreakBefore w:val="0"/>
        <w:numPr>
          <w:ilvl w:val="0"/>
          <w:numId w:val="1"/>
        </w:numPr>
        <w:kinsoku/>
        <w:wordWrap/>
        <w:overflowPunct/>
        <w:topLinePunct w:val="0"/>
        <w:autoSpaceDE/>
        <w:autoSpaceDN/>
        <w:bidi w:val="0"/>
        <w:adjustRightInd/>
        <w:snapToGrid/>
        <w:spacing w:line="360" w:lineRule="auto"/>
        <w:contextualSpacing w:val="0"/>
        <w:textAlignment w:val="auto"/>
        <w:rPr>
          <w:sz w:val="24"/>
        </w:rPr>
      </w:pPr>
      <w:r>
        <w:rPr>
          <w:rFonts w:hint="eastAsia"/>
          <w:sz w:val="24"/>
        </w:rPr>
        <w:t>活性气体和非活性气体的差异是什么？</w:t>
      </w:r>
    </w:p>
    <w:p w14:paraId="7987C83D">
      <w:pPr>
        <w:pStyle w:val="11"/>
        <w:keepNext w:val="0"/>
        <w:keepLines w:val="0"/>
        <w:pageBreakBefore w:val="0"/>
        <w:numPr>
          <w:ilvl w:val="0"/>
          <w:numId w:val="1"/>
        </w:numPr>
        <w:kinsoku/>
        <w:wordWrap/>
        <w:overflowPunct/>
        <w:topLinePunct w:val="0"/>
        <w:autoSpaceDE/>
        <w:autoSpaceDN/>
        <w:bidi w:val="0"/>
        <w:adjustRightInd/>
        <w:snapToGrid/>
        <w:spacing w:line="360" w:lineRule="auto"/>
        <w:contextualSpacing w:val="0"/>
        <w:textAlignment w:val="auto"/>
        <w:rPr>
          <w:sz w:val="24"/>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03"/>
        <w:gridCol w:w="3890"/>
        <w:gridCol w:w="3113"/>
      </w:tblGrid>
      <w:tr w14:paraId="068FA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shd w:val="clear" w:color="auto" w:fill="FFFFFF"/>
            <w:vAlign w:val="center"/>
          </w:tcPr>
          <w:p w14:paraId="67CE39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b/>
                <w:bCs/>
                <w:i w:val="0"/>
                <w:iCs w:val="0"/>
                <w:caps w:val="0"/>
                <w:color w:val="262626"/>
                <w:spacing w:val="0"/>
                <w:sz w:val="18"/>
                <w:szCs w:val="18"/>
              </w:rPr>
            </w:pPr>
            <w:r>
              <w:rPr>
                <w:rStyle w:val="8"/>
                <w:rFonts w:hint="eastAsia" w:ascii="宋体" w:hAnsi="宋体" w:eastAsia="宋体" w:cs="宋体"/>
                <w:i w:val="0"/>
                <w:iCs w:val="0"/>
                <w:caps w:val="0"/>
                <w:color w:val="262626"/>
                <w:spacing w:val="0"/>
                <w:kern w:val="0"/>
                <w:sz w:val="18"/>
                <w:szCs w:val="18"/>
                <w:lang w:val="en-US" w:eastAsia="zh-CN" w:bidi="ar"/>
              </w:rPr>
              <w:t>特征</w:t>
            </w:r>
          </w:p>
        </w:tc>
        <w:tc>
          <w:tcPr>
            <w:tcW w:w="0" w:type="auto"/>
            <w:shd w:val="clear" w:color="auto" w:fill="FFFFFF"/>
            <w:vAlign w:val="center"/>
          </w:tcPr>
          <w:p w14:paraId="61AACA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b/>
                <w:bCs/>
                <w:i w:val="0"/>
                <w:iCs w:val="0"/>
                <w:caps w:val="0"/>
                <w:color w:val="262626"/>
                <w:spacing w:val="0"/>
                <w:sz w:val="18"/>
                <w:szCs w:val="18"/>
              </w:rPr>
            </w:pPr>
            <w:r>
              <w:rPr>
                <w:rStyle w:val="8"/>
                <w:rFonts w:hint="eastAsia" w:ascii="宋体" w:hAnsi="宋体" w:eastAsia="宋体" w:cs="宋体"/>
                <w:i w:val="0"/>
                <w:iCs w:val="0"/>
                <w:caps w:val="0"/>
                <w:color w:val="262626"/>
                <w:spacing w:val="0"/>
                <w:kern w:val="0"/>
                <w:sz w:val="18"/>
                <w:szCs w:val="18"/>
                <w:lang w:val="en-US" w:eastAsia="zh-CN" w:bidi="ar"/>
              </w:rPr>
              <w:t>活性气体（如CO₂、O₂）</w:t>
            </w:r>
          </w:p>
        </w:tc>
        <w:tc>
          <w:tcPr>
            <w:tcW w:w="0" w:type="auto"/>
            <w:shd w:val="clear" w:color="auto" w:fill="FFFFFF"/>
            <w:vAlign w:val="center"/>
          </w:tcPr>
          <w:p w14:paraId="12D7A3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b/>
                <w:bCs/>
                <w:i w:val="0"/>
                <w:iCs w:val="0"/>
                <w:caps w:val="0"/>
                <w:color w:val="262626"/>
                <w:spacing w:val="0"/>
                <w:sz w:val="18"/>
                <w:szCs w:val="18"/>
              </w:rPr>
            </w:pPr>
            <w:r>
              <w:rPr>
                <w:rStyle w:val="8"/>
                <w:rFonts w:hint="eastAsia" w:ascii="宋体" w:hAnsi="宋体" w:eastAsia="宋体" w:cs="宋体"/>
                <w:i w:val="0"/>
                <w:iCs w:val="0"/>
                <w:caps w:val="0"/>
                <w:color w:val="262626"/>
                <w:spacing w:val="0"/>
                <w:kern w:val="0"/>
                <w:sz w:val="18"/>
                <w:szCs w:val="18"/>
                <w:lang w:val="en-US" w:eastAsia="zh-CN" w:bidi="ar"/>
              </w:rPr>
              <w:t>非活性气体（如N₂、Ar）</w:t>
            </w:r>
          </w:p>
        </w:tc>
      </w:tr>
      <w:tr w14:paraId="1C2AB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shd w:val="clear" w:color="auto" w:fill="FFFFFF"/>
            <w:vAlign w:val="center"/>
          </w:tcPr>
          <w:p w14:paraId="0AA0FD0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宋体" w:hAnsi="宋体" w:eastAsia="宋体" w:cs="宋体"/>
                <w:i w:val="0"/>
                <w:iCs w:val="0"/>
                <w:caps w:val="0"/>
                <w:color w:val="262626"/>
                <w:spacing w:val="0"/>
                <w:sz w:val="18"/>
                <w:szCs w:val="18"/>
              </w:rPr>
            </w:pPr>
            <w:r>
              <w:rPr>
                <w:rStyle w:val="8"/>
                <w:rFonts w:hint="eastAsia" w:ascii="宋体" w:hAnsi="宋体" w:eastAsia="宋体" w:cs="宋体"/>
                <w:i w:val="0"/>
                <w:iCs w:val="0"/>
                <w:caps w:val="0"/>
                <w:color w:val="262626"/>
                <w:spacing w:val="0"/>
                <w:kern w:val="0"/>
                <w:sz w:val="18"/>
                <w:szCs w:val="18"/>
                <w:lang w:val="en-US" w:eastAsia="zh-CN" w:bidi="ar"/>
              </w:rPr>
              <w:t>化学/生物反应性</w:t>
            </w:r>
          </w:p>
        </w:tc>
        <w:tc>
          <w:tcPr>
            <w:tcW w:w="0" w:type="auto"/>
            <w:shd w:val="clear" w:color="auto" w:fill="FFFFFF"/>
            <w:vAlign w:val="center"/>
          </w:tcPr>
          <w:p w14:paraId="5E8B18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宋体" w:hAnsi="宋体" w:eastAsia="宋体" w:cs="宋体"/>
                <w:i w:val="0"/>
                <w:iCs w:val="0"/>
                <w:caps w:val="0"/>
                <w:color w:val="262626"/>
                <w:spacing w:val="0"/>
                <w:sz w:val="18"/>
                <w:szCs w:val="18"/>
              </w:rPr>
            </w:pPr>
            <w:r>
              <w:rPr>
                <w:rFonts w:hint="eastAsia" w:ascii="宋体" w:hAnsi="宋体" w:eastAsia="宋体" w:cs="宋体"/>
                <w:i w:val="0"/>
                <w:iCs w:val="0"/>
                <w:caps w:val="0"/>
                <w:color w:val="262626"/>
                <w:spacing w:val="0"/>
                <w:kern w:val="0"/>
                <w:sz w:val="18"/>
                <w:szCs w:val="18"/>
                <w:lang w:val="en-US" w:eastAsia="zh-CN" w:bidi="ar"/>
              </w:rPr>
              <w:t>参与生物（光合/呼吸）或化学过程（如碳酸平衡）</w:t>
            </w:r>
          </w:p>
        </w:tc>
        <w:tc>
          <w:tcPr>
            <w:tcW w:w="0" w:type="auto"/>
            <w:shd w:val="clear" w:color="auto" w:fill="FFFFFF"/>
            <w:vAlign w:val="center"/>
          </w:tcPr>
          <w:p w14:paraId="12A3DF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宋体" w:hAnsi="宋体" w:eastAsia="宋体" w:cs="宋体"/>
                <w:i w:val="0"/>
                <w:iCs w:val="0"/>
                <w:caps w:val="0"/>
                <w:color w:val="262626"/>
                <w:spacing w:val="0"/>
                <w:sz w:val="18"/>
                <w:szCs w:val="18"/>
              </w:rPr>
            </w:pPr>
            <w:r>
              <w:rPr>
                <w:rFonts w:hint="eastAsia" w:ascii="宋体" w:hAnsi="宋体" w:eastAsia="宋体" w:cs="宋体"/>
                <w:i w:val="0"/>
                <w:iCs w:val="0"/>
                <w:caps w:val="0"/>
                <w:color w:val="262626"/>
                <w:spacing w:val="0"/>
                <w:kern w:val="0"/>
                <w:sz w:val="18"/>
                <w:szCs w:val="18"/>
                <w:lang w:val="en-US" w:eastAsia="zh-CN" w:bidi="ar"/>
              </w:rPr>
              <w:t>惰性，无显著反应</w:t>
            </w:r>
          </w:p>
        </w:tc>
      </w:tr>
      <w:tr w14:paraId="2E996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shd w:val="clear" w:color="auto" w:fill="FFFFFF"/>
            <w:vAlign w:val="center"/>
          </w:tcPr>
          <w:p w14:paraId="2CE874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宋体" w:hAnsi="宋体" w:eastAsia="宋体" w:cs="宋体"/>
                <w:i w:val="0"/>
                <w:iCs w:val="0"/>
                <w:caps w:val="0"/>
                <w:color w:val="262626"/>
                <w:spacing w:val="0"/>
                <w:sz w:val="18"/>
                <w:szCs w:val="18"/>
              </w:rPr>
            </w:pPr>
            <w:r>
              <w:rPr>
                <w:rStyle w:val="8"/>
                <w:rFonts w:hint="eastAsia" w:ascii="宋体" w:hAnsi="宋体" w:eastAsia="宋体" w:cs="宋体"/>
                <w:i w:val="0"/>
                <w:iCs w:val="0"/>
                <w:caps w:val="0"/>
                <w:color w:val="262626"/>
                <w:spacing w:val="0"/>
                <w:kern w:val="0"/>
                <w:sz w:val="18"/>
                <w:szCs w:val="18"/>
                <w:lang w:val="en-US" w:eastAsia="zh-CN" w:bidi="ar"/>
              </w:rPr>
              <w:t>溶解度调控</w:t>
            </w:r>
          </w:p>
        </w:tc>
        <w:tc>
          <w:tcPr>
            <w:tcW w:w="0" w:type="auto"/>
            <w:shd w:val="clear" w:color="auto" w:fill="FFFFFF"/>
            <w:vAlign w:val="center"/>
          </w:tcPr>
          <w:p w14:paraId="6BA79A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宋体" w:hAnsi="宋体" w:eastAsia="宋体" w:cs="宋体"/>
                <w:i w:val="0"/>
                <w:iCs w:val="0"/>
                <w:caps w:val="0"/>
                <w:color w:val="262626"/>
                <w:spacing w:val="0"/>
                <w:sz w:val="18"/>
                <w:szCs w:val="18"/>
              </w:rPr>
            </w:pPr>
            <w:r>
              <w:rPr>
                <w:rFonts w:hint="eastAsia" w:ascii="宋体" w:hAnsi="宋体" w:eastAsia="宋体" w:cs="宋体"/>
                <w:i w:val="0"/>
                <w:iCs w:val="0"/>
                <w:caps w:val="0"/>
                <w:color w:val="262626"/>
                <w:spacing w:val="0"/>
                <w:kern w:val="0"/>
                <w:sz w:val="18"/>
                <w:szCs w:val="18"/>
                <w:lang w:val="en-US" w:eastAsia="zh-CN" w:bidi="ar"/>
              </w:rPr>
              <w:t>受生物活动强烈影响（如O₂的昼夜变化）</w:t>
            </w:r>
          </w:p>
        </w:tc>
        <w:tc>
          <w:tcPr>
            <w:tcW w:w="0" w:type="auto"/>
            <w:shd w:val="clear" w:color="auto" w:fill="FFFFFF"/>
            <w:vAlign w:val="center"/>
          </w:tcPr>
          <w:p w14:paraId="2CB6BF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宋体" w:hAnsi="宋体" w:eastAsia="宋体" w:cs="宋体"/>
                <w:i w:val="0"/>
                <w:iCs w:val="0"/>
                <w:caps w:val="0"/>
                <w:color w:val="262626"/>
                <w:spacing w:val="0"/>
                <w:sz w:val="18"/>
                <w:szCs w:val="18"/>
              </w:rPr>
            </w:pPr>
            <w:r>
              <w:rPr>
                <w:rFonts w:hint="eastAsia" w:ascii="宋体" w:hAnsi="宋体" w:eastAsia="宋体" w:cs="宋体"/>
                <w:i w:val="0"/>
                <w:iCs w:val="0"/>
                <w:caps w:val="0"/>
                <w:color w:val="262626"/>
                <w:spacing w:val="0"/>
                <w:kern w:val="0"/>
                <w:sz w:val="18"/>
                <w:szCs w:val="18"/>
                <w:lang w:val="en-US" w:eastAsia="zh-CN" w:bidi="ar"/>
              </w:rPr>
              <w:t>仅由物理过程（温度、盐度）决定</w:t>
            </w:r>
          </w:p>
        </w:tc>
      </w:tr>
      <w:tr w14:paraId="158F5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shd w:val="clear" w:color="auto" w:fill="FFFFFF"/>
            <w:vAlign w:val="center"/>
          </w:tcPr>
          <w:p w14:paraId="3CCD67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宋体" w:hAnsi="宋体" w:eastAsia="宋体" w:cs="宋体"/>
                <w:i w:val="0"/>
                <w:iCs w:val="0"/>
                <w:caps w:val="0"/>
                <w:color w:val="262626"/>
                <w:spacing w:val="0"/>
                <w:sz w:val="18"/>
                <w:szCs w:val="18"/>
              </w:rPr>
            </w:pPr>
            <w:r>
              <w:rPr>
                <w:rStyle w:val="8"/>
                <w:rFonts w:hint="eastAsia" w:ascii="宋体" w:hAnsi="宋体" w:eastAsia="宋体" w:cs="宋体"/>
                <w:i w:val="0"/>
                <w:iCs w:val="0"/>
                <w:caps w:val="0"/>
                <w:color w:val="262626"/>
                <w:spacing w:val="0"/>
                <w:kern w:val="0"/>
                <w:sz w:val="18"/>
                <w:szCs w:val="18"/>
                <w:lang w:val="en-US" w:eastAsia="zh-CN" w:bidi="ar"/>
              </w:rPr>
              <w:t>交换通量复杂性</w:t>
            </w:r>
          </w:p>
        </w:tc>
        <w:tc>
          <w:tcPr>
            <w:tcW w:w="0" w:type="auto"/>
            <w:shd w:val="clear" w:color="auto" w:fill="FFFFFF"/>
            <w:vAlign w:val="center"/>
          </w:tcPr>
          <w:p w14:paraId="54F1B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宋体" w:hAnsi="宋体" w:eastAsia="宋体" w:cs="宋体"/>
                <w:i w:val="0"/>
                <w:iCs w:val="0"/>
                <w:caps w:val="0"/>
                <w:color w:val="262626"/>
                <w:spacing w:val="0"/>
                <w:sz w:val="18"/>
                <w:szCs w:val="18"/>
              </w:rPr>
            </w:pPr>
            <w:r>
              <w:rPr>
                <w:rFonts w:hint="eastAsia" w:ascii="宋体" w:hAnsi="宋体" w:eastAsia="宋体" w:cs="宋体"/>
                <w:i w:val="0"/>
                <w:iCs w:val="0"/>
                <w:caps w:val="0"/>
                <w:color w:val="262626"/>
                <w:spacing w:val="0"/>
                <w:kern w:val="0"/>
                <w:sz w:val="18"/>
                <w:szCs w:val="18"/>
                <w:lang w:val="en-US" w:eastAsia="zh-CN" w:bidi="ar"/>
              </w:rPr>
              <w:t>需考虑反应速率（如CO₂水合作用）</w:t>
            </w:r>
          </w:p>
        </w:tc>
        <w:tc>
          <w:tcPr>
            <w:tcW w:w="0" w:type="auto"/>
            <w:shd w:val="clear" w:color="auto" w:fill="FFFFFF"/>
            <w:vAlign w:val="center"/>
          </w:tcPr>
          <w:p w14:paraId="7E7645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宋体" w:hAnsi="宋体" w:eastAsia="宋体" w:cs="宋体"/>
                <w:i w:val="0"/>
                <w:iCs w:val="0"/>
                <w:caps w:val="0"/>
                <w:color w:val="262626"/>
                <w:spacing w:val="0"/>
                <w:sz w:val="18"/>
                <w:szCs w:val="18"/>
              </w:rPr>
            </w:pPr>
            <w:r>
              <w:rPr>
                <w:rFonts w:hint="eastAsia" w:ascii="宋体" w:hAnsi="宋体" w:eastAsia="宋体" w:cs="宋体"/>
                <w:i w:val="0"/>
                <w:iCs w:val="0"/>
                <w:caps w:val="0"/>
                <w:color w:val="262626"/>
                <w:spacing w:val="0"/>
                <w:kern w:val="0"/>
                <w:sz w:val="18"/>
                <w:szCs w:val="18"/>
                <w:lang w:val="en-US" w:eastAsia="zh-CN" w:bidi="ar"/>
              </w:rPr>
              <w:t>仅依赖物理扩散和浓度梯度</w:t>
            </w:r>
          </w:p>
        </w:tc>
      </w:tr>
      <w:tr w14:paraId="0CF71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shd w:val="clear" w:color="auto" w:fill="FFFFFF"/>
            <w:vAlign w:val="center"/>
          </w:tcPr>
          <w:p w14:paraId="6F872AE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宋体" w:hAnsi="宋体" w:eastAsia="宋体" w:cs="宋体"/>
                <w:i w:val="0"/>
                <w:iCs w:val="0"/>
                <w:caps w:val="0"/>
                <w:color w:val="262626"/>
                <w:spacing w:val="0"/>
                <w:sz w:val="18"/>
                <w:szCs w:val="18"/>
              </w:rPr>
            </w:pPr>
            <w:r>
              <w:rPr>
                <w:rStyle w:val="8"/>
                <w:rFonts w:hint="eastAsia" w:ascii="宋体" w:hAnsi="宋体" w:eastAsia="宋体" w:cs="宋体"/>
                <w:i w:val="0"/>
                <w:iCs w:val="0"/>
                <w:caps w:val="0"/>
                <w:color w:val="262626"/>
                <w:spacing w:val="0"/>
                <w:kern w:val="0"/>
                <w:sz w:val="18"/>
                <w:szCs w:val="18"/>
                <w:lang w:val="en-US" w:eastAsia="zh-CN" w:bidi="ar"/>
              </w:rPr>
              <w:t>应用场景</w:t>
            </w:r>
          </w:p>
        </w:tc>
        <w:tc>
          <w:tcPr>
            <w:tcW w:w="0" w:type="auto"/>
            <w:shd w:val="clear" w:color="auto" w:fill="FFFFFF"/>
            <w:vAlign w:val="center"/>
          </w:tcPr>
          <w:p w14:paraId="2B0B56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宋体" w:hAnsi="宋体" w:eastAsia="宋体" w:cs="宋体"/>
                <w:i w:val="0"/>
                <w:iCs w:val="0"/>
                <w:caps w:val="0"/>
                <w:color w:val="262626"/>
                <w:spacing w:val="0"/>
                <w:sz w:val="18"/>
                <w:szCs w:val="18"/>
              </w:rPr>
            </w:pPr>
            <w:r>
              <w:rPr>
                <w:rFonts w:hint="eastAsia" w:ascii="宋体" w:hAnsi="宋体" w:eastAsia="宋体" w:cs="宋体"/>
                <w:i w:val="0"/>
                <w:iCs w:val="0"/>
                <w:caps w:val="0"/>
                <w:color w:val="262626"/>
                <w:spacing w:val="0"/>
                <w:kern w:val="0"/>
                <w:sz w:val="18"/>
                <w:szCs w:val="18"/>
                <w:lang w:val="en-US" w:eastAsia="zh-CN" w:bidi="ar"/>
              </w:rPr>
              <w:t>研究碳循环、初级生产力等</w:t>
            </w:r>
          </w:p>
        </w:tc>
        <w:tc>
          <w:tcPr>
            <w:tcW w:w="0" w:type="auto"/>
            <w:shd w:val="clear" w:color="auto" w:fill="FFFFFF"/>
            <w:vAlign w:val="center"/>
          </w:tcPr>
          <w:p w14:paraId="1E5FDE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宋体" w:hAnsi="宋体" w:eastAsia="宋体" w:cs="宋体"/>
                <w:i w:val="0"/>
                <w:iCs w:val="0"/>
                <w:caps w:val="0"/>
                <w:color w:val="262626"/>
                <w:spacing w:val="0"/>
                <w:sz w:val="18"/>
                <w:szCs w:val="18"/>
              </w:rPr>
            </w:pPr>
            <w:r>
              <w:rPr>
                <w:rFonts w:hint="eastAsia" w:ascii="宋体" w:hAnsi="宋体" w:eastAsia="宋体" w:cs="宋体"/>
                <w:i w:val="0"/>
                <w:iCs w:val="0"/>
                <w:caps w:val="0"/>
                <w:color w:val="262626"/>
                <w:spacing w:val="0"/>
                <w:kern w:val="0"/>
                <w:sz w:val="18"/>
                <w:szCs w:val="18"/>
                <w:lang w:val="en-US" w:eastAsia="zh-CN" w:bidi="ar"/>
              </w:rPr>
              <w:t>示踪物理过程（如水团运动、气泡注入）</w:t>
            </w:r>
          </w:p>
        </w:tc>
      </w:tr>
    </w:tbl>
    <w:p w14:paraId="158C9BA1">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sz w:val="24"/>
        </w:rPr>
      </w:pPr>
    </w:p>
    <w:p w14:paraId="4E3B2B6E">
      <w:pPr>
        <w:pStyle w:val="11"/>
        <w:keepNext w:val="0"/>
        <w:keepLines w:val="0"/>
        <w:pageBreakBefore w:val="0"/>
        <w:numPr>
          <w:ilvl w:val="0"/>
          <w:numId w:val="1"/>
        </w:numPr>
        <w:kinsoku/>
        <w:wordWrap/>
        <w:overflowPunct/>
        <w:topLinePunct w:val="0"/>
        <w:autoSpaceDE/>
        <w:autoSpaceDN/>
        <w:bidi w:val="0"/>
        <w:adjustRightInd/>
        <w:snapToGrid/>
        <w:spacing w:line="360" w:lineRule="auto"/>
        <w:contextualSpacing w:val="0"/>
        <w:textAlignment w:val="auto"/>
        <w:rPr>
          <w:sz w:val="24"/>
        </w:rPr>
      </w:pPr>
      <w:r>
        <w:rPr>
          <w:rFonts w:hint="eastAsia"/>
          <w:sz w:val="24"/>
        </w:rPr>
        <w:t>已知一表层水体温度为1</w:t>
      </w:r>
      <w:r>
        <w:rPr>
          <w:sz w:val="24"/>
        </w:rPr>
        <w:t>5</w:t>
      </w:r>
      <w:r>
        <w:rPr>
          <w:rFonts w:ascii="Times New Roman" w:hAnsi="Times New Roman" w:cs="Times New Roman"/>
          <w:color w:val="333333"/>
          <w:sz w:val="24"/>
          <w:szCs w:val="24"/>
          <w:shd w:val="clear" w:color="auto" w:fill="FFFFFF"/>
        </w:rPr>
        <w:t>℃</w:t>
      </w:r>
      <w:r>
        <w:rPr>
          <w:rFonts w:hint="eastAsia"/>
          <w:sz w:val="24"/>
        </w:rPr>
        <w:t>，盐度为3</w:t>
      </w:r>
      <w:r>
        <w:rPr>
          <w:sz w:val="24"/>
        </w:rPr>
        <w:t>5</w:t>
      </w:r>
      <w:r>
        <w:rPr>
          <w:rFonts w:hint="eastAsia"/>
          <w:sz w:val="24"/>
        </w:rPr>
        <w:t>，该水体初始和大气平衡，由于受到上升流的影响，该水体温度快速降低成1</w:t>
      </w:r>
      <w:r>
        <w:rPr>
          <w:sz w:val="24"/>
        </w:rPr>
        <w:t>0</w:t>
      </w:r>
      <w:r>
        <w:rPr>
          <w:rFonts w:ascii="Times New Roman" w:hAnsi="Times New Roman" w:cs="Times New Roman"/>
          <w:color w:val="333333"/>
          <w:sz w:val="24"/>
          <w:szCs w:val="24"/>
          <w:shd w:val="clear" w:color="auto" w:fill="FFFFFF"/>
        </w:rPr>
        <w:t>℃</w:t>
      </w:r>
      <w:r>
        <w:rPr>
          <w:rFonts w:hint="eastAsia" w:ascii="Times New Roman" w:hAnsi="Times New Roman" w:cs="Times New Roman"/>
          <w:color w:val="333333"/>
          <w:sz w:val="24"/>
          <w:szCs w:val="24"/>
          <w:shd w:val="clear" w:color="auto" w:fill="FFFFFF"/>
        </w:rPr>
        <w:t>，假设上升流水体的盐度和N</w:t>
      </w:r>
      <w:r>
        <w:rPr>
          <w:rFonts w:ascii="Times New Roman" w:hAnsi="Times New Roman" w:cs="Times New Roman"/>
          <w:color w:val="333333"/>
          <w:sz w:val="24"/>
          <w:szCs w:val="24"/>
          <w:shd w:val="clear" w:color="auto" w:fill="FFFFFF"/>
          <w:vertAlign w:val="subscript"/>
        </w:rPr>
        <w:t>2</w:t>
      </w:r>
      <w:r>
        <w:rPr>
          <w:rFonts w:hint="eastAsia" w:ascii="Times New Roman" w:hAnsi="Times New Roman" w:cs="Times New Roman"/>
          <w:color w:val="333333"/>
          <w:sz w:val="24"/>
          <w:szCs w:val="24"/>
          <w:shd w:val="clear" w:color="auto" w:fill="FFFFFF"/>
        </w:rPr>
        <w:t>含量与表层水体相同，请评估上升流过程对于N</w:t>
      </w:r>
      <w:r>
        <w:rPr>
          <w:rFonts w:ascii="Times New Roman" w:hAnsi="Times New Roman" w:cs="Times New Roman"/>
          <w:color w:val="333333"/>
          <w:sz w:val="24"/>
          <w:szCs w:val="24"/>
          <w:shd w:val="clear" w:color="auto" w:fill="FFFFFF"/>
          <w:vertAlign w:val="subscript"/>
        </w:rPr>
        <w:t>2</w:t>
      </w:r>
      <w:r>
        <w:rPr>
          <w:rFonts w:hint="eastAsia" w:ascii="Times New Roman" w:hAnsi="Times New Roman" w:cs="Times New Roman"/>
          <w:color w:val="333333"/>
          <w:sz w:val="24"/>
          <w:szCs w:val="24"/>
          <w:shd w:val="clear" w:color="auto" w:fill="FFFFFF"/>
        </w:rPr>
        <w:t>饱和度的影响。</w:t>
      </w:r>
    </w:p>
    <w:p w14:paraId="05D63899">
      <w:pPr>
        <w:pStyle w:val="11"/>
        <w:keepNext w:val="0"/>
        <w:keepLines w:val="0"/>
        <w:pageBreakBefore w:val="0"/>
        <w:kinsoku/>
        <w:wordWrap/>
        <w:overflowPunct/>
        <w:topLinePunct w:val="0"/>
        <w:autoSpaceDE/>
        <w:autoSpaceDN/>
        <w:bidi w:val="0"/>
        <w:adjustRightInd/>
        <w:snapToGrid/>
        <w:spacing w:line="360" w:lineRule="auto"/>
        <w:textAlignment w:val="auto"/>
        <w:rPr>
          <w:sz w:val="24"/>
        </w:rPr>
      </w:pPr>
    </w:p>
    <w:p w14:paraId="45C18E99">
      <w:pPr>
        <w:pStyle w:val="11"/>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溶解度随温度降低而升高（低温时分子动能减小，气体更易溶解）。</w:t>
      </w:r>
    </w:p>
    <w:p w14:paraId="15C28F46">
      <w:pPr>
        <w:pStyle w:val="11"/>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查表</w:t>
      </w:r>
      <w:r>
        <w:rPr>
          <w:rFonts w:hint="eastAsia"/>
          <w:sz w:val="21"/>
          <w:szCs w:val="21"/>
          <w:lang w:val="en-US" w:eastAsia="zh-CN"/>
        </w:rPr>
        <w:t>得</w:t>
      </w:r>
      <w:r>
        <w:rPr>
          <w:rFonts w:hint="eastAsia"/>
          <w:sz w:val="21"/>
          <w:szCs w:val="21"/>
        </w:rPr>
        <w:t>：</w:t>
      </w:r>
    </w:p>
    <w:p w14:paraId="03369B91">
      <w:pPr>
        <w:pStyle w:val="11"/>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15℃、盐度35：溶解度≈12.5 mg/L。</w:t>
      </w:r>
    </w:p>
    <w:p w14:paraId="569C6D07">
      <w:pPr>
        <w:pStyle w:val="11"/>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10℃、盐度35：溶解度≈14.0 mg/L。</w:t>
      </w:r>
    </w:p>
    <w:p w14:paraId="5B71346D">
      <w:pPr>
        <w:pStyle w:val="11"/>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饱和度计算：</w:t>
      </w:r>
    </w:p>
    <w:p w14:paraId="27564C8C">
      <w:pPr>
        <w:pStyle w:val="11"/>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上升流后，N₂含量不变（仍为12.5 mg/L），但平衡浓度升至14.0 mg/L。</w:t>
      </w:r>
    </w:p>
    <w:p w14:paraId="43B88FF2">
      <w:pPr>
        <w:pStyle w:val="11"/>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drawing>
          <wp:inline distT="0" distB="0" distL="114300" distR="114300">
            <wp:extent cx="791210" cy="288290"/>
            <wp:effectExtent l="0" t="0" r="1270" b="1270"/>
            <wp:docPr id="3" name="图片 3" descr="QianJianTec1744541839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ianJianTec1744541839754"/>
                    <pic:cNvPicPr>
                      <a:picLocks noChangeAspect="1"/>
                    </pic:cNvPicPr>
                  </pic:nvPicPr>
                  <pic:blipFill>
                    <a:blip r:embed="rId13"/>
                    <a:stretch>
                      <a:fillRect/>
                    </a:stretch>
                  </pic:blipFill>
                  <pic:spPr>
                    <a:xfrm>
                      <a:off x="0" y="0"/>
                      <a:ext cx="791210" cy="288290"/>
                    </a:xfrm>
                    <a:prstGeom prst="rect">
                      <a:avLst/>
                    </a:prstGeom>
                  </pic:spPr>
                </pic:pic>
              </a:graphicData>
            </a:graphic>
          </wp:inline>
        </w:drawing>
      </w:r>
      <w:r>
        <w:rPr>
          <w:rFonts w:hint="eastAsia"/>
          <w:sz w:val="21"/>
          <w:szCs w:val="21"/>
        </w:rPr>
        <w:t xml:space="preserve"> ≈ 89%。</w:t>
      </w:r>
    </w:p>
    <w:p w14:paraId="09CF514F">
      <w:pPr>
        <w:pStyle w:val="11"/>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结论：</w:t>
      </w:r>
      <w:r>
        <w:rPr>
          <w:rFonts w:hint="eastAsia"/>
          <w:sz w:val="21"/>
          <w:szCs w:val="21"/>
        </w:rPr>
        <w:br w:type="textWrapping"/>
      </w:r>
      <w:r>
        <w:rPr>
          <w:rFonts w:hint="eastAsia"/>
          <w:sz w:val="21"/>
          <w:szCs w:val="21"/>
        </w:rPr>
        <w:t>上升流导致水温降低，N₂溶解度增加，但水体中原有N₂含量未变，因此N₂饱和度从100%降至约89%（欠饱和）。这会驱动大气N₂向海洋的净通量，直至重新平衡。</w:t>
      </w:r>
    </w:p>
    <w:p w14:paraId="6B851E42">
      <w:pPr>
        <w:pStyle w:val="11"/>
        <w:keepNext w:val="0"/>
        <w:keepLines w:val="0"/>
        <w:pageBreakBefore w:val="0"/>
        <w:kinsoku/>
        <w:wordWrap/>
        <w:overflowPunct/>
        <w:topLinePunct w:val="0"/>
        <w:autoSpaceDE/>
        <w:autoSpaceDN/>
        <w:bidi w:val="0"/>
        <w:adjustRightInd/>
        <w:snapToGrid/>
        <w:spacing w:line="360" w:lineRule="auto"/>
        <w:textAlignment w:val="auto"/>
        <w:rPr>
          <w:sz w:val="24"/>
        </w:rPr>
      </w:pPr>
    </w:p>
    <w:p w14:paraId="3F13893F">
      <w:pPr>
        <w:pStyle w:val="11"/>
        <w:keepNext w:val="0"/>
        <w:keepLines w:val="0"/>
        <w:pageBreakBefore w:val="0"/>
        <w:numPr>
          <w:ilvl w:val="0"/>
          <w:numId w:val="1"/>
        </w:numPr>
        <w:kinsoku/>
        <w:wordWrap/>
        <w:overflowPunct/>
        <w:topLinePunct w:val="0"/>
        <w:autoSpaceDE/>
        <w:autoSpaceDN/>
        <w:bidi w:val="0"/>
        <w:adjustRightInd/>
        <w:snapToGrid/>
        <w:spacing w:line="360" w:lineRule="auto"/>
        <w:contextualSpacing w:val="0"/>
        <w:textAlignment w:val="auto"/>
        <w:rPr>
          <w:sz w:val="24"/>
        </w:rPr>
      </w:pPr>
      <w:r>
        <w:rPr>
          <w:rFonts w:hint="eastAsia"/>
          <w:sz w:val="24"/>
        </w:rPr>
        <w:t>考虑两个水团混合（水团1：温度=</w:t>
      </w:r>
      <w:r>
        <w:rPr>
          <w:sz w:val="24"/>
        </w:rPr>
        <w:t>0</w:t>
      </w:r>
      <w:r>
        <w:rPr>
          <w:rFonts w:hint="eastAsia"/>
          <w:sz w:val="24"/>
        </w:rPr>
        <w:t>度，盐度=</w:t>
      </w:r>
      <w:r>
        <w:rPr>
          <w:sz w:val="24"/>
        </w:rPr>
        <w:t>5</w:t>
      </w:r>
      <w:r>
        <w:rPr>
          <w:rFonts w:hint="eastAsia"/>
          <w:sz w:val="24"/>
        </w:rPr>
        <w:t>； 水团2：温度=</w:t>
      </w:r>
      <w:r>
        <w:rPr>
          <w:sz w:val="24"/>
        </w:rPr>
        <w:t>24</w:t>
      </w:r>
      <w:r>
        <w:rPr>
          <w:rFonts w:hint="eastAsia"/>
          <w:sz w:val="24"/>
        </w:rPr>
        <w:t>度，盐度=</w:t>
      </w:r>
      <w:r>
        <w:rPr>
          <w:sz w:val="24"/>
        </w:rPr>
        <w:t>35</w:t>
      </w:r>
      <w:r>
        <w:rPr>
          <w:rFonts w:hint="eastAsia"/>
          <w:sz w:val="24"/>
        </w:rPr>
        <w:t>），假设两个水团溶解氧浓度都为饱和，且混合过程中没有生物和化学作用，参考O</w:t>
      </w:r>
      <w:r>
        <w:rPr>
          <w:rFonts w:hint="eastAsia"/>
          <w:sz w:val="24"/>
          <w:vertAlign w:val="subscript"/>
        </w:rPr>
        <w:t>2</w:t>
      </w:r>
      <w:r>
        <w:rPr>
          <w:rFonts w:hint="eastAsia"/>
          <w:sz w:val="24"/>
        </w:rPr>
        <w:t>溶解度文献，计算并作图显示水团混合过程中实际氧气浓度以及氧气溶解度的变化，并解释二者产生差异的原因。</w:t>
      </w:r>
    </w:p>
    <w:p w14:paraId="5EF4C76B">
      <w:pPr>
        <w:pStyle w:val="5"/>
        <w:keepNext w:val="0"/>
        <w:keepLines w:val="0"/>
        <w:pageBreakBefore w:val="0"/>
        <w:widowControl/>
        <w:suppressLineNumbers w:val="0"/>
        <w:kinsoku/>
        <w:wordWrap/>
        <w:overflowPunct/>
        <w:topLinePunct w:val="0"/>
        <w:autoSpaceDE/>
        <w:autoSpaceDN/>
        <w:bidi w:val="0"/>
        <w:adjustRightInd/>
        <w:snapToGrid/>
        <w:spacing w:before="165" w:beforeAutospacing="0" w:after="165" w:afterAutospacing="0" w:line="360" w:lineRule="auto"/>
        <w:ind w:left="0" w:right="0" w:firstLine="0"/>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sz w:val="19"/>
          <w:szCs w:val="19"/>
        </w:rPr>
        <w:t>设混合比例为水团2的质量占比 </w:t>
      </w:r>
      <w:r>
        <w:rPr>
          <w:rFonts w:hint="default" w:ascii="Times New Roman" w:hAnsi="Times New Roman" w:eastAsia="Times New Roman" w:cs="Times New Roman"/>
          <w:i w:val="0"/>
          <w:iCs w:val="0"/>
          <w:caps w:val="0"/>
          <w:color w:val="404040"/>
          <w:spacing w:val="0"/>
          <w:sz w:val="25"/>
          <w:szCs w:val="25"/>
        </w:rPr>
        <w:t>x</w:t>
      </w:r>
      <w:r>
        <w:rPr>
          <w:rFonts w:hint="default" w:ascii="Times New Roman" w:hAnsi="Times New Roman" w:eastAsia="Segoe UI" w:cs="Times New Roman"/>
          <w:i w:val="0"/>
          <w:iCs w:val="0"/>
          <w:caps w:val="0"/>
          <w:color w:val="404040"/>
          <w:spacing w:val="0"/>
          <w:sz w:val="19"/>
          <w:szCs w:val="19"/>
        </w:rPr>
        <w:t> (</w:t>
      </w:r>
      <w:r>
        <w:rPr>
          <w:rFonts w:hint="default" w:ascii="Times New Roman" w:hAnsi="Times New Roman" w:eastAsia="Times New Roman" w:cs="Times New Roman"/>
          <w:i w:val="0"/>
          <w:iCs w:val="0"/>
          <w:caps w:val="0"/>
          <w:color w:val="404040"/>
          <w:spacing w:val="0"/>
          <w:sz w:val="25"/>
          <w:szCs w:val="25"/>
        </w:rPr>
        <w:t>0≤x≤1</w:t>
      </w:r>
      <w:r>
        <w:rPr>
          <w:rFonts w:hint="default" w:ascii="Times New Roman" w:hAnsi="Times New Roman" w:eastAsia="Segoe UI" w:cs="Times New Roman"/>
          <w:i w:val="0"/>
          <w:iCs w:val="0"/>
          <w:caps w:val="0"/>
          <w:color w:val="404040"/>
          <w:spacing w:val="0"/>
          <w:sz w:val="19"/>
          <w:szCs w:val="19"/>
        </w:rPr>
        <w:t>)，则混合后的盐度 </w:t>
      </w:r>
      <w:r>
        <w:rPr>
          <w:rFonts w:hint="default" w:ascii="Times New Roman" w:hAnsi="Times New Roman" w:eastAsia="Times New Roman" w:cs="Times New Roman"/>
          <w:i w:val="0"/>
          <w:iCs w:val="0"/>
          <w:caps w:val="0"/>
          <w:color w:val="404040"/>
          <w:spacing w:val="0"/>
          <w:sz w:val="25"/>
          <w:szCs w:val="25"/>
        </w:rPr>
        <w:t>Smix</w:t>
      </w:r>
      <w:r>
        <w:rPr>
          <w:rFonts w:hint="default" w:ascii="Times New Roman" w:hAnsi="Times New Roman" w:eastAsia="KaTeX_Math" w:cs="Times New Roman"/>
          <w:i/>
          <w:iCs/>
          <w:caps w:val="0"/>
          <w:color w:val="404040"/>
          <w:spacing w:val="0"/>
          <w:sz w:val="25"/>
          <w:szCs w:val="25"/>
        </w:rPr>
        <w:t>S</w:t>
      </w:r>
      <w:r>
        <w:rPr>
          <w:rFonts w:hint="default" w:ascii="Times New Roman" w:hAnsi="Times New Roman" w:eastAsia="Times New Roman" w:cs="Times New Roman"/>
          <w:i w:val="0"/>
          <w:iCs w:val="0"/>
          <w:caps w:val="0"/>
          <w:color w:val="404040"/>
          <w:spacing w:val="0"/>
          <w:sz w:val="14"/>
          <w:szCs w:val="14"/>
        </w:rPr>
        <w:t>mix</w:t>
      </w:r>
      <w:r>
        <w:rPr>
          <w:rFonts w:hint="default" w:ascii="Times New Roman" w:hAnsi="Times New Roman" w:eastAsia="Times New Roman" w:cs="Times New Roman"/>
          <w:i w:val="0"/>
          <w:iCs w:val="0"/>
          <w:caps w:val="0"/>
          <w:color w:val="404040"/>
          <w:spacing w:val="0"/>
          <w:sz w:val="1"/>
          <w:szCs w:val="1"/>
        </w:rPr>
        <w:t>​</w:t>
      </w:r>
      <w:r>
        <w:rPr>
          <w:rFonts w:hint="default" w:ascii="Times New Roman" w:hAnsi="Times New Roman" w:eastAsia="Segoe UI" w:cs="Times New Roman"/>
          <w:i w:val="0"/>
          <w:iCs w:val="0"/>
          <w:caps w:val="0"/>
          <w:color w:val="404040"/>
          <w:spacing w:val="0"/>
          <w:sz w:val="19"/>
          <w:szCs w:val="19"/>
        </w:rPr>
        <w:t> 和温度 </w:t>
      </w:r>
      <w:r>
        <w:rPr>
          <w:rFonts w:hint="default" w:ascii="Times New Roman" w:hAnsi="Times New Roman" w:eastAsia="Times New Roman" w:cs="Times New Roman"/>
          <w:i w:val="0"/>
          <w:iCs w:val="0"/>
          <w:caps w:val="0"/>
          <w:color w:val="404040"/>
          <w:spacing w:val="0"/>
          <w:sz w:val="25"/>
          <w:szCs w:val="25"/>
        </w:rPr>
        <w:t>Tmix</w:t>
      </w:r>
      <w:r>
        <w:rPr>
          <w:rFonts w:hint="default" w:ascii="Times New Roman" w:hAnsi="Times New Roman" w:eastAsia="KaTeX_Math" w:cs="Times New Roman"/>
          <w:i/>
          <w:iCs/>
          <w:caps w:val="0"/>
          <w:color w:val="404040"/>
          <w:spacing w:val="0"/>
          <w:sz w:val="25"/>
          <w:szCs w:val="25"/>
        </w:rPr>
        <w:t>T</w:t>
      </w:r>
      <w:r>
        <w:rPr>
          <w:rFonts w:hint="default" w:ascii="Times New Roman" w:hAnsi="Times New Roman" w:eastAsia="Times New Roman" w:cs="Times New Roman"/>
          <w:i w:val="0"/>
          <w:iCs w:val="0"/>
          <w:caps w:val="0"/>
          <w:color w:val="404040"/>
          <w:spacing w:val="0"/>
          <w:sz w:val="14"/>
          <w:szCs w:val="14"/>
        </w:rPr>
        <w:t>mix</w:t>
      </w:r>
      <w:r>
        <w:rPr>
          <w:rFonts w:hint="default" w:ascii="Times New Roman" w:hAnsi="Times New Roman" w:eastAsia="Times New Roman" w:cs="Times New Roman"/>
          <w:i w:val="0"/>
          <w:iCs w:val="0"/>
          <w:caps w:val="0"/>
          <w:color w:val="404040"/>
          <w:spacing w:val="0"/>
          <w:sz w:val="1"/>
          <w:szCs w:val="1"/>
        </w:rPr>
        <w:t>​</w:t>
      </w:r>
      <w:r>
        <w:rPr>
          <w:rFonts w:hint="default" w:ascii="Times New Roman" w:hAnsi="Times New Roman" w:eastAsia="Segoe UI" w:cs="Times New Roman"/>
          <w:i w:val="0"/>
          <w:iCs w:val="0"/>
          <w:caps w:val="0"/>
          <w:color w:val="404040"/>
          <w:spacing w:val="0"/>
          <w:sz w:val="19"/>
          <w:szCs w:val="19"/>
        </w:rPr>
        <w:t> 为：</w:t>
      </w:r>
    </w:p>
    <w:p w14:paraId="3F980CC2">
      <w:pPr>
        <w:keepNext w:val="0"/>
        <w:keepLines w:val="0"/>
        <w:pageBreakBefore w:val="0"/>
        <w:widowControl/>
        <w:suppressLineNumbers w:val="0"/>
        <w:kinsoku/>
        <w:wordWrap/>
        <w:overflowPunct/>
        <w:topLinePunct w:val="0"/>
        <w:autoSpaceDE/>
        <w:autoSpaceDN/>
        <w:bidi w:val="0"/>
        <w:adjustRightInd/>
        <w:snapToGrid/>
        <w:spacing w:line="360" w:lineRule="auto"/>
        <w:ind w:left="840" w:leftChars="0" w:firstLine="420" w:firstLineChars="0"/>
        <w:jc w:val="left"/>
        <w:textAlignment w:val="auto"/>
        <w:rPr>
          <w:rFonts w:hint="default" w:ascii="Times New Roman" w:hAnsi="Times New Roman" w:cs="Times New Roman"/>
        </w:rPr>
      </w:pPr>
      <w:r>
        <w:rPr>
          <w:rFonts w:hint="default" w:ascii="Times New Roman" w:hAnsi="Times New Roman" w:eastAsia="Times New Roman" w:cs="Times New Roman"/>
          <w:i w:val="0"/>
          <w:iCs w:val="0"/>
          <w:caps w:val="0"/>
          <w:color w:val="404040"/>
          <w:spacing w:val="0"/>
          <w:kern w:val="0"/>
          <w:sz w:val="25"/>
          <w:szCs w:val="25"/>
          <w:lang w:val="en-US" w:eastAsia="zh-CN" w:bidi="ar"/>
        </w:rPr>
        <w:t>Smix=5(1−x)+35x=5+30x,Tmix=0(1−x)+24x=24x (°C).</w:t>
      </w:r>
    </w:p>
    <w:p w14:paraId="0BB257A9">
      <w:pPr>
        <w:pStyle w:val="5"/>
        <w:keepNext w:val="0"/>
        <w:keepLines w:val="0"/>
        <w:pageBreakBefore w:val="0"/>
        <w:widowControl/>
        <w:suppressLineNumbers w:val="0"/>
        <w:kinsoku/>
        <w:wordWrap/>
        <w:overflowPunct/>
        <w:topLinePunct w:val="0"/>
        <w:autoSpaceDE/>
        <w:autoSpaceDN/>
        <w:bidi w:val="0"/>
        <w:adjustRightInd/>
        <w:snapToGrid/>
        <w:spacing w:before="165" w:beforeAutospacing="0" w:after="165" w:afterAutospacing="0" w:line="360" w:lineRule="auto"/>
        <w:ind w:left="0" w:right="0" w:firstLine="0"/>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sz w:val="19"/>
          <w:szCs w:val="19"/>
        </w:rPr>
        <w:t>参考文献表5（盐度5和35，温度0℃和24℃）：</w:t>
      </w:r>
    </w:p>
    <w:p w14:paraId="5CFDBF6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19"/>
          <w:szCs w:val="19"/>
        </w:rPr>
      </w:pPr>
      <w:r>
        <w:rPr>
          <w:rStyle w:val="8"/>
          <w:rFonts w:hint="default" w:ascii="Times New Roman" w:hAnsi="Times New Roman" w:eastAsia="Segoe UI" w:cs="Times New Roman"/>
          <w:i w:val="0"/>
          <w:iCs w:val="0"/>
          <w:caps w:val="0"/>
          <w:color w:val="404040"/>
          <w:spacing w:val="0"/>
          <w:sz w:val="19"/>
          <w:szCs w:val="19"/>
        </w:rPr>
        <w:t>水团1</w:t>
      </w:r>
      <w:r>
        <w:rPr>
          <w:rFonts w:hint="default" w:ascii="Times New Roman" w:hAnsi="Times New Roman" w:eastAsia="Segoe UI" w:cs="Times New Roman"/>
          <w:i w:val="0"/>
          <w:iCs w:val="0"/>
          <w:caps w:val="0"/>
          <w:color w:val="404040"/>
          <w:spacing w:val="0"/>
          <w:sz w:val="19"/>
          <w:szCs w:val="19"/>
        </w:rPr>
        <w:t>（0℃, S=5）：</w:t>
      </w:r>
      <w:r>
        <w:rPr>
          <w:rFonts w:hint="default" w:ascii="Times New Roman" w:hAnsi="Times New Roman" w:eastAsia="KaTeX_Math" w:cs="Times New Roman"/>
          <w:i/>
          <w:iCs/>
          <w:caps w:val="0"/>
          <w:color w:val="404040"/>
          <w:spacing w:val="0"/>
          <w:sz w:val="25"/>
          <w:szCs w:val="25"/>
        </w:rPr>
        <w:t>C</w:t>
      </w:r>
      <w:r>
        <w:rPr>
          <w:rFonts w:hint="default" w:ascii="Times New Roman" w:hAnsi="Times New Roman" w:eastAsia="KaTeX_Math" w:cs="Times New Roman"/>
          <w:i/>
          <w:iCs/>
          <w:caps w:val="0"/>
          <w:color w:val="404040"/>
          <w:spacing w:val="0"/>
          <w:sz w:val="14"/>
          <w:szCs w:val="14"/>
        </w:rPr>
        <w:t>O</w:t>
      </w:r>
      <w:r>
        <w:rPr>
          <w:rFonts w:hint="default" w:ascii="Times New Roman" w:hAnsi="Times New Roman" w:eastAsia="Times New Roman" w:cs="Times New Roman"/>
          <w:i w:val="0"/>
          <w:iCs w:val="0"/>
          <w:caps w:val="0"/>
          <w:color w:val="404040"/>
          <w:spacing w:val="0"/>
          <w:sz w:val="15"/>
          <w:szCs w:val="15"/>
        </w:rPr>
        <w:t>2</w:t>
      </w:r>
      <w:r>
        <w:rPr>
          <w:rFonts w:hint="default" w:ascii="Times New Roman" w:hAnsi="Times New Roman" w:eastAsia="Times New Roman" w:cs="Times New Roman"/>
          <w:i w:val="0"/>
          <w:iCs w:val="0"/>
          <w:caps w:val="0"/>
          <w:color w:val="404040"/>
          <w:spacing w:val="0"/>
          <w:sz w:val="1"/>
          <w:szCs w:val="1"/>
        </w:rPr>
        <w:t>​</w:t>
      </w:r>
      <w:r>
        <w:rPr>
          <w:rFonts w:hint="default" w:ascii="Times New Roman" w:hAnsi="Times New Roman" w:eastAsia="Times New Roman" w:cs="Times New Roman"/>
          <w:i w:val="0"/>
          <w:iCs w:val="0"/>
          <w:caps w:val="0"/>
          <w:color w:val="404040"/>
          <w:spacing w:val="0"/>
          <w:sz w:val="14"/>
          <w:szCs w:val="14"/>
        </w:rPr>
        <w:t>,1sat</w:t>
      </w:r>
      <w:r>
        <w:rPr>
          <w:rFonts w:hint="default" w:ascii="Times New Roman" w:hAnsi="Times New Roman" w:eastAsia="Times New Roman" w:cs="Times New Roman"/>
          <w:i w:val="0"/>
          <w:iCs w:val="0"/>
          <w:caps w:val="0"/>
          <w:color w:val="404040"/>
          <w:spacing w:val="0"/>
          <w:sz w:val="1"/>
          <w:szCs w:val="1"/>
        </w:rPr>
        <w:t>​</w:t>
      </w:r>
      <w:r>
        <w:rPr>
          <w:rFonts w:hint="default" w:ascii="Times New Roman" w:hAnsi="Times New Roman" w:eastAsia="Times New Roman" w:cs="Times New Roman"/>
          <w:i w:val="0"/>
          <w:iCs w:val="0"/>
          <w:caps w:val="0"/>
          <w:color w:val="404040"/>
          <w:spacing w:val="0"/>
          <w:sz w:val="25"/>
          <w:szCs w:val="25"/>
        </w:rPr>
        <w:t>=439.55</w:t>
      </w:r>
      <w:r>
        <w:rPr>
          <w:rFonts w:hint="default" w:ascii="Times New Roman" w:hAnsi="Times New Roman" w:eastAsia="KaTeX_Math" w:cs="Times New Roman"/>
          <w:i/>
          <w:iCs/>
          <w:caps w:val="0"/>
          <w:color w:val="404040"/>
          <w:spacing w:val="0"/>
          <w:sz w:val="25"/>
          <w:szCs w:val="25"/>
        </w:rPr>
        <w:t>μ</w:t>
      </w:r>
      <w:r>
        <w:rPr>
          <w:rFonts w:hint="default" w:ascii="Times New Roman" w:hAnsi="Times New Roman" w:eastAsia="Times New Roman" w:cs="Times New Roman"/>
          <w:i w:val="0"/>
          <w:iCs w:val="0"/>
          <w:caps w:val="0"/>
          <w:color w:val="404040"/>
          <w:spacing w:val="0"/>
          <w:sz w:val="25"/>
          <w:szCs w:val="25"/>
        </w:rPr>
        <w:t>mol/kg</w:t>
      </w:r>
      <w:r>
        <w:rPr>
          <w:rFonts w:hint="default" w:ascii="Times New Roman" w:hAnsi="Times New Roman" w:eastAsia="Segoe UI" w:cs="Times New Roman"/>
          <w:i w:val="0"/>
          <w:iCs w:val="0"/>
          <w:caps w:val="0"/>
          <w:color w:val="404040"/>
          <w:spacing w:val="0"/>
          <w:sz w:val="19"/>
          <w:szCs w:val="19"/>
        </w:rPr>
        <w:t>（表5中0℃行，盐度5列）。</w:t>
      </w:r>
    </w:p>
    <w:p w14:paraId="2EF081E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sz w:val="19"/>
          <w:szCs w:val="19"/>
        </w:rPr>
      </w:pPr>
      <w:r>
        <w:rPr>
          <w:rStyle w:val="8"/>
          <w:rFonts w:hint="default" w:ascii="Times New Roman" w:hAnsi="Times New Roman" w:eastAsia="Segoe UI" w:cs="Times New Roman"/>
          <w:i w:val="0"/>
          <w:iCs w:val="0"/>
          <w:caps w:val="0"/>
          <w:color w:val="404040"/>
          <w:spacing w:val="0"/>
          <w:sz w:val="19"/>
          <w:szCs w:val="19"/>
        </w:rPr>
        <w:t>水团2</w:t>
      </w:r>
      <w:r>
        <w:rPr>
          <w:rFonts w:hint="default" w:ascii="Times New Roman" w:hAnsi="Times New Roman" w:eastAsia="Segoe UI" w:cs="Times New Roman"/>
          <w:i w:val="0"/>
          <w:iCs w:val="0"/>
          <w:caps w:val="0"/>
          <w:color w:val="404040"/>
          <w:spacing w:val="0"/>
          <w:sz w:val="19"/>
          <w:szCs w:val="19"/>
        </w:rPr>
        <w:t>（24℃, S=35）：</w:t>
      </w:r>
      <w:r>
        <w:rPr>
          <w:rFonts w:hint="default" w:ascii="Times New Roman" w:hAnsi="Times New Roman" w:eastAsia="KaTeX_Math" w:cs="Times New Roman"/>
          <w:i/>
          <w:iCs/>
          <w:caps w:val="0"/>
          <w:color w:val="404040"/>
          <w:spacing w:val="0"/>
          <w:sz w:val="25"/>
          <w:szCs w:val="25"/>
        </w:rPr>
        <w:t>C</w:t>
      </w:r>
      <w:r>
        <w:rPr>
          <w:rFonts w:hint="default" w:ascii="Times New Roman" w:hAnsi="Times New Roman" w:eastAsia="KaTeX_Math" w:cs="Times New Roman"/>
          <w:i/>
          <w:iCs/>
          <w:caps w:val="0"/>
          <w:color w:val="404040"/>
          <w:spacing w:val="0"/>
          <w:sz w:val="14"/>
          <w:szCs w:val="14"/>
        </w:rPr>
        <w:t>O</w:t>
      </w:r>
      <w:r>
        <w:rPr>
          <w:rFonts w:hint="default" w:ascii="Times New Roman" w:hAnsi="Times New Roman" w:eastAsia="Times New Roman" w:cs="Times New Roman"/>
          <w:i w:val="0"/>
          <w:iCs w:val="0"/>
          <w:caps w:val="0"/>
          <w:color w:val="404040"/>
          <w:spacing w:val="0"/>
          <w:sz w:val="15"/>
          <w:szCs w:val="15"/>
        </w:rPr>
        <w:t>2</w:t>
      </w:r>
      <w:r>
        <w:rPr>
          <w:rFonts w:hint="default" w:ascii="Times New Roman" w:hAnsi="Times New Roman" w:eastAsia="Times New Roman" w:cs="Times New Roman"/>
          <w:i w:val="0"/>
          <w:iCs w:val="0"/>
          <w:caps w:val="0"/>
          <w:color w:val="404040"/>
          <w:spacing w:val="0"/>
          <w:sz w:val="1"/>
          <w:szCs w:val="1"/>
        </w:rPr>
        <w:t>​</w:t>
      </w:r>
      <w:r>
        <w:rPr>
          <w:rFonts w:hint="default" w:ascii="Times New Roman" w:hAnsi="Times New Roman" w:eastAsia="Times New Roman" w:cs="Times New Roman"/>
          <w:i w:val="0"/>
          <w:iCs w:val="0"/>
          <w:caps w:val="0"/>
          <w:color w:val="404040"/>
          <w:spacing w:val="0"/>
          <w:sz w:val="14"/>
          <w:szCs w:val="14"/>
        </w:rPr>
        <w:t>,2sat</w:t>
      </w:r>
      <w:r>
        <w:rPr>
          <w:rFonts w:hint="default" w:ascii="Times New Roman" w:hAnsi="Times New Roman" w:eastAsia="Times New Roman" w:cs="Times New Roman"/>
          <w:i w:val="0"/>
          <w:iCs w:val="0"/>
          <w:caps w:val="0"/>
          <w:color w:val="404040"/>
          <w:spacing w:val="0"/>
          <w:sz w:val="1"/>
          <w:szCs w:val="1"/>
        </w:rPr>
        <w:t>​</w:t>
      </w:r>
      <w:r>
        <w:rPr>
          <w:rFonts w:hint="default" w:ascii="Times New Roman" w:hAnsi="Times New Roman" w:eastAsia="Times New Roman" w:cs="Times New Roman"/>
          <w:i w:val="0"/>
          <w:iCs w:val="0"/>
          <w:caps w:val="0"/>
          <w:color w:val="404040"/>
          <w:spacing w:val="0"/>
          <w:sz w:val="25"/>
          <w:szCs w:val="25"/>
        </w:rPr>
        <w:t>=210.30</w:t>
      </w:r>
      <w:r>
        <w:rPr>
          <w:rFonts w:hint="default" w:ascii="Times New Roman" w:hAnsi="Times New Roman" w:eastAsia="KaTeX_Math" w:cs="Times New Roman"/>
          <w:i/>
          <w:iCs/>
          <w:caps w:val="0"/>
          <w:color w:val="404040"/>
          <w:spacing w:val="0"/>
          <w:sz w:val="25"/>
          <w:szCs w:val="25"/>
        </w:rPr>
        <w:t>μ</w:t>
      </w:r>
      <w:r>
        <w:rPr>
          <w:rFonts w:hint="default" w:ascii="Times New Roman" w:hAnsi="Times New Roman" w:eastAsia="Times New Roman" w:cs="Times New Roman"/>
          <w:i w:val="0"/>
          <w:iCs w:val="0"/>
          <w:caps w:val="0"/>
          <w:color w:val="404040"/>
          <w:spacing w:val="0"/>
          <w:sz w:val="25"/>
          <w:szCs w:val="25"/>
        </w:rPr>
        <w:t>mol/kg</w:t>
      </w:r>
      <w:r>
        <w:rPr>
          <w:rFonts w:hint="default" w:ascii="Times New Roman" w:hAnsi="Times New Roman" w:eastAsia="Segoe UI" w:cs="Times New Roman"/>
          <w:i w:val="0"/>
          <w:iCs w:val="0"/>
          <w:caps w:val="0"/>
          <w:color w:val="404040"/>
          <w:spacing w:val="0"/>
          <w:sz w:val="19"/>
          <w:szCs w:val="19"/>
        </w:rPr>
        <w:t>（表5中24℃行，盐度35列）。</w:t>
      </w:r>
    </w:p>
    <w:p w14:paraId="482BFD9E">
      <w:pPr>
        <w:pStyle w:val="5"/>
        <w:keepNext w:val="0"/>
        <w:keepLines w:val="0"/>
        <w:pageBreakBefore w:val="0"/>
        <w:widowControl/>
        <w:suppressLineNumbers w:val="0"/>
        <w:kinsoku/>
        <w:wordWrap/>
        <w:overflowPunct/>
        <w:topLinePunct w:val="0"/>
        <w:autoSpaceDE/>
        <w:autoSpaceDN/>
        <w:bidi w:val="0"/>
        <w:adjustRightInd/>
        <w:snapToGrid/>
        <w:spacing w:before="165" w:beforeAutospacing="0" w:after="165" w:afterAutospacing="0" w:line="360" w:lineRule="auto"/>
        <w:ind w:left="0" w:right="0" w:firstLine="0"/>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sz w:val="19"/>
          <w:szCs w:val="19"/>
        </w:rPr>
        <w:t>实际浓度 </w:t>
      </w:r>
      <w:r>
        <w:rPr>
          <w:rFonts w:hint="default" w:ascii="Times New Roman" w:hAnsi="Times New Roman" w:eastAsia="KaTeX_Math" w:cs="Times New Roman"/>
          <w:i/>
          <w:iCs/>
          <w:caps w:val="0"/>
          <w:color w:val="404040"/>
          <w:spacing w:val="0"/>
          <w:sz w:val="25"/>
          <w:szCs w:val="25"/>
        </w:rPr>
        <w:t>C</w:t>
      </w:r>
      <w:r>
        <w:rPr>
          <w:rFonts w:hint="default" w:ascii="Times New Roman" w:hAnsi="Times New Roman" w:eastAsia="Times New Roman" w:cs="Times New Roman"/>
          <w:i w:val="0"/>
          <w:iCs w:val="0"/>
          <w:caps w:val="0"/>
          <w:color w:val="404040"/>
          <w:spacing w:val="0"/>
          <w:sz w:val="14"/>
          <w:szCs w:val="14"/>
        </w:rPr>
        <w:t>actual</w:t>
      </w:r>
      <w:r>
        <w:rPr>
          <w:rFonts w:hint="default" w:ascii="Times New Roman" w:hAnsi="Times New Roman" w:eastAsia="Times New Roman" w:cs="Times New Roman"/>
          <w:i w:val="0"/>
          <w:iCs w:val="0"/>
          <w:caps w:val="0"/>
          <w:color w:val="404040"/>
          <w:spacing w:val="0"/>
          <w:sz w:val="1"/>
          <w:szCs w:val="1"/>
        </w:rPr>
        <w:t>​</w:t>
      </w:r>
      <w:r>
        <w:rPr>
          <w:rFonts w:hint="default" w:ascii="Times New Roman" w:hAnsi="Times New Roman" w:eastAsia="Segoe UI" w:cs="Times New Roman"/>
          <w:i w:val="0"/>
          <w:iCs w:val="0"/>
          <w:caps w:val="0"/>
          <w:color w:val="404040"/>
          <w:spacing w:val="0"/>
          <w:sz w:val="19"/>
          <w:szCs w:val="19"/>
        </w:rPr>
        <w:t> 为两水团浓度的质量加权平均：</w:t>
      </w:r>
    </w:p>
    <w:p w14:paraId="4DA2C0BC">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imes New Roman" w:hAnsi="Times New Roman" w:cs="Times New Roman"/>
        </w:rPr>
      </w:pPr>
      <w:r>
        <w:rPr>
          <w:rFonts w:hint="default" w:ascii="Times New Roman" w:hAnsi="Times New Roman" w:eastAsia="KaTeX_Math" w:cs="Times New Roman"/>
          <w:i/>
          <w:iCs/>
          <w:caps w:val="0"/>
          <w:color w:val="404040"/>
          <w:spacing w:val="0"/>
          <w:kern w:val="0"/>
          <w:sz w:val="25"/>
          <w:szCs w:val="25"/>
          <w:lang w:val="en-US" w:eastAsia="zh-CN" w:bidi="ar"/>
        </w:rPr>
        <w:t>C</w:t>
      </w:r>
      <w:r>
        <w:rPr>
          <w:rFonts w:hint="default" w:ascii="Times New Roman" w:hAnsi="Times New Roman" w:eastAsia="Times New Roman" w:cs="Times New Roman"/>
          <w:i w:val="0"/>
          <w:iCs w:val="0"/>
          <w:caps w:val="0"/>
          <w:color w:val="404040"/>
          <w:spacing w:val="0"/>
          <w:kern w:val="0"/>
          <w:sz w:val="14"/>
          <w:szCs w:val="14"/>
          <w:lang w:val="en-US" w:eastAsia="zh-CN" w:bidi="ar"/>
        </w:rPr>
        <w:t>actual</w:t>
      </w:r>
      <w:r>
        <w:rPr>
          <w:rFonts w:hint="default" w:ascii="Times New Roman" w:hAnsi="Times New Roman" w:eastAsia="Times New Roman" w:cs="Times New Roman"/>
          <w:i w:val="0"/>
          <w:iCs w:val="0"/>
          <w:caps w:val="0"/>
          <w:color w:val="404040"/>
          <w:spacing w:val="0"/>
          <w:kern w:val="0"/>
          <w:sz w:val="1"/>
          <w:szCs w:val="1"/>
          <w:lang w:val="en-US" w:eastAsia="zh-CN" w:bidi="ar"/>
        </w:rPr>
        <w:t>​</w:t>
      </w:r>
      <w:r>
        <w:rPr>
          <w:rFonts w:hint="default" w:ascii="Times New Roman" w:hAnsi="Times New Roman" w:eastAsia="Times New Roman" w:cs="Times New Roman"/>
          <w:i w:val="0"/>
          <w:iCs w:val="0"/>
          <w:caps w:val="0"/>
          <w:color w:val="404040"/>
          <w:spacing w:val="0"/>
          <w:kern w:val="0"/>
          <w:sz w:val="25"/>
          <w:szCs w:val="25"/>
          <w:lang w:val="en-US" w:eastAsia="zh-CN" w:bidi="ar"/>
        </w:rPr>
        <w:t>=439.55(1−</w:t>
      </w:r>
      <w:r>
        <w:rPr>
          <w:rFonts w:hint="default" w:ascii="Times New Roman" w:hAnsi="Times New Roman" w:eastAsia="KaTeX_Math" w:cs="Times New Roman"/>
          <w:i/>
          <w:iCs/>
          <w:caps w:val="0"/>
          <w:color w:val="404040"/>
          <w:spacing w:val="0"/>
          <w:kern w:val="0"/>
          <w:sz w:val="25"/>
          <w:szCs w:val="25"/>
          <w:lang w:val="en-US" w:eastAsia="zh-CN" w:bidi="ar"/>
        </w:rPr>
        <w:t>x</w:t>
      </w:r>
      <w:r>
        <w:rPr>
          <w:rFonts w:hint="default" w:ascii="Times New Roman" w:hAnsi="Times New Roman" w:eastAsia="Times New Roman" w:cs="Times New Roman"/>
          <w:i w:val="0"/>
          <w:iCs w:val="0"/>
          <w:caps w:val="0"/>
          <w:color w:val="404040"/>
          <w:spacing w:val="0"/>
          <w:kern w:val="0"/>
          <w:sz w:val="25"/>
          <w:szCs w:val="25"/>
          <w:lang w:val="en-US" w:eastAsia="zh-CN" w:bidi="ar"/>
        </w:rPr>
        <w:t>)+210.30</w:t>
      </w:r>
      <w:r>
        <w:rPr>
          <w:rFonts w:hint="default" w:ascii="Times New Roman" w:hAnsi="Times New Roman" w:eastAsia="KaTeX_Math" w:cs="Times New Roman"/>
          <w:i/>
          <w:iCs/>
          <w:caps w:val="0"/>
          <w:color w:val="404040"/>
          <w:spacing w:val="0"/>
          <w:kern w:val="0"/>
          <w:sz w:val="25"/>
          <w:szCs w:val="25"/>
          <w:lang w:val="en-US" w:eastAsia="zh-CN" w:bidi="ar"/>
        </w:rPr>
        <w:t>x</w:t>
      </w:r>
      <w:r>
        <w:rPr>
          <w:rFonts w:hint="default" w:ascii="Times New Roman" w:hAnsi="Times New Roman" w:eastAsia="Times New Roman" w:cs="Times New Roman"/>
          <w:i w:val="0"/>
          <w:iCs w:val="0"/>
          <w:caps w:val="0"/>
          <w:color w:val="404040"/>
          <w:spacing w:val="0"/>
          <w:kern w:val="0"/>
          <w:sz w:val="25"/>
          <w:szCs w:val="25"/>
          <w:lang w:val="en-US" w:eastAsia="zh-CN" w:bidi="ar"/>
        </w:rPr>
        <w:t>(</w:t>
      </w:r>
      <w:r>
        <w:rPr>
          <w:rFonts w:hint="default" w:ascii="Times New Roman" w:hAnsi="Times New Roman" w:eastAsia="KaTeX_Math" w:cs="Times New Roman"/>
          <w:i/>
          <w:iCs/>
          <w:caps w:val="0"/>
          <w:color w:val="404040"/>
          <w:spacing w:val="0"/>
          <w:kern w:val="0"/>
          <w:sz w:val="25"/>
          <w:szCs w:val="25"/>
          <w:lang w:val="en-US" w:eastAsia="zh-CN" w:bidi="ar"/>
        </w:rPr>
        <w:t>μ</w:t>
      </w:r>
      <w:r>
        <w:rPr>
          <w:rFonts w:hint="default" w:ascii="Times New Roman" w:hAnsi="Times New Roman" w:eastAsia="Times New Roman" w:cs="Times New Roman"/>
          <w:i w:val="0"/>
          <w:iCs w:val="0"/>
          <w:caps w:val="0"/>
          <w:color w:val="404040"/>
          <w:spacing w:val="0"/>
          <w:kern w:val="0"/>
          <w:sz w:val="25"/>
          <w:szCs w:val="25"/>
          <w:lang w:val="en-US" w:eastAsia="zh-CN" w:bidi="ar"/>
        </w:rPr>
        <w:t>mol/kg).</w:t>
      </w:r>
    </w:p>
    <w:p w14:paraId="67483EB1">
      <w:pPr>
        <w:pStyle w:val="5"/>
        <w:keepNext w:val="0"/>
        <w:keepLines w:val="0"/>
        <w:pageBreakBefore w:val="0"/>
        <w:widowControl/>
        <w:suppressLineNumbers w:val="0"/>
        <w:kinsoku/>
        <w:wordWrap/>
        <w:overflowPunct/>
        <w:topLinePunct w:val="0"/>
        <w:autoSpaceDE/>
        <w:autoSpaceDN/>
        <w:bidi w:val="0"/>
        <w:adjustRightInd/>
        <w:snapToGrid/>
        <w:spacing w:before="165" w:beforeAutospacing="0" w:after="165" w:afterAutospacing="0" w:line="360" w:lineRule="auto"/>
        <w:ind w:left="0" w:right="0" w:firstLine="0"/>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sz w:val="19"/>
          <w:szCs w:val="19"/>
        </w:rPr>
        <w:t>使用文献表5进行线性插值：</w:t>
      </w:r>
    </w:p>
    <w:p w14:paraId="3F0ECD7E">
      <w:pPr>
        <w:pStyle w:val="5"/>
        <w:keepNext w:val="0"/>
        <w:keepLines w:val="0"/>
        <w:pageBreakBefore w:val="0"/>
        <w:widowControl/>
        <w:suppressLineNumbers w:val="0"/>
        <w:kinsoku/>
        <w:wordWrap/>
        <w:overflowPunct/>
        <w:topLinePunct w:val="0"/>
        <w:autoSpaceDE/>
        <w:autoSpaceDN/>
        <w:bidi w:val="0"/>
        <w:adjustRightInd/>
        <w:snapToGrid/>
        <w:spacing w:before="165" w:beforeAutospacing="0" w:after="165" w:afterAutospacing="0" w:line="360" w:lineRule="auto"/>
        <w:ind w:left="0" w:right="0" w:firstLine="0"/>
        <w:textAlignment w:val="auto"/>
        <w:rPr>
          <w:rFonts w:hint="default" w:ascii="Times New Roman" w:hAnsi="Times New Roman" w:eastAsia="Segoe UI" w:cs="Times New Roman"/>
          <w:i w:val="0"/>
          <w:iCs w:val="0"/>
          <w:caps w:val="0"/>
          <w:color w:val="404040"/>
          <w:spacing w:val="0"/>
          <w:sz w:val="19"/>
          <w:szCs w:val="19"/>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3"/>
        <w:gridCol w:w="1152"/>
        <w:gridCol w:w="705"/>
        <w:gridCol w:w="2733"/>
      </w:tblGrid>
      <w:tr w14:paraId="66B6B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3A3A3" w:sz="4" w:space="0"/>
              <w:bottom w:val="single" w:color="A3A3A3" w:sz="4" w:space="0"/>
            </w:tcBorders>
            <w:shd w:val="clear" w:color="auto" w:fill="auto"/>
            <w:tcMar>
              <w:top w:w="82" w:type="dxa"/>
              <w:left w:w="0" w:type="dxa"/>
              <w:bottom w:w="82" w:type="dxa"/>
              <w:right w:w="165" w:type="dxa"/>
            </w:tcMar>
            <w:vAlign w:val="center"/>
          </w:tcPr>
          <w:p w14:paraId="1B20ECC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bCs/>
                <w:i w:val="0"/>
                <w:iCs w:val="0"/>
                <w:caps w:val="0"/>
                <w:color w:val="404040"/>
                <w:spacing w:val="0"/>
                <w:sz w:val="19"/>
                <w:szCs w:val="19"/>
              </w:rPr>
            </w:pPr>
            <w:r>
              <w:rPr>
                <w:rFonts w:hint="default" w:ascii="Times New Roman" w:hAnsi="Times New Roman" w:eastAsia="Times New Roman" w:cs="Times New Roman"/>
                <w:b/>
                <w:bCs/>
                <w:i w:val="0"/>
                <w:iCs w:val="0"/>
                <w:caps w:val="0"/>
                <w:color w:val="404040"/>
                <w:spacing w:val="0"/>
                <w:kern w:val="0"/>
                <w:sz w:val="25"/>
                <w:szCs w:val="25"/>
                <w:lang w:val="en-US" w:eastAsia="zh-CN" w:bidi="ar"/>
              </w:rPr>
              <w:t>x</w:t>
            </w:r>
          </w:p>
        </w:tc>
        <w:tc>
          <w:tcPr>
            <w:tcW w:w="0" w:type="auto"/>
            <w:tcBorders>
              <w:top w:val="single" w:color="A3A3A3" w:sz="4" w:space="0"/>
              <w:bottom w:val="single" w:color="A3A3A3" w:sz="4" w:space="0"/>
            </w:tcBorders>
            <w:shd w:val="clear" w:color="auto" w:fill="auto"/>
            <w:tcMar>
              <w:top w:w="82" w:type="dxa"/>
              <w:left w:w="165" w:type="dxa"/>
              <w:bottom w:w="82" w:type="dxa"/>
              <w:right w:w="165" w:type="dxa"/>
            </w:tcMar>
            <w:vAlign w:val="center"/>
          </w:tcPr>
          <w:p w14:paraId="3E6D291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bCs/>
                <w:i w:val="0"/>
                <w:iCs w:val="0"/>
                <w:caps w:val="0"/>
                <w:color w:val="404040"/>
                <w:spacing w:val="0"/>
                <w:sz w:val="19"/>
                <w:szCs w:val="19"/>
              </w:rPr>
            </w:pPr>
            <w:r>
              <w:rPr>
                <w:rFonts w:hint="default" w:ascii="Times New Roman" w:hAnsi="Times New Roman" w:eastAsia="KaTeX_Math" w:cs="Times New Roman"/>
                <w:b/>
                <w:bCs/>
                <w:i/>
                <w:iCs/>
                <w:caps w:val="0"/>
                <w:color w:val="404040"/>
                <w:spacing w:val="0"/>
                <w:kern w:val="0"/>
                <w:sz w:val="25"/>
                <w:szCs w:val="25"/>
                <w:lang w:val="en-US" w:eastAsia="zh-CN" w:bidi="ar"/>
              </w:rPr>
              <w:t>T</w:t>
            </w:r>
            <w:r>
              <w:rPr>
                <w:rFonts w:hint="default" w:ascii="Times New Roman" w:hAnsi="Times New Roman" w:eastAsia="Times New Roman" w:cs="Times New Roman"/>
                <w:b/>
                <w:bCs/>
                <w:i w:val="0"/>
                <w:iCs w:val="0"/>
                <w:caps w:val="0"/>
                <w:color w:val="404040"/>
                <w:spacing w:val="0"/>
                <w:kern w:val="0"/>
                <w:sz w:val="14"/>
                <w:szCs w:val="14"/>
                <w:lang w:val="en-US" w:eastAsia="zh-CN" w:bidi="ar"/>
              </w:rPr>
              <w:t>mix</w:t>
            </w:r>
            <w:r>
              <w:rPr>
                <w:rFonts w:hint="default" w:ascii="Times New Roman" w:hAnsi="Times New Roman" w:eastAsia="Times New Roman" w:cs="Times New Roman"/>
                <w:b/>
                <w:bCs/>
                <w:i w:val="0"/>
                <w:iCs w:val="0"/>
                <w:caps w:val="0"/>
                <w:color w:val="404040"/>
                <w:spacing w:val="0"/>
                <w:kern w:val="0"/>
                <w:sz w:val="1"/>
                <w:szCs w:val="1"/>
                <w:lang w:val="en-US" w:eastAsia="zh-CN" w:bidi="ar"/>
              </w:rPr>
              <w:t>​</w:t>
            </w:r>
            <w:r>
              <w:rPr>
                <w:rFonts w:hint="default" w:ascii="Times New Roman" w:hAnsi="Times New Roman" w:eastAsia="Times New Roman" w:cs="Times New Roman"/>
                <w:b/>
                <w:bCs/>
                <w:i w:val="0"/>
                <w:iCs w:val="0"/>
                <w:caps w:val="0"/>
                <w:color w:val="404040"/>
                <w:spacing w:val="0"/>
                <w:kern w:val="0"/>
                <w:sz w:val="25"/>
                <w:szCs w:val="25"/>
                <w:lang w:val="en-US" w:eastAsia="zh-CN" w:bidi="ar"/>
              </w:rPr>
              <w:t>(°</w:t>
            </w:r>
            <w:r>
              <w:rPr>
                <w:rFonts w:hint="default" w:ascii="Times New Roman" w:hAnsi="Times New Roman" w:eastAsia="KaTeX_Math" w:cs="Times New Roman"/>
                <w:b/>
                <w:bCs/>
                <w:i/>
                <w:iCs/>
                <w:caps w:val="0"/>
                <w:color w:val="404040"/>
                <w:spacing w:val="0"/>
                <w:kern w:val="0"/>
                <w:sz w:val="25"/>
                <w:szCs w:val="25"/>
                <w:lang w:val="en-US" w:eastAsia="zh-CN" w:bidi="ar"/>
              </w:rPr>
              <w:t>C</w:t>
            </w:r>
            <w:r>
              <w:rPr>
                <w:rFonts w:hint="default" w:ascii="Times New Roman" w:hAnsi="Times New Roman" w:eastAsia="Times New Roman" w:cs="Times New Roman"/>
                <w:b/>
                <w:bCs/>
                <w:i w:val="0"/>
                <w:iCs w:val="0"/>
                <w:caps w:val="0"/>
                <w:color w:val="404040"/>
                <w:spacing w:val="0"/>
                <w:kern w:val="0"/>
                <w:sz w:val="25"/>
                <w:szCs w:val="25"/>
                <w:lang w:val="en-US" w:eastAsia="zh-CN" w:bidi="ar"/>
              </w:rPr>
              <w:t>)</w:t>
            </w:r>
          </w:p>
        </w:tc>
        <w:tc>
          <w:tcPr>
            <w:tcW w:w="0" w:type="auto"/>
            <w:tcBorders>
              <w:top w:val="single" w:color="A3A3A3" w:sz="4" w:space="0"/>
              <w:bottom w:val="single" w:color="A3A3A3" w:sz="4" w:space="0"/>
            </w:tcBorders>
            <w:shd w:val="clear" w:color="auto" w:fill="auto"/>
            <w:tcMar>
              <w:top w:w="82" w:type="dxa"/>
              <w:left w:w="165" w:type="dxa"/>
              <w:bottom w:w="82" w:type="dxa"/>
              <w:right w:w="165" w:type="dxa"/>
            </w:tcMar>
            <w:vAlign w:val="center"/>
          </w:tcPr>
          <w:p w14:paraId="3ABC554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bCs/>
                <w:i w:val="0"/>
                <w:iCs w:val="0"/>
                <w:caps w:val="0"/>
                <w:color w:val="404040"/>
                <w:spacing w:val="0"/>
                <w:sz w:val="19"/>
                <w:szCs w:val="19"/>
              </w:rPr>
            </w:pPr>
            <w:r>
              <w:rPr>
                <w:rFonts w:hint="default" w:ascii="Times New Roman" w:hAnsi="Times New Roman" w:eastAsia="KaTeX_Math" w:cs="Times New Roman"/>
                <w:b/>
                <w:bCs/>
                <w:i/>
                <w:iCs/>
                <w:caps w:val="0"/>
                <w:color w:val="404040"/>
                <w:spacing w:val="0"/>
                <w:kern w:val="0"/>
                <w:sz w:val="25"/>
                <w:szCs w:val="25"/>
                <w:lang w:val="en-US" w:eastAsia="zh-CN" w:bidi="ar"/>
              </w:rPr>
              <w:t>S</w:t>
            </w:r>
            <w:r>
              <w:rPr>
                <w:rFonts w:hint="default" w:ascii="Times New Roman" w:hAnsi="Times New Roman" w:eastAsia="Times New Roman" w:cs="Times New Roman"/>
                <w:b/>
                <w:bCs/>
                <w:i w:val="0"/>
                <w:iCs w:val="0"/>
                <w:caps w:val="0"/>
                <w:color w:val="404040"/>
                <w:spacing w:val="0"/>
                <w:kern w:val="0"/>
                <w:sz w:val="14"/>
                <w:szCs w:val="14"/>
                <w:lang w:val="en-US" w:eastAsia="zh-CN" w:bidi="ar"/>
              </w:rPr>
              <w:t>mix</w:t>
            </w:r>
            <w:r>
              <w:rPr>
                <w:rFonts w:hint="default" w:ascii="Times New Roman" w:hAnsi="Times New Roman" w:eastAsia="Times New Roman" w:cs="Times New Roman"/>
                <w:b/>
                <w:bCs/>
                <w:i w:val="0"/>
                <w:iCs w:val="0"/>
                <w:caps w:val="0"/>
                <w:color w:val="404040"/>
                <w:spacing w:val="0"/>
                <w:kern w:val="0"/>
                <w:sz w:val="1"/>
                <w:szCs w:val="1"/>
                <w:lang w:val="en-US" w:eastAsia="zh-CN" w:bidi="ar"/>
              </w:rPr>
              <w:t>​</w:t>
            </w:r>
          </w:p>
        </w:tc>
        <w:tc>
          <w:tcPr>
            <w:tcW w:w="0" w:type="auto"/>
            <w:tcBorders>
              <w:top w:val="single" w:color="A3A3A3" w:sz="4" w:space="0"/>
              <w:bottom w:val="single" w:color="A3A3A3" w:sz="4" w:space="0"/>
            </w:tcBorders>
            <w:shd w:val="clear" w:color="auto" w:fill="auto"/>
            <w:tcMar>
              <w:top w:w="82" w:type="dxa"/>
              <w:left w:w="165" w:type="dxa"/>
              <w:bottom w:w="82" w:type="dxa"/>
              <w:right w:w="165" w:type="dxa"/>
            </w:tcMar>
            <w:vAlign w:val="center"/>
          </w:tcPr>
          <w:p w14:paraId="4F9204D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b/>
                <w:bCs/>
                <w:i w:val="0"/>
                <w:iCs w:val="0"/>
                <w:caps w:val="0"/>
                <w:color w:val="404040"/>
                <w:spacing w:val="0"/>
                <w:sz w:val="19"/>
                <w:szCs w:val="19"/>
              </w:rPr>
            </w:pPr>
            <w:r>
              <w:rPr>
                <w:rFonts w:hint="default" w:ascii="Times New Roman" w:hAnsi="Times New Roman" w:eastAsia="KaTeX_Math" w:cs="Times New Roman"/>
                <w:b/>
                <w:bCs/>
                <w:i/>
                <w:iCs/>
                <w:caps w:val="0"/>
                <w:color w:val="404040"/>
                <w:spacing w:val="0"/>
                <w:kern w:val="0"/>
                <w:sz w:val="25"/>
                <w:szCs w:val="25"/>
                <w:lang w:val="en-US" w:eastAsia="zh-CN" w:bidi="ar"/>
              </w:rPr>
              <w:t>C</w:t>
            </w:r>
            <w:r>
              <w:rPr>
                <w:rFonts w:hint="default" w:ascii="Times New Roman" w:hAnsi="Times New Roman" w:eastAsia="Times New Roman" w:cs="Times New Roman"/>
                <w:b/>
                <w:bCs/>
                <w:i w:val="0"/>
                <w:iCs w:val="0"/>
                <w:caps w:val="0"/>
                <w:color w:val="404040"/>
                <w:spacing w:val="0"/>
                <w:kern w:val="0"/>
                <w:sz w:val="14"/>
                <w:szCs w:val="14"/>
                <w:lang w:val="en-US" w:eastAsia="zh-CN" w:bidi="ar"/>
              </w:rPr>
              <w:t>sat,mix</w:t>
            </w:r>
            <w:r>
              <w:rPr>
                <w:rFonts w:hint="default" w:ascii="Times New Roman" w:hAnsi="Times New Roman" w:eastAsia="Times New Roman" w:cs="Times New Roman"/>
                <w:b/>
                <w:bCs/>
                <w:i w:val="0"/>
                <w:iCs w:val="0"/>
                <w:caps w:val="0"/>
                <w:color w:val="404040"/>
                <w:spacing w:val="0"/>
                <w:kern w:val="0"/>
                <w:sz w:val="1"/>
                <w:szCs w:val="1"/>
                <w:lang w:val="en-US" w:eastAsia="zh-CN" w:bidi="ar"/>
              </w:rPr>
              <w:t>​</w:t>
            </w:r>
            <w:r>
              <w:rPr>
                <w:rFonts w:hint="default" w:ascii="Times New Roman" w:hAnsi="Times New Roman" w:eastAsia="Times New Roman" w:cs="Times New Roman"/>
                <w:b/>
                <w:bCs/>
                <w:i w:val="0"/>
                <w:iCs w:val="0"/>
                <w:caps w:val="0"/>
                <w:color w:val="404040"/>
                <w:spacing w:val="0"/>
                <w:kern w:val="0"/>
                <w:sz w:val="25"/>
                <w:szCs w:val="25"/>
                <w:lang w:val="en-US" w:eastAsia="zh-CN" w:bidi="ar"/>
              </w:rPr>
              <w:t>(</w:t>
            </w:r>
            <w:r>
              <w:rPr>
                <w:rFonts w:hint="default" w:ascii="Times New Roman" w:hAnsi="Times New Roman" w:eastAsia="KaTeX_Math" w:cs="Times New Roman"/>
                <w:b/>
                <w:bCs/>
                <w:i/>
                <w:iCs/>
                <w:caps w:val="0"/>
                <w:color w:val="404040"/>
                <w:spacing w:val="0"/>
                <w:kern w:val="0"/>
                <w:sz w:val="25"/>
                <w:szCs w:val="25"/>
                <w:lang w:val="en-US" w:eastAsia="zh-CN" w:bidi="ar"/>
              </w:rPr>
              <w:t>μ</w:t>
            </w:r>
            <w:r>
              <w:rPr>
                <w:rFonts w:hint="default" w:ascii="Times New Roman" w:hAnsi="Times New Roman" w:eastAsia="Times New Roman" w:cs="Times New Roman"/>
                <w:b/>
                <w:bCs/>
                <w:i w:val="0"/>
                <w:iCs w:val="0"/>
                <w:caps w:val="0"/>
                <w:color w:val="404040"/>
                <w:spacing w:val="0"/>
                <w:kern w:val="0"/>
                <w:sz w:val="25"/>
                <w:szCs w:val="25"/>
                <w:lang w:val="en-US" w:eastAsia="zh-CN" w:bidi="ar"/>
              </w:rPr>
              <w:t>mol/kg)</w:t>
            </w:r>
          </w:p>
        </w:tc>
      </w:tr>
      <w:tr w14:paraId="0F8F6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A3A3A3" w:sz="4" w:space="0"/>
            </w:tcBorders>
            <w:shd w:val="clear" w:color="auto" w:fill="auto"/>
            <w:tcMar>
              <w:top w:w="82" w:type="dxa"/>
              <w:left w:w="0" w:type="dxa"/>
              <w:bottom w:w="82" w:type="dxa"/>
              <w:right w:w="165" w:type="dxa"/>
            </w:tcMar>
            <w:vAlign w:val="center"/>
          </w:tcPr>
          <w:p w14:paraId="70C5637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0.0</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516091F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0.0</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69F2E8D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5</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1ABCC1C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439.55</w:t>
            </w:r>
          </w:p>
        </w:tc>
      </w:tr>
      <w:tr w14:paraId="56C25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A3A3A3" w:sz="4" w:space="0"/>
            </w:tcBorders>
            <w:shd w:val="clear" w:color="auto" w:fill="auto"/>
            <w:tcMar>
              <w:top w:w="82" w:type="dxa"/>
              <w:left w:w="0" w:type="dxa"/>
              <w:bottom w:w="82" w:type="dxa"/>
              <w:right w:w="165" w:type="dxa"/>
            </w:tcMar>
            <w:vAlign w:val="center"/>
          </w:tcPr>
          <w:p w14:paraId="0D440E0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0.2</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060346B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4.8</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5A83EA0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11</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7053094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~380.0（插值）</w:t>
            </w:r>
          </w:p>
        </w:tc>
      </w:tr>
      <w:tr w14:paraId="06766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A3A3A3" w:sz="4" w:space="0"/>
            </w:tcBorders>
            <w:shd w:val="clear" w:color="auto" w:fill="auto"/>
            <w:tcMar>
              <w:top w:w="82" w:type="dxa"/>
              <w:left w:w="0" w:type="dxa"/>
              <w:bottom w:w="82" w:type="dxa"/>
              <w:right w:w="165" w:type="dxa"/>
            </w:tcMar>
            <w:vAlign w:val="center"/>
          </w:tcPr>
          <w:p w14:paraId="4737668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0.5</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32F7326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12.0</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7D6E882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20</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2EC31C0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292.66（表5中12℃, S=20）</w:t>
            </w:r>
          </w:p>
        </w:tc>
      </w:tr>
      <w:tr w14:paraId="3BE24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A3A3A3" w:sz="4" w:space="0"/>
            </w:tcBorders>
            <w:shd w:val="clear" w:color="auto" w:fill="auto"/>
            <w:tcMar>
              <w:top w:w="82" w:type="dxa"/>
              <w:left w:w="0" w:type="dxa"/>
              <w:bottom w:w="82" w:type="dxa"/>
              <w:right w:w="165" w:type="dxa"/>
            </w:tcMar>
            <w:vAlign w:val="center"/>
          </w:tcPr>
          <w:p w14:paraId="454C6ED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0.8</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70FA8AA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19.2</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554ABB3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29</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5C1C069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~240.0（插值）</w:t>
            </w:r>
          </w:p>
        </w:tc>
      </w:tr>
      <w:tr w14:paraId="7CB34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A3A3A3" w:sz="4" w:space="0"/>
            </w:tcBorders>
            <w:shd w:val="clear" w:color="auto" w:fill="auto"/>
            <w:tcMar>
              <w:top w:w="82" w:type="dxa"/>
              <w:left w:w="0" w:type="dxa"/>
              <w:bottom w:w="82" w:type="dxa"/>
              <w:right w:w="165" w:type="dxa"/>
            </w:tcMar>
            <w:vAlign w:val="center"/>
          </w:tcPr>
          <w:p w14:paraId="083E36A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1.0</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6A869B7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24.0</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3D55637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35</w:t>
            </w:r>
          </w:p>
        </w:tc>
        <w:tc>
          <w:tcPr>
            <w:tcW w:w="0" w:type="auto"/>
            <w:tcBorders>
              <w:bottom w:val="single" w:color="A3A3A3" w:sz="4" w:space="0"/>
            </w:tcBorders>
            <w:shd w:val="clear" w:color="auto" w:fill="auto"/>
            <w:tcMar>
              <w:top w:w="82" w:type="dxa"/>
              <w:left w:w="165" w:type="dxa"/>
              <w:bottom w:w="82" w:type="dxa"/>
              <w:right w:w="165" w:type="dxa"/>
            </w:tcMar>
            <w:vAlign w:val="center"/>
          </w:tcPr>
          <w:p w14:paraId="54E83C3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egoe UI" w:cs="Times New Roman"/>
                <w:i w:val="0"/>
                <w:iCs w:val="0"/>
                <w:caps w:val="0"/>
                <w:color w:val="404040"/>
                <w:spacing w:val="0"/>
                <w:sz w:val="19"/>
                <w:szCs w:val="19"/>
              </w:rPr>
            </w:pPr>
            <w:r>
              <w:rPr>
                <w:rFonts w:hint="default" w:ascii="Times New Roman" w:hAnsi="Times New Roman" w:eastAsia="Segoe UI" w:cs="Times New Roman"/>
                <w:i w:val="0"/>
                <w:iCs w:val="0"/>
                <w:caps w:val="0"/>
                <w:color w:val="404040"/>
                <w:spacing w:val="0"/>
                <w:kern w:val="0"/>
                <w:sz w:val="19"/>
                <w:szCs w:val="19"/>
                <w:lang w:val="en-US" w:eastAsia="zh-CN" w:bidi="ar"/>
              </w:rPr>
              <w:t>210.30</w:t>
            </w:r>
          </w:p>
        </w:tc>
      </w:tr>
    </w:tbl>
    <w:p w14:paraId="5E2C22F5">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p>
    <w:p w14:paraId="367D513A">
      <w:pPr>
        <w:pStyle w:val="11"/>
        <w:keepNext w:val="0"/>
        <w:keepLines w:val="0"/>
        <w:pageBreakBefore w:val="0"/>
        <w:numPr>
          <w:ilvl w:val="0"/>
          <w:numId w:val="0"/>
        </w:numPr>
        <w:kinsoku/>
        <w:wordWrap/>
        <w:overflowPunct/>
        <w:topLinePunct w:val="0"/>
        <w:autoSpaceDE/>
        <w:autoSpaceDN/>
        <w:bidi w:val="0"/>
        <w:adjustRightInd/>
        <w:snapToGrid/>
        <w:spacing w:line="360" w:lineRule="auto"/>
        <w:ind w:left="360" w:leftChars="0"/>
        <w:contextualSpacing w:val="0"/>
        <w:textAlignment w:val="auto"/>
        <w:rPr>
          <w:rFonts w:hint="eastAsia"/>
          <w:sz w:val="24"/>
          <w:lang w:val="en-US" w:eastAsia="zh-CN"/>
        </w:rPr>
      </w:pPr>
      <w:r>
        <w:rPr>
          <w:rFonts w:hint="eastAsia"/>
          <w:sz w:val="24"/>
          <w:lang w:val="en-US" w:eastAsia="zh-CN"/>
        </w:rPr>
        <w:t>作图得</w:t>
      </w:r>
    </w:p>
    <w:p w14:paraId="4D7FE4B8">
      <w:pPr>
        <w:pStyle w:val="11"/>
        <w:keepNext w:val="0"/>
        <w:keepLines w:val="0"/>
        <w:pageBreakBefore w:val="0"/>
        <w:numPr>
          <w:ilvl w:val="0"/>
          <w:numId w:val="0"/>
        </w:numPr>
        <w:kinsoku/>
        <w:wordWrap/>
        <w:overflowPunct/>
        <w:topLinePunct w:val="0"/>
        <w:autoSpaceDE/>
        <w:autoSpaceDN/>
        <w:bidi w:val="0"/>
        <w:adjustRightInd/>
        <w:snapToGrid/>
        <w:spacing w:line="360" w:lineRule="auto"/>
        <w:ind w:left="360" w:leftChars="0"/>
        <w:contextualSpacing w:val="0"/>
        <w:textAlignment w:val="auto"/>
      </w:pPr>
      <w:r>
        <w:drawing>
          <wp:inline distT="0" distB="0" distL="114300" distR="114300">
            <wp:extent cx="4940300" cy="2947035"/>
            <wp:effectExtent l="4445" t="4445" r="8255" b="5080"/>
            <wp:docPr id="8"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A1B7B67">
      <w:pPr>
        <w:pStyle w:val="11"/>
        <w:keepNext w:val="0"/>
        <w:keepLines w:val="0"/>
        <w:pageBreakBefore w:val="0"/>
        <w:numPr>
          <w:ilvl w:val="0"/>
          <w:numId w:val="0"/>
        </w:numPr>
        <w:kinsoku/>
        <w:wordWrap/>
        <w:overflowPunct/>
        <w:topLinePunct w:val="0"/>
        <w:autoSpaceDE/>
        <w:autoSpaceDN/>
        <w:bidi w:val="0"/>
        <w:adjustRightInd/>
        <w:snapToGrid/>
        <w:spacing w:line="360" w:lineRule="auto"/>
        <w:ind w:left="360" w:leftChars="0"/>
        <w:contextualSpacing w:val="0"/>
        <w:textAlignment w:val="auto"/>
        <w:rPr>
          <w:rFonts w:hint="default"/>
          <w:lang w:val="en-US" w:eastAsia="zh-CN"/>
        </w:rPr>
      </w:pPr>
      <w:r>
        <w:rPr>
          <w:rFonts w:hint="eastAsia"/>
          <w:lang w:val="en-US" w:eastAsia="zh-CN"/>
        </w:rPr>
        <w:t>原因：</w:t>
      </w:r>
    </w:p>
    <w:p w14:paraId="6CD3447D">
      <w:pPr>
        <w:pStyle w:val="11"/>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16" w:firstLineChars="0"/>
        <w:contextualSpacing w:val="0"/>
        <w:textAlignment w:val="auto"/>
        <w:rPr>
          <w:rFonts w:hint="default"/>
          <w:lang w:val="en-US" w:eastAsia="zh-CN"/>
        </w:rPr>
      </w:pPr>
      <w:r>
        <w:rPr>
          <w:rFonts w:hint="default"/>
          <w:lang w:val="en-US" w:eastAsia="zh-CN"/>
        </w:rPr>
        <w:t>非线性溶解度响应：</w:t>
      </w:r>
      <w:r>
        <w:rPr>
          <w:rFonts w:hint="default"/>
          <w:lang w:val="en-US" w:eastAsia="zh-CN"/>
        </w:rPr>
        <w:br w:type="textWrapping"/>
      </w:r>
      <w:r>
        <w:rPr>
          <w:rFonts w:hint="default"/>
          <w:lang w:val="en-US" w:eastAsia="zh-CN"/>
        </w:rPr>
        <w:t>溶解度随温度升高和盐度增加而降低，但二者对溶解度的抑制效应是非线性的（如高温下盐度影响更显著）。</w:t>
      </w:r>
    </w:p>
    <w:p w14:paraId="1CF2F9CD">
      <w:pPr>
        <w:pStyle w:val="11"/>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16" w:firstLineChars="0"/>
        <w:contextualSpacing w:val="0"/>
        <w:textAlignment w:val="auto"/>
        <w:rPr>
          <w:rFonts w:hint="default"/>
          <w:lang w:val="en-US" w:eastAsia="zh-CN"/>
        </w:rPr>
      </w:pPr>
      <w:r>
        <w:rPr>
          <w:rFonts w:hint="default"/>
          <w:lang w:val="en-US" w:eastAsia="zh-CN"/>
        </w:rPr>
        <w:t>混合的线性叠加：</w:t>
      </w:r>
      <w:r>
        <w:rPr>
          <w:rFonts w:hint="default"/>
          <w:lang w:val="en-US" w:eastAsia="zh-CN"/>
        </w:rPr>
        <w:br w:type="textWrapping"/>
      </w:r>
      <w:r>
        <w:rPr>
          <w:rFonts w:hint="default"/>
          <w:lang w:val="en-US" w:eastAsia="zh-CN"/>
        </w:rPr>
        <w:t>实际浓度 CactualCactual​ 是两水团浓度的线性平均，而溶解度 Csat,mixCsat,mix​ 受</w:t>
      </w:r>
      <w:r>
        <w:rPr>
          <w:rFonts w:hint="eastAsia"/>
          <w:lang w:val="en-US" w:eastAsia="zh-CN"/>
        </w:rPr>
        <w:tab/>
      </w:r>
      <w:r>
        <w:rPr>
          <w:rFonts w:hint="eastAsia"/>
          <w:lang w:val="en-US" w:eastAsia="zh-CN"/>
        </w:rPr>
        <w:tab/>
      </w:r>
      <w:r>
        <w:rPr>
          <w:rFonts w:hint="default"/>
          <w:lang w:val="en-US" w:eastAsia="zh-CN"/>
        </w:rPr>
        <w:t>温度和盐度的协同非线性影响。</w:t>
      </w:r>
    </w:p>
    <w:p w14:paraId="68E47D53">
      <w:pPr>
        <w:pStyle w:val="11"/>
        <w:keepNext w:val="0"/>
        <w:keepLines w:val="0"/>
        <w:pageBreakBefore w:val="0"/>
        <w:numPr>
          <w:ilvl w:val="0"/>
          <w:numId w:val="0"/>
        </w:numPr>
        <w:kinsoku/>
        <w:wordWrap/>
        <w:overflowPunct/>
        <w:topLinePunct w:val="0"/>
        <w:autoSpaceDE/>
        <w:autoSpaceDN/>
        <w:bidi w:val="0"/>
        <w:adjustRightInd/>
        <w:snapToGrid/>
        <w:spacing w:line="360" w:lineRule="auto"/>
        <w:ind w:left="360" w:leftChars="0"/>
        <w:contextualSpacing w:val="0"/>
        <w:textAlignment w:val="auto"/>
        <w:rPr>
          <w:rFonts w:hint="default"/>
          <w:lang w:val="en-US" w:eastAsia="zh-CN"/>
        </w:rPr>
      </w:pPr>
      <w:r>
        <w:rPr>
          <w:rFonts w:hint="default"/>
          <w:lang w:val="en-US" w:eastAsia="zh-CN"/>
        </w:rPr>
        <w:t>冷-温水混合：冷水（高溶解度）与温水（低溶解度）混合后，溶解度下降速率快于实际浓度的线性降低，导致实际浓度高于溶解度（过饱和）。</w:t>
      </w:r>
    </w:p>
    <w:p w14:paraId="178A0075">
      <w:pPr>
        <w:pStyle w:val="11"/>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16" w:firstLineChars="0"/>
        <w:contextualSpacing w:val="0"/>
        <w:textAlignment w:val="auto"/>
        <w:rPr>
          <w:rFonts w:hint="default"/>
          <w:lang w:val="en-US" w:eastAsia="zh-CN"/>
        </w:rPr>
      </w:pPr>
      <w:r>
        <w:rPr>
          <w:rFonts w:hint="default"/>
          <w:lang w:val="en-US" w:eastAsia="zh-CN"/>
        </w:rPr>
        <w:t>低-高盐混合：盐度增加进一步抑制溶解度，加剧差异</w:t>
      </w:r>
    </w:p>
    <w:p w14:paraId="14C5EC33">
      <w:pPr>
        <w:pStyle w:val="11"/>
        <w:keepNext w:val="0"/>
        <w:keepLines w:val="0"/>
        <w:pageBreakBefore w:val="0"/>
        <w:numPr>
          <w:ilvl w:val="0"/>
          <w:numId w:val="0"/>
        </w:numPr>
        <w:kinsoku/>
        <w:wordWrap/>
        <w:overflowPunct/>
        <w:topLinePunct w:val="0"/>
        <w:autoSpaceDE/>
        <w:autoSpaceDN/>
        <w:bidi w:val="0"/>
        <w:adjustRightInd/>
        <w:snapToGrid/>
        <w:spacing w:line="360" w:lineRule="auto"/>
        <w:ind w:left="360" w:leftChars="0"/>
        <w:contextualSpacing w:val="0"/>
        <w:textAlignment w:val="auto"/>
        <w:rPr>
          <w:rFonts w:hint="default"/>
          <w:lang w:val="en-US" w:eastAsia="zh-CN"/>
        </w:rPr>
      </w:pPr>
    </w:p>
    <w:p w14:paraId="28A1B811">
      <w:pPr>
        <w:pStyle w:val="11"/>
        <w:keepNext w:val="0"/>
        <w:keepLines w:val="0"/>
        <w:pageBreakBefore w:val="0"/>
        <w:numPr>
          <w:ilvl w:val="0"/>
          <w:numId w:val="0"/>
        </w:numPr>
        <w:kinsoku/>
        <w:wordWrap/>
        <w:overflowPunct/>
        <w:topLinePunct w:val="0"/>
        <w:autoSpaceDE/>
        <w:autoSpaceDN/>
        <w:bidi w:val="0"/>
        <w:adjustRightInd/>
        <w:snapToGrid/>
        <w:spacing w:line="360" w:lineRule="auto"/>
        <w:ind w:left="360" w:leftChars="0"/>
        <w:contextualSpacing w:val="0"/>
        <w:textAlignment w:val="auto"/>
        <w:rPr>
          <w:rFonts w:hint="default"/>
          <w:lang w:val="en-US" w:eastAsia="zh-CN"/>
        </w:rPr>
      </w:pPr>
    </w:p>
    <w:p w14:paraId="4D361F82">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rFonts w:ascii="Times New Roman" w:hAnsi="Times New Roman" w:cs="Times New Roman"/>
          <w:sz w:val="24"/>
        </w:rPr>
      </w:pPr>
      <w:r>
        <w:rPr>
          <w:rFonts w:ascii="Times New Roman" w:hAnsi="Times New Roman" w:cs="Times New Roman"/>
          <w:sz w:val="24"/>
        </w:rPr>
        <w:t>Benson BB &amp; Krause D (1984) The concentration and isotopic fractionation of oxygen dissolved in fresh-water and seawater in equilibrium with the atmosphere. Limnol. Oceanogr. 29(3):620-632.</w:t>
      </w:r>
    </w:p>
    <w:p w14:paraId="2A99F3BF">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rFonts w:ascii="Times New Roman" w:hAnsi="Times New Roman" w:cs="Times New Roman"/>
          <w:sz w:val="24"/>
        </w:rPr>
      </w:pPr>
    </w:p>
    <w:p w14:paraId="0AD78A2A">
      <w:pPr>
        <w:pStyle w:val="11"/>
        <w:keepNext w:val="0"/>
        <w:keepLines w:val="0"/>
        <w:pageBreakBefore w:val="0"/>
        <w:numPr>
          <w:ilvl w:val="0"/>
          <w:numId w:val="1"/>
        </w:numPr>
        <w:kinsoku/>
        <w:wordWrap/>
        <w:overflowPunct/>
        <w:topLinePunct w:val="0"/>
        <w:autoSpaceDE/>
        <w:autoSpaceDN/>
        <w:bidi w:val="0"/>
        <w:adjustRightInd/>
        <w:snapToGrid/>
        <w:spacing w:line="360" w:lineRule="auto"/>
        <w:contextualSpacing w:val="0"/>
        <w:textAlignment w:val="auto"/>
        <w:rPr>
          <w:sz w:val="24"/>
        </w:rPr>
      </w:pPr>
      <w:r>
        <w:rPr>
          <w:rFonts w:hint="eastAsia"/>
          <w:sz w:val="24"/>
        </w:rPr>
        <w:t>简述在百万年尺度上维持大气O</w:t>
      </w:r>
      <w:r>
        <w:rPr>
          <w:rFonts w:hint="eastAsia"/>
          <w:sz w:val="24"/>
          <w:vertAlign w:val="subscript"/>
        </w:rPr>
        <w:t>2</w:t>
      </w:r>
      <w:r>
        <w:rPr>
          <w:rFonts w:hint="eastAsia"/>
          <w:sz w:val="24"/>
        </w:rPr>
        <w:t>浓度稳定的机制。</w:t>
      </w:r>
    </w:p>
    <w:p w14:paraId="0505ECF9">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(1).</w:t>
      </w:r>
      <w:r>
        <w:rPr>
          <w:rFonts w:hint="default" w:ascii="Times New Roman" w:hAnsi="Times New Roman" w:cs="Times New Roman"/>
          <w:sz w:val="21"/>
          <w:szCs w:val="21"/>
        </w:rPr>
        <w:t>生物地球化学循环：光合作用产氧（主要来自海洋浮游植物和陆地植物）与呼吸作用、有机物分解及燃烧耗氧的平衡。</w:t>
      </w:r>
    </w:p>
    <w:p w14:paraId="4E2DFDE8">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(2).</w:t>
      </w:r>
      <w:r>
        <w:rPr>
          <w:rFonts w:hint="default" w:ascii="Times New Roman" w:hAnsi="Times New Roman" w:cs="Times New Roman"/>
          <w:sz w:val="21"/>
          <w:szCs w:val="21"/>
        </w:rPr>
        <w:t>地质碳循环：有机碳和黄铁矿的埋藏减少氧的消耗（因未被氧化），而沉积物风化（如硫化物氧化）和火山释放还原性气体（如CH₄、H₂）则会消耗氧气。</w:t>
      </w:r>
    </w:p>
    <w:p w14:paraId="2DB2E6AD">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海洋-大气交换：海洋作为氧的储库，通过溶解氧与大气交换调节短期波动，但长期稳定性更多依赖碳-硫-氧循环的耦合。</w:t>
      </w:r>
    </w:p>
    <w:p w14:paraId="0A798779">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(4).</w:t>
      </w:r>
      <w:r>
        <w:rPr>
          <w:rFonts w:hint="default" w:ascii="Times New Roman" w:hAnsi="Times New Roman" w:cs="Times New Roman"/>
          <w:sz w:val="21"/>
          <w:szCs w:val="21"/>
        </w:rPr>
        <w:t>负反馈调节：高O₂浓度促进火灾频率增加，限制陆地植物积累，间接抑制产氧；低O₂浓度则增强有机物埋藏，促进O₂积累。</w:t>
      </w:r>
    </w:p>
    <w:p w14:paraId="2FE0B37F">
      <w:pPr>
        <w:keepNext w:val="0"/>
        <w:keepLines w:val="0"/>
        <w:pageBreakBefore w:val="0"/>
        <w:kinsoku/>
        <w:wordWrap/>
        <w:overflowPunct/>
        <w:topLinePunct w:val="0"/>
        <w:autoSpaceDE/>
        <w:autoSpaceDN/>
        <w:bidi w:val="0"/>
        <w:adjustRightInd/>
        <w:snapToGrid/>
        <w:spacing w:line="360" w:lineRule="auto"/>
        <w:ind w:left="420" w:leftChars="0" w:firstLine="420" w:firstLineChars="0"/>
        <w:textAlignment w:val="auto"/>
        <w:rPr>
          <w:rFonts w:hint="eastAsia"/>
          <w:sz w:val="24"/>
        </w:rPr>
      </w:pPr>
    </w:p>
    <w:p w14:paraId="3629A909">
      <w:pPr>
        <w:keepNext w:val="0"/>
        <w:keepLines w:val="0"/>
        <w:pageBreakBefore w:val="0"/>
        <w:kinsoku/>
        <w:wordWrap/>
        <w:overflowPunct/>
        <w:topLinePunct w:val="0"/>
        <w:autoSpaceDE/>
        <w:autoSpaceDN/>
        <w:bidi w:val="0"/>
        <w:adjustRightInd/>
        <w:snapToGrid/>
        <w:spacing w:line="360" w:lineRule="auto"/>
        <w:ind w:left="420" w:leftChars="0" w:firstLine="420" w:firstLineChars="0"/>
        <w:textAlignment w:val="auto"/>
        <w:rPr>
          <w:rFonts w:hint="eastAsia"/>
          <w:sz w:val="24"/>
        </w:rPr>
      </w:pPr>
    </w:p>
    <w:p w14:paraId="712B9B9F">
      <w:pPr>
        <w:pStyle w:val="11"/>
        <w:keepNext w:val="0"/>
        <w:keepLines w:val="0"/>
        <w:pageBreakBefore w:val="0"/>
        <w:numPr>
          <w:ilvl w:val="0"/>
          <w:numId w:val="1"/>
        </w:numPr>
        <w:kinsoku/>
        <w:wordWrap/>
        <w:overflowPunct/>
        <w:topLinePunct w:val="0"/>
        <w:autoSpaceDE/>
        <w:autoSpaceDN/>
        <w:bidi w:val="0"/>
        <w:adjustRightInd/>
        <w:snapToGrid/>
        <w:spacing w:line="360" w:lineRule="auto"/>
        <w:contextualSpacing w:val="0"/>
        <w:textAlignment w:val="auto"/>
        <w:rPr>
          <w:sz w:val="24"/>
        </w:rPr>
      </w:pPr>
      <w:r>
        <w:rPr>
          <w:rFonts w:hint="eastAsia"/>
          <w:sz w:val="24"/>
        </w:rPr>
        <w:t>对大洋1</w:t>
      </w:r>
      <w:r>
        <w:rPr>
          <w:sz w:val="24"/>
        </w:rPr>
        <w:t>000 m</w:t>
      </w:r>
      <w:r>
        <w:rPr>
          <w:rFonts w:hint="eastAsia"/>
          <w:sz w:val="24"/>
        </w:rPr>
        <w:t>的某一水团测定所得其现场温度为</w:t>
      </w:r>
      <w:r>
        <w:rPr>
          <w:sz w:val="24"/>
        </w:rPr>
        <w:t>3.</w:t>
      </w:r>
      <w:r>
        <w:rPr>
          <w:sz w:val="24"/>
          <w:szCs w:val="24"/>
        </w:rPr>
        <w:t>16</w:t>
      </w:r>
      <w:r>
        <w:rPr>
          <w:rFonts w:ascii="Times New Roman" w:hAnsi="Times New Roman" w:cs="Times New Roman"/>
          <w:color w:val="333333"/>
          <w:sz w:val="24"/>
          <w:szCs w:val="24"/>
          <w:shd w:val="clear" w:color="auto" w:fill="FFFFFF"/>
        </w:rPr>
        <w:t>℃</w:t>
      </w:r>
      <w:r>
        <w:rPr>
          <w:rFonts w:hint="eastAsia"/>
          <w:sz w:val="24"/>
        </w:rPr>
        <w:t>，盐度为3</w:t>
      </w:r>
      <w:r>
        <w:rPr>
          <w:sz w:val="24"/>
        </w:rPr>
        <w:t>5</w:t>
      </w:r>
      <w:r>
        <w:rPr>
          <w:rFonts w:hint="eastAsia"/>
          <w:sz w:val="24"/>
        </w:rPr>
        <w:t>，溶氧浓度为1</w:t>
      </w:r>
      <w:r>
        <w:rPr>
          <w:sz w:val="24"/>
        </w:rPr>
        <w:t xml:space="preserve">00 </w:t>
      </w:r>
      <w:r>
        <w:rPr>
          <w:rFonts w:ascii="Symbol" w:hAnsi="Symbol"/>
          <w:sz w:val="24"/>
        </w:rPr>
        <w:t></w:t>
      </w:r>
      <w:r>
        <w:rPr>
          <w:sz w:val="24"/>
        </w:rPr>
        <w:t>mol/kg</w:t>
      </w:r>
      <w:r>
        <w:rPr>
          <w:rFonts w:hint="eastAsia"/>
          <w:sz w:val="24"/>
        </w:rPr>
        <w:t>，通过计算得该水体的位温为</w:t>
      </w:r>
      <w:r>
        <w:rPr>
          <w:sz w:val="24"/>
        </w:rPr>
        <w:t>3.00</w:t>
      </w:r>
      <w:r>
        <w:rPr>
          <w:rFonts w:ascii="Times New Roman" w:hAnsi="Times New Roman" w:cs="Times New Roman"/>
          <w:color w:val="333333"/>
          <w:sz w:val="24"/>
          <w:szCs w:val="24"/>
          <w:shd w:val="clear" w:color="auto" w:fill="FFFFFF"/>
        </w:rPr>
        <w:t>℃</w:t>
      </w:r>
      <w:r>
        <w:rPr>
          <w:rFonts w:hint="eastAsia"/>
          <w:sz w:val="24"/>
        </w:rPr>
        <w:t>，请计算表观耗氧量，并根据Redfield</w:t>
      </w:r>
      <w:r>
        <w:rPr>
          <w:sz w:val="24"/>
        </w:rPr>
        <w:t xml:space="preserve"> Ratio</w:t>
      </w:r>
      <w:r>
        <w:rPr>
          <w:rFonts w:hint="eastAsia"/>
          <w:sz w:val="24"/>
        </w:rPr>
        <w:t>推算在水团从表层下沉过程中生物对有机物和N营养盐浓度的改变。</w:t>
      </w:r>
    </w:p>
    <w:p w14:paraId="56CC4B90">
      <w:pPr>
        <w:pStyle w:val="11"/>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16" w:firstLineChars="0"/>
        <w:contextualSpacing w:val="0"/>
        <w:textAlignment w:val="auto"/>
        <w:rPr>
          <w:rFonts w:hint="default" w:eastAsiaTheme="minorEastAsia"/>
          <w:sz w:val="24"/>
          <w:lang w:val="en-US" w:eastAsia="zh-CN"/>
        </w:rPr>
      </w:pPr>
      <w:r>
        <w:rPr>
          <w:rFonts w:hint="eastAsia" w:eastAsiaTheme="minorEastAsia"/>
          <w:sz w:val="24"/>
          <w:lang w:eastAsia="zh-CN"/>
        </w:rPr>
        <w:drawing>
          <wp:inline distT="0" distB="0" distL="114300" distR="114300">
            <wp:extent cx="5266690" cy="1525270"/>
            <wp:effectExtent l="0" t="0" r="6350" b="13970"/>
            <wp:docPr id="6" name="图片 6" descr="92a23c0ce2da38275f009cfaf8ba7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2a23c0ce2da38275f009cfaf8ba78e"/>
                    <pic:cNvPicPr>
                      <a:picLocks noChangeAspect="1"/>
                    </pic:cNvPicPr>
                  </pic:nvPicPr>
                  <pic:blipFill>
                    <a:blip r:embed="rId15"/>
                    <a:stretch>
                      <a:fillRect/>
                    </a:stretch>
                  </pic:blipFill>
                  <pic:spPr>
                    <a:xfrm>
                      <a:off x="0" y="0"/>
                      <a:ext cx="5266690" cy="1525270"/>
                    </a:xfrm>
                    <a:prstGeom prst="rect">
                      <a:avLst/>
                    </a:prstGeom>
                  </pic:spPr>
                </pic:pic>
              </a:graphicData>
            </a:graphic>
          </wp:inline>
        </w:drawing>
      </w:r>
      <w:r>
        <w:rPr>
          <w:rFonts w:hint="default" w:eastAsiaTheme="minorEastAsia"/>
          <w:sz w:val="24"/>
          <w:lang w:val="en-US" w:eastAsia="zh-CN"/>
        </w:rPr>
        <w:drawing>
          <wp:inline distT="0" distB="0" distL="114300" distR="114300">
            <wp:extent cx="5268595" cy="1492250"/>
            <wp:effectExtent l="0" t="0" r="4445" b="1270"/>
            <wp:docPr id="7" name="图片 7" descr="9ca2d37aad6c479f1877185b773b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ca2d37aad6c479f1877185b773b525"/>
                    <pic:cNvPicPr>
                      <a:picLocks noChangeAspect="1"/>
                    </pic:cNvPicPr>
                  </pic:nvPicPr>
                  <pic:blipFill>
                    <a:blip r:embed="rId16"/>
                    <a:stretch>
                      <a:fillRect/>
                    </a:stretch>
                  </pic:blipFill>
                  <pic:spPr>
                    <a:xfrm>
                      <a:off x="0" y="0"/>
                      <a:ext cx="5268595" cy="1492250"/>
                    </a:xfrm>
                    <a:prstGeom prst="rect">
                      <a:avLst/>
                    </a:prstGeom>
                  </pic:spPr>
                </pic:pic>
              </a:graphicData>
            </a:graphic>
          </wp:inline>
        </w:drawing>
      </w:r>
    </w:p>
    <w:p w14:paraId="30FE05BE">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sz w:val="24"/>
        </w:rPr>
      </w:pPr>
      <w:r>
        <w:rPr>
          <w:rFonts w:hint="eastAsia"/>
          <w:sz w:val="24"/>
        </w:rPr>
        <w:t>文献：</w:t>
      </w:r>
      <w:r>
        <w:rPr>
          <w:sz w:val="24"/>
        </w:rPr>
        <w:t>Bensen, B. B., and Krause, D., 1984. The concentration and isotopic fraction of oxygen dissolved in freshwater and seawater in equilibrium with the atmosphere. Limnology and Oceanography, 29, 620-632.</w:t>
      </w:r>
    </w:p>
    <w:p w14:paraId="096BE25C">
      <w:pPr>
        <w:pStyle w:val="11"/>
        <w:keepNext w:val="0"/>
        <w:keepLines w:val="0"/>
        <w:pageBreakBefore w:val="0"/>
        <w:kinsoku/>
        <w:wordWrap/>
        <w:overflowPunct/>
        <w:topLinePunct w:val="0"/>
        <w:autoSpaceDE/>
        <w:autoSpaceDN/>
        <w:bidi w:val="0"/>
        <w:adjustRightInd/>
        <w:snapToGrid/>
        <w:spacing w:line="360" w:lineRule="auto"/>
        <w:contextualSpacing w:val="0"/>
        <w:textAlignment w:val="auto"/>
        <w:rPr>
          <w:rFonts w:hint="eastAsia" w:ascii="Times New Roman" w:hAnsi="Times New Roman" w:cs="Times New Roman"/>
          <w:sz w:val="24"/>
        </w:rPr>
      </w:pPr>
    </w:p>
    <w:p w14:paraId="61C7B0C3">
      <w:pPr>
        <w:keepNext w:val="0"/>
        <w:keepLines w:val="0"/>
        <w:pageBreakBefore w:val="0"/>
        <w:kinsoku/>
        <w:wordWrap/>
        <w:overflowPunct/>
        <w:topLinePunct w:val="0"/>
        <w:autoSpaceDE/>
        <w:autoSpaceDN/>
        <w:bidi w:val="0"/>
        <w:adjustRightInd/>
        <w:snapToGrid/>
        <w:spacing w:line="360" w:lineRule="auto"/>
        <w:textAlignment w:val="auto"/>
        <w:rPr>
          <w:sz w:val="24"/>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F0C63">
    <w:pPr>
      <w:pStyle w:val="4"/>
      <w:rPr>
        <w:rFonts w:hint="default"/>
        <w:lang w:val="en-US" w:eastAsia="zh-CN"/>
      </w:rPr>
    </w:pPr>
    <w:r>
      <w:rPr>
        <w:rFonts w:hint="eastAsia"/>
      </w:rPr>
      <w:t>姓名：</w:t>
    </w:r>
    <w:r>
      <w:rPr>
        <w:rFonts w:hint="eastAsia"/>
        <w:lang w:val="en-US" w:eastAsia="zh-CN"/>
      </w:rPr>
      <w:t>柯泓宇</w:t>
    </w:r>
    <w:r>
      <w:rPr>
        <w:rFonts w:hint="eastAsia"/>
      </w:rPr>
      <w:t xml:space="preserve"> </w:t>
    </w:r>
    <w:r>
      <w:t xml:space="preserve">                       </w:t>
    </w:r>
    <w:r>
      <w:rPr>
        <w:rFonts w:hint="eastAsia"/>
      </w:rPr>
      <w:t xml:space="preserve">学号： </w:t>
    </w:r>
    <w:r>
      <w:t xml:space="preserve">  </w:t>
    </w:r>
    <w:r>
      <w:rPr>
        <w:rFonts w:hint="eastAsia"/>
        <w:lang w:val="en-US" w:eastAsia="zh-CN"/>
      </w:rPr>
      <w:t>3220103637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661D30"/>
    <w:multiLevelType w:val="multilevel"/>
    <w:tmpl w:val="79661D3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IyODdmZjY0Zjg0ZWQ3ZmVhZDA3NDFkNTYwZGEwNjYifQ=="/>
  </w:docVars>
  <w:rsids>
    <w:rsidRoot w:val="00F811B5"/>
    <w:rsid w:val="000E2CFF"/>
    <w:rsid w:val="000E2F9A"/>
    <w:rsid w:val="001F5B9A"/>
    <w:rsid w:val="00223248"/>
    <w:rsid w:val="002B1545"/>
    <w:rsid w:val="00303BAF"/>
    <w:rsid w:val="00371D70"/>
    <w:rsid w:val="003B7D6F"/>
    <w:rsid w:val="00490D77"/>
    <w:rsid w:val="005B601E"/>
    <w:rsid w:val="005C678B"/>
    <w:rsid w:val="00676C22"/>
    <w:rsid w:val="00722ED1"/>
    <w:rsid w:val="00830E52"/>
    <w:rsid w:val="0088507F"/>
    <w:rsid w:val="008E34EA"/>
    <w:rsid w:val="009E4812"/>
    <w:rsid w:val="00AD6012"/>
    <w:rsid w:val="00B82659"/>
    <w:rsid w:val="00BD4DFF"/>
    <w:rsid w:val="00BF6761"/>
    <w:rsid w:val="00C1159B"/>
    <w:rsid w:val="00C63962"/>
    <w:rsid w:val="00CA7212"/>
    <w:rsid w:val="00CF4291"/>
    <w:rsid w:val="00D74DD7"/>
    <w:rsid w:val="00E72C4C"/>
    <w:rsid w:val="00EA2D08"/>
    <w:rsid w:val="00EB2782"/>
    <w:rsid w:val="00F811B5"/>
    <w:rsid w:val="00FE3377"/>
    <w:rsid w:val="25F05B6A"/>
    <w:rsid w:val="30370E0F"/>
    <w:rsid w:val="33817612"/>
    <w:rsid w:val="5A1865F1"/>
    <w:rsid w:val="608851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hart" Target="charts/chart4.xml"/><Relationship Id="rId8" Type="http://schemas.openxmlformats.org/officeDocument/2006/relationships/chart" Target="charts/chart3.xml"/><Relationship Id="rId7" Type="http://schemas.openxmlformats.org/officeDocument/2006/relationships/chart" Target="charts/chart2.xml"/><Relationship Id="rId6" Type="http://schemas.openxmlformats.org/officeDocument/2006/relationships/chart" Target="charts/chart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chart" Target="charts/chart7.xml"/><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chart" Target="charts/chart6.xml"/><Relationship Id="rId10" Type="http://schemas.openxmlformats.org/officeDocument/2006/relationships/chart" Target="charts/chart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24037;&#20316;&#31807;1"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24037;&#20316;&#31807;1"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24037;&#20316;&#31807;1"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24037;&#20316;&#31807;1"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24037;&#20316;&#31807;1"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温度溶解度关系（</a:t>
            </a:r>
            <a:r>
              <a:rPr lang="en-US" altLang="zh-CN"/>
              <a:t>1</a:t>
            </a:r>
            <a:r>
              <a:rPr altLang="en-US"/>
              <a:t>）</a:t>
            </a:r>
            <a:endParaRPr lang="en-US" altLang="zh-CN"/>
          </a:p>
        </c:rich>
      </c:tx>
      <c:layout>
        <c:manualLayout>
          <c:xMode val="edge"/>
          <c:yMode val="edge"/>
          <c:x val="0.426348301259206"/>
          <c:y val="0.0209469779620336"/>
        </c:manualLayout>
      </c:layout>
      <c:overlay val="0"/>
      <c:spPr>
        <a:noFill/>
        <a:ln>
          <a:noFill/>
        </a:ln>
        <a:effectLst/>
      </c:spPr>
    </c:title>
    <c:autoTitleDeleted val="0"/>
    <c:plotArea>
      <c:layout/>
      <c:scatterChart>
        <c:scatterStyle val="smooth"/>
        <c:varyColors val="0"/>
        <c:ser>
          <c:idx val="0"/>
          <c:order val="0"/>
          <c:tx>
            <c:strRef>
              <c:f>"Ne溶解度"</c:f>
              <c:strCache>
                <c:ptCount val="1"/>
                <c:pt idx="0">
                  <c:v>Ne溶解度</c:v>
                </c:pt>
              </c:strCache>
            </c:strRef>
          </c:tx>
          <c:spPr>
            <a:ln w="19050" cap="rnd">
              <a:solidFill>
                <a:schemeClr val="accent1"/>
              </a:solidFill>
              <a:round/>
            </a:ln>
            <a:effectLst/>
          </c:spPr>
          <c:marker>
            <c:symbol val="none"/>
          </c:marker>
          <c:dLbls>
            <c:delete val="1"/>
          </c:dLbls>
          <c:xVal>
            <c:numRef>
              <c:f>[工作簿1]Sheet1!$A$2:$A$9</c:f>
              <c:numCache>
                <c:formatCode>General</c:formatCode>
                <c:ptCount val="8"/>
                <c:pt idx="0">
                  <c:v>0</c:v>
                </c:pt>
                <c:pt idx="1">
                  <c:v>5</c:v>
                </c:pt>
                <c:pt idx="2">
                  <c:v>10</c:v>
                </c:pt>
                <c:pt idx="3">
                  <c:v>15</c:v>
                </c:pt>
                <c:pt idx="4">
                  <c:v>20</c:v>
                </c:pt>
                <c:pt idx="5">
                  <c:v>25</c:v>
                </c:pt>
                <c:pt idx="6">
                  <c:v>30</c:v>
                </c:pt>
                <c:pt idx="7">
                  <c:v>35</c:v>
                </c:pt>
              </c:numCache>
            </c:numRef>
          </c:xVal>
          <c:yVal>
            <c:numRef>
              <c:f>[工作簿1]Sheet1!$B$2:$B$9</c:f>
              <c:numCache>
                <c:formatCode>General</c:formatCode>
                <c:ptCount val="8"/>
                <c:pt idx="0">
                  <c:v>8.06</c:v>
                </c:pt>
                <c:pt idx="1">
                  <c:v>7.45</c:v>
                </c:pt>
                <c:pt idx="2">
                  <c:v>7.34</c:v>
                </c:pt>
                <c:pt idx="3">
                  <c:v>6.82</c:v>
                </c:pt>
                <c:pt idx="4">
                  <c:v>6.28</c:v>
                </c:pt>
                <c:pt idx="5">
                  <c:v>5.78</c:v>
                </c:pt>
                <c:pt idx="6">
                  <c:v>5.31</c:v>
                </c:pt>
                <c:pt idx="7">
                  <c:v>4.89</c:v>
                </c:pt>
              </c:numCache>
            </c:numRef>
          </c:yVal>
          <c:smooth val="1"/>
        </c:ser>
        <c:ser>
          <c:idx val="1"/>
          <c:order val="1"/>
          <c:tx>
            <c:strRef>
              <c:f>"Ar溶解度"</c:f>
              <c:strCache>
                <c:ptCount val="1"/>
                <c:pt idx="0">
                  <c:v>Ar溶解度</c:v>
                </c:pt>
              </c:strCache>
            </c:strRef>
          </c:tx>
          <c:spPr>
            <a:ln w="19050" cap="rnd">
              <a:solidFill>
                <a:schemeClr val="accent2"/>
              </a:solidFill>
              <a:round/>
            </a:ln>
            <a:effectLst/>
          </c:spPr>
          <c:marker>
            <c:symbol val="none"/>
          </c:marker>
          <c:dLbls>
            <c:delete val="1"/>
          </c:dLbls>
          <c:xVal>
            <c:numRef>
              <c:f>[工作簿1]Sheet1!$A$2:$A$9</c:f>
              <c:numCache>
                <c:formatCode>General</c:formatCode>
                <c:ptCount val="8"/>
                <c:pt idx="0">
                  <c:v>0</c:v>
                </c:pt>
                <c:pt idx="1">
                  <c:v>5</c:v>
                </c:pt>
                <c:pt idx="2">
                  <c:v>10</c:v>
                </c:pt>
                <c:pt idx="3">
                  <c:v>15</c:v>
                </c:pt>
                <c:pt idx="4">
                  <c:v>20</c:v>
                </c:pt>
                <c:pt idx="5">
                  <c:v>25</c:v>
                </c:pt>
                <c:pt idx="6">
                  <c:v>30</c:v>
                </c:pt>
                <c:pt idx="7">
                  <c:v>35</c:v>
                </c:pt>
              </c:numCache>
            </c:numRef>
          </c:xVal>
          <c:yVal>
            <c:numRef>
              <c:f>[工作簿1]Sheet1!$D$2:$D$9</c:f>
              <c:numCache>
                <c:formatCode>General</c:formatCode>
                <c:ptCount val="8"/>
                <c:pt idx="0">
                  <c:v>13.52</c:v>
                </c:pt>
                <c:pt idx="1">
                  <c:v>12.89</c:v>
                </c:pt>
                <c:pt idx="2">
                  <c:v>12.15</c:v>
                </c:pt>
                <c:pt idx="3">
                  <c:v>11.34</c:v>
                </c:pt>
                <c:pt idx="4">
                  <c:v>10.52</c:v>
                </c:pt>
                <c:pt idx="5">
                  <c:v>9.78</c:v>
                </c:pt>
                <c:pt idx="6">
                  <c:v>9.03</c:v>
                </c:pt>
                <c:pt idx="7">
                  <c:v>8.32</c:v>
                </c:pt>
              </c:numCache>
            </c:numRef>
          </c:yVal>
          <c:smooth val="1"/>
        </c:ser>
        <c:dLbls>
          <c:showLegendKey val="0"/>
          <c:showVal val="0"/>
          <c:showCatName val="0"/>
          <c:showSerName val="0"/>
          <c:showPercent val="0"/>
          <c:showBubbleSize val="0"/>
        </c:dLbls>
        <c:axId val="967135692"/>
        <c:axId val="107017816"/>
      </c:scatterChart>
      <c:valAx>
        <c:axId val="967135692"/>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温度</a:t>
                </a:r>
                <a:r>
                  <a:rPr lang="en-US" altLang="zh-CN"/>
                  <a:t>t℃</a:t>
                </a:r>
                <a:endParaRPr lang="en-US" altLang="zh-CN"/>
              </a:p>
              <a:p>
                <a:pPr defTabSz="914400">
                  <a:defRPr lang="zh-CN" sz="1000" b="0" i="0" u="none" strike="noStrike" kern="1200" baseline="0">
                    <a:solidFill>
                      <a:schemeClr val="tx1">
                        <a:lumMod val="65000"/>
                        <a:lumOff val="35000"/>
                      </a:schemeClr>
                    </a:solidFill>
                    <a:latin typeface="+mn-lt"/>
                    <a:ea typeface="+mn-ea"/>
                    <a:cs typeface="+mn-cs"/>
                  </a:defRPr>
                </a:pP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7017816"/>
        <c:crosses val="autoZero"/>
        <c:crossBetween val="midCat"/>
      </c:valAx>
      <c:valAx>
        <c:axId val="107017816"/>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溶解度μmol/kg</a:t>
                </a:r>
              </a:p>
              <a:p>
                <a:pPr defTabSz="914400">
                  <a:defRPr lang="zh-CN" sz="1000" b="0" i="0" u="none" strike="noStrike" kern="1200" baseline="0">
                    <a:solidFill>
                      <a:schemeClr val="tx1">
                        <a:lumMod val="65000"/>
                        <a:lumOff val="35000"/>
                      </a:schemeClr>
                    </a:solidFill>
                    <a:latin typeface="+mn-lt"/>
                    <a:ea typeface="+mn-ea"/>
                    <a:cs typeface="+mn-cs"/>
                  </a:defRPr>
                </a:pPr>
              </a:p>
              <a:p>
                <a:pPr defTabSz="914400">
                  <a:defRPr lang="zh-CN" sz="1000" b="0" i="0" u="none" strike="noStrike" kern="1200" baseline="0">
                    <a:solidFill>
                      <a:schemeClr val="tx1">
                        <a:lumMod val="65000"/>
                        <a:lumOff val="35000"/>
                      </a:schemeClr>
                    </a:solidFill>
                    <a:latin typeface="+mn-lt"/>
                    <a:ea typeface="+mn-ea"/>
                    <a:cs typeface="+mn-cs"/>
                  </a:defRPr>
                </a:pPr>
              </a:p>
            </c:rich>
          </c:tx>
          <c:layout>
            <c:manualLayout>
              <c:xMode val="edge"/>
              <c:yMode val="edge"/>
              <c:x val="0.0261344737467332"/>
              <c:y val="0.2153426451331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67135692"/>
        <c:crosses val="autoZero"/>
        <c:crossBetween val="midCat"/>
      </c:valAx>
      <c:spPr>
        <a:noFill/>
        <a:ln w="9525" cap="flat" cmpd="sng" algn="ctr">
          <a:solidFill>
            <a:schemeClr val="tx1">
              <a:lumMod val="15000"/>
              <a:lumOff val="85000"/>
            </a:schemeClr>
          </a:solidFill>
          <a:round/>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6725681-458a-4f33-b3a8-7318a7b8d4a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温度溶解度关系（</a:t>
            </a:r>
            <a:r>
              <a:rPr lang="en-US" altLang="zh-CN"/>
              <a:t>2</a:t>
            </a:r>
            <a:r>
              <a:t>）</a:t>
            </a:r>
          </a:p>
        </c:rich>
      </c:tx>
      <c:layout/>
      <c:overlay val="0"/>
      <c:spPr>
        <a:noFill/>
        <a:ln>
          <a:noFill/>
        </a:ln>
        <a:effectLst/>
      </c:spPr>
    </c:title>
    <c:autoTitleDeleted val="0"/>
    <c:plotArea>
      <c:layout/>
      <c:scatterChart>
        <c:scatterStyle val="smooth"/>
        <c:varyColors val="0"/>
        <c:ser>
          <c:idx val="0"/>
          <c:order val="0"/>
          <c:tx>
            <c:strRef>
              <c:f>"N2溶解度"</c:f>
              <c:strCache>
                <c:ptCount val="1"/>
                <c:pt idx="0">
                  <c:v>N2溶解度</c:v>
                </c:pt>
              </c:strCache>
            </c:strRef>
          </c:tx>
          <c:spPr>
            <a:ln w="19050" cap="rnd">
              <a:solidFill>
                <a:schemeClr val="accent1"/>
              </a:solidFill>
              <a:round/>
            </a:ln>
            <a:effectLst/>
          </c:spPr>
          <c:marker>
            <c:symbol val="none"/>
          </c:marker>
          <c:dLbls>
            <c:delete val="1"/>
          </c:dLbls>
          <c:xVal>
            <c:numRef>
              <c:f>[工作簿1]Sheet1!$C$16:$C$23</c:f>
              <c:numCache>
                <c:formatCode>General</c:formatCode>
                <c:ptCount val="8"/>
                <c:pt idx="0">
                  <c:v>0</c:v>
                </c:pt>
                <c:pt idx="1">
                  <c:v>5</c:v>
                </c:pt>
                <c:pt idx="2">
                  <c:v>10</c:v>
                </c:pt>
                <c:pt idx="3">
                  <c:v>15</c:v>
                </c:pt>
                <c:pt idx="4">
                  <c:v>20</c:v>
                </c:pt>
                <c:pt idx="5">
                  <c:v>25</c:v>
                </c:pt>
                <c:pt idx="6">
                  <c:v>30</c:v>
                </c:pt>
                <c:pt idx="7">
                  <c:v>35</c:v>
                </c:pt>
              </c:numCache>
            </c:numRef>
          </c:xVal>
          <c:yVal>
            <c:numRef>
              <c:f>[工作簿1]Sheet1!$D$16:$D$23</c:f>
              <c:numCache>
                <c:formatCode>General</c:formatCode>
                <c:ptCount val="8"/>
                <c:pt idx="0">
                  <c:v>534.8</c:v>
                </c:pt>
                <c:pt idx="1">
                  <c:v>484.3</c:v>
                </c:pt>
                <c:pt idx="2">
                  <c:v>442.7</c:v>
                </c:pt>
                <c:pt idx="3">
                  <c:v>402.5</c:v>
                </c:pt>
                <c:pt idx="4">
                  <c:v>367.2</c:v>
                </c:pt>
                <c:pt idx="5">
                  <c:v>335.6</c:v>
                </c:pt>
                <c:pt idx="6">
                  <c:v>307.3</c:v>
                </c:pt>
                <c:pt idx="7">
                  <c:v>281.9</c:v>
                </c:pt>
              </c:numCache>
            </c:numRef>
          </c:yVal>
          <c:smooth val="1"/>
        </c:ser>
        <c:dLbls>
          <c:showLegendKey val="0"/>
          <c:showVal val="0"/>
          <c:showCatName val="0"/>
          <c:showSerName val="0"/>
          <c:showPercent val="0"/>
          <c:showBubbleSize val="0"/>
        </c:dLbls>
        <c:axId val="251902419"/>
        <c:axId val="61562768"/>
      </c:scatterChart>
      <c:valAx>
        <c:axId val="251902419"/>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温度</a:t>
                </a:r>
                <a:r>
                  <a:rPr lang="en-US" altLang="zh-CN"/>
                  <a:t>t</a:t>
                </a:r>
                <a:r>
                  <a:rPr altLang="en-US"/>
                  <a:t>℃</a:t>
                </a:r>
                <a:endParaRPr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1562768"/>
        <c:crosses val="autoZero"/>
        <c:crossBetween val="midCat"/>
      </c:valAx>
      <c:valAx>
        <c:axId val="61562768"/>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溶解度</a:t>
                </a:r>
                <a:r>
                  <a:rPr lang="en-US" altLang="zh-CN"/>
                  <a:t>μmol/kg</a:t>
                </a:r>
                <a:endParaRPr lang="en-US" altLang="zh-CN"/>
              </a:p>
              <a:p>
                <a:pPr defTabSz="914400">
                  <a:defRPr lang="zh-CN" sz="1000" b="0" i="0" u="none" strike="noStrike" kern="1200" baseline="0">
                    <a:solidFill>
                      <a:schemeClr val="tx1">
                        <a:lumMod val="65000"/>
                        <a:lumOff val="35000"/>
                      </a:schemeClr>
                    </a:solidFill>
                    <a:latin typeface="+mn-lt"/>
                    <a:ea typeface="+mn-ea"/>
                    <a:cs typeface="+mn-cs"/>
                  </a:defRPr>
                </a:pPr>
              </a:p>
            </c:rich>
          </c:tx>
          <c:layout>
            <c:manualLayout>
              <c:xMode val="edge"/>
              <c:yMode val="edge"/>
              <c:x val="0.0384210526315789"/>
              <c:y val="0.149930555555556"/>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1902419"/>
        <c:crosses val="autoZero"/>
        <c:crossBetween val="midCat"/>
      </c:valAx>
      <c:spPr>
        <a:noFill/>
        <a:ln w="9525" cap="flat" cmpd="sng" algn="ctr">
          <a:solidFill>
            <a:schemeClr val="tx1">
              <a:lumMod val="15000"/>
              <a:lumOff val="85000"/>
            </a:schemeClr>
          </a:solidFill>
          <a:round/>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009e54d-dfdc-4067-ab93-b036eed6fe0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盐度溶解度关系</a:t>
            </a:r>
          </a:p>
        </c:rich>
      </c:tx>
      <c:layout/>
      <c:overlay val="0"/>
      <c:spPr>
        <a:noFill/>
        <a:ln>
          <a:noFill/>
        </a:ln>
        <a:effectLst/>
      </c:spPr>
    </c:title>
    <c:autoTitleDeleted val="0"/>
    <c:plotArea>
      <c:layout>
        <c:manualLayout>
          <c:layoutTarget val="inner"/>
          <c:xMode val="edge"/>
          <c:yMode val="edge"/>
          <c:x val="0.0756052631578947"/>
          <c:y val="0.170833333333333"/>
          <c:w val="0.900184210526316"/>
          <c:h val="0.606342592592593"/>
        </c:manualLayout>
      </c:layout>
      <c:scatterChart>
        <c:scatterStyle val="smooth"/>
        <c:varyColors val="0"/>
        <c:ser>
          <c:idx val="0"/>
          <c:order val="0"/>
          <c:tx>
            <c:strRef>
              <c:f>"N2"</c:f>
              <c:strCache>
                <c:ptCount val="1"/>
                <c:pt idx="0">
                  <c:v>N2</c:v>
                </c:pt>
              </c:strCache>
            </c:strRef>
          </c:tx>
          <c:spPr>
            <a:ln w="19050" cap="rnd">
              <a:solidFill>
                <a:schemeClr val="accent1"/>
              </a:solidFill>
              <a:round/>
            </a:ln>
            <a:effectLst/>
          </c:spPr>
          <c:marker>
            <c:symbol val="none"/>
          </c:marker>
          <c:dLbls>
            <c:delete val="1"/>
          </c:dLbls>
          <c:xVal>
            <c:strRef>
              <c:f>[工作簿1]Sheet1!$A$41:$A$48</c:f>
              <c:strCache>
                <c:ptCount val="8"/>
                <c:pt idx="0">
                  <c:v>溶解度μmol/kg</c:v>
                </c:pt>
                <c:pt idx="1">
                  <c:v>5</c:v>
                </c:pt>
                <c:pt idx="2">
                  <c:v>10</c:v>
                </c:pt>
                <c:pt idx="3">
                  <c:v>15</c:v>
                </c:pt>
                <c:pt idx="4">
                  <c:v>20</c:v>
                </c:pt>
                <c:pt idx="5">
                  <c:v>25</c:v>
                </c:pt>
                <c:pt idx="6">
                  <c:v>30</c:v>
                </c:pt>
                <c:pt idx="7">
                  <c:v>35</c:v>
                </c:pt>
              </c:strCache>
            </c:strRef>
          </c:xVal>
          <c:yVal>
            <c:numRef>
              <c:f>[工作簿1]Sheet1!$B$41:$B$48</c:f>
              <c:numCache>
                <c:formatCode>General</c:formatCode>
                <c:ptCount val="8"/>
                <c:pt idx="0">
                  <c:v>456.2</c:v>
                </c:pt>
                <c:pt idx="1">
                  <c:v>449.7</c:v>
                </c:pt>
                <c:pt idx="2">
                  <c:v>443.3</c:v>
                </c:pt>
                <c:pt idx="3">
                  <c:v>437</c:v>
                </c:pt>
                <c:pt idx="4">
                  <c:v>430.8</c:v>
                </c:pt>
                <c:pt idx="5">
                  <c:v>424.7</c:v>
                </c:pt>
                <c:pt idx="6">
                  <c:v>418.7</c:v>
                </c:pt>
                <c:pt idx="7">
                  <c:v>412.8</c:v>
                </c:pt>
              </c:numCache>
            </c:numRef>
          </c:yVal>
          <c:smooth val="1"/>
        </c:ser>
        <c:dLbls>
          <c:showLegendKey val="0"/>
          <c:showVal val="0"/>
          <c:showCatName val="0"/>
          <c:showSerName val="0"/>
          <c:showPercent val="0"/>
          <c:showBubbleSize val="0"/>
        </c:dLbls>
        <c:axId val="59011363"/>
        <c:axId val="527168726"/>
      </c:scatterChart>
      <c:valAx>
        <c:axId val="59011363"/>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溶解度</a:t>
                </a:r>
                <a:r>
                  <a:rPr lang="en-US" altLang="zh-CN"/>
                  <a:t>PSS</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27168726"/>
        <c:crosses val="autoZero"/>
        <c:crossBetween val="midCat"/>
      </c:valAx>
      <c:valAx>
        <c:axId val="527168726"/>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溶解度μmol/kg</a:t>
                </a:r>
              </a:p>
              <a:p>
                <a:pPr defTabSz="914400">
                  <a:defRPr lang="zh-CN" sz="1000" b="0" i="0" u="none" strike="noStrike" kern="1200" baseline="0">
                    <a:solidFill>
                      <a:schemeClr val="tx1">
                        <a:lumMod val="65000"/>
                        <a:lumOff val="35000"/>
                      </a:schemeClr>
                    </a:solidFill>
                    <a:latin typeface="+mn-lt"/>
                    <a:ea typeface="+mn-ea"/>
                    <a:cs typeface="+mn-cs"/>
                  </a:defRPr>
                </a:pPr>
              </a:p>
            </c:rich>
          </c:tx>
          <c:layout>
            <c:manualLayout>
              <c:xMode val="edge"/>
              <c:yMode val="edge"/>
              <c:x val="0.00325414904002603"/>
              <c:y val="0.307782407407407"/>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9011363"/>
        <c:crosses val="autoZero"/>
        <c:crossBetween val="midCat"/>
      </c:valAx>
      <c:spPr>
        <a:noFill/>
        <a:ln w="9525" cap="flat" cmpd="sng" algn="ctr">
          <a:solidFill>
            <a:schemeClr val="tx1">
              <a:lumMod val="15000"/>
              <a:lumOff val="85000"/>
            </a:schemeClr>
          </a:solidFill>
          <a:round/>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4c61667-6e55-48a6-9cf5-c2a677819b6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盐度溶解度关系</a:t>
            </a:r>
          </a:p>
        </c:rich>
      </c:tx>
      <c:layout/>
      <c:overlay val="0"/>
      <c:spPr>
        <a:noFill/>
        <a:ln>
          <a:noFill/>
        </a:ln>
        <a:effectLst/>
      </c:spPr>
    </c:title>
    <c:autoTitleDeleted val="0"/>
    <c:plotArea>
      <c:layout/>
      <c:scatterChart>
        <c:scatterStyle val="smooth"/>
        <c:varyColors val="0"/>
        <c:ser>
          <c:idx val="0"/>
          <c:order val="0"/>
          <c:tx>
            <c:strRef>
              <c:f>"Ne"</c:f>
              <c:strCache>
                <c:ptCount val="1"/>
                <c:pt idx="0">
                  <c:v>Ne</c:v>
                </c:pt>
              </c:strCache>
            </c:strRef>
          </c:tx>
          <c:spPr>
            <a:ln w="19050" cap="rnd">
              <a:solidFill>
                <a:schemeClr val="accent1"/>
              </a:solidFill>
              <a:round/>
            </a:ln>
            <a:effectLst/>
          </c:spPr>
          <c:marker>
            <c:symbol val="none"/>
          </c:marker>
          <c:dLbls>
            <c:delete val="1"/>
          </c:dLbls>
          <c:xVal>
            <c:numRef>
              <c:f>[工作簿1]Sheet1!$A$28:$A$35</c:f>
              <c:numCache>
                <c:formatCode>General</c:formatCode>
                <c:ptCount val="8"/>
                <c:pt idx="0">
                  <c:v>0</c:v>
                </c:pt>
                <c:pt idx="1">
                  <c:v>5</c:v>
                </c:pt>
                <c:pt idx="2">
                  <c:v>10</c:v>
                </c:pt>
                <c:pt idx="3">
                  <c:v>15</c:v>
                </c:pt>
                <c:pt idx="4">
                  <c:v>20</c:v>
                </c:pt>
                <c:pt idx="5">
                  <c:v>25</c:v>
                </c:pt>
                <c:pt idx="6">
                  <c:v>30</c:v>
                </c:pt>
                <c:pt idx="7">
                  <c:v>35</c:v>
                </c:pt>
              </c:numCache>
            </c:numRef>
          </c:xVal>
          <c:yVal>
            <c:numRef>
              <c:f>[工作簿1]Sheet1!$B$28:$B$35</c:f>
              <c:numCache>
                <c:formatCode>General</c:formatCode>
                <c:ptCount val="8"/>
                <c:pt idx="0">
                  <c:v>8.68</c:v>
                </c:pt>
                <c:pt idx="1">
                  <c:v>8.35</c:v>
                </c:pt>
                <c:pt idx="2">
                  <c:v>8.03</c:v>
                </c:pt>
                <c:pt idx="3">
                  <c:v>7.72</c:v>
                </c:pt>
                <c:pt idx="4">
                  <c:v>7.42</c:v>
                </c:pt>
                <c:pt idx="5">
                  <c:v>7.12</c:v>
                </c:pt>
                <c:pt idx="6">
                  <c:v>6.83</c:v>
                </c:pt>
                <c:pt idx="7">
                  <c:v>6.55</c:v>
                </c:pt>
              </c:numCache>
            </c:numRef>
          </c:yVal>
          <c:smooth val="1"/>
        </c:ser>
        <c:ser>
          <c:idx val="1"/>
          <c:order val="1"/>
          <c:tx>
            <c:strRef>
              <c:f>"Ar"</c:f>
              <c:strCache>
                <c:ptCount val="1"/>
                <c:pt idx="0">
                  <c:v>Ar</c:v>
                </c:pt>
              </c:strCache>
            </c:strRef>
          </c:tx>
          <c:spPr>
            <a:ln w="19050" cap="rnd">
              <a:solidFill>
                <a:schemeClr val="accent2"/>
              </a:solidFill>
              <a:round/>
            </a:ln>
            <a:effectLst/>
          </c:spPr>
          <c:marker>
            <c:symbol val="none"/>
          </c:marker>
          <c:dLbls>
            <c:delete val="1"/>
          </c:dLbls>
          <c:xVal>
            <c:numRef>
              <c:f>[工作簿1]Sheet1!$A$28:$A$35</c:f>
              <c:numCache>
                <c:formatCode>General</c:formatCode>
                <c:ptCount val="8"/>
                <c:pt idx="0">
                  <c:v>0</c:v>
                </c:pt>
                <c:pt idx="1">
                  <c:v>5</c:v>
                </c:pt>
                <c:pt idx="2">
                  <c:v>10</c:v>
                </c:pt>
                <c:pt idx="3">
                  <c:v>15</c:v>
                </c:pt>
                <c:pt idx="4">
                  <c:v>20</c:v>
                </c:pt>
                <c:pt idx="5">
                  <c:v>25</c:v>
                </c:pt>
                <c:pt idx="6">
                  <c:v>30</c:v>
                </c:pt>
                <c:pt idx="7">
                  <c:v>35</c:v>
                </c:pt>
              </c:numCache>
            </c:numRef>
          </c:xVal>
          <c:yVal>
            <c:numRef>
              <c:f>[工作簿1]Sheet1!$D$28:$D$35</c:f>
              <c:numCache>
                <c:formatCode>General</c:formatCode>
                <c:ptCount val="8"/>
                <c:pt idx="0">
                  <c:v>12.45</c:v>
                </c:pt>
                <c:pt idx="1">
                  <c:v>12.02</c:v>
                </c:pt>
                <c:pt idx="2">
                  <c:v>11.58</c:v>
                </c:pt>
                <c:pt idx="3">
                  <c:v>11.15</c:v>
                </c:pt>
                <c:pt idx="4">
                  <c:v>10.72</c:v>
                </c:pt>
                <c:pt idx="5">
                  <c:v>10.3</c:v>
                </c:pt>
                <c:pt idx="6">
                  <c:v>9.89</c:v>
                </c:pt>
                <c:pt idx="7">
                  <c:v>9.48</c:v>
                </c:pt>
              </c:numCache>
            </c:numRef>
          </c:yVal>
          <c:smooth val="1"/>
        </c:ser>
        <c:dLbls>
          <c:showLegendKey val="0"/>
          <c:showVal val="0"/>
          <c:showCatName val="0"/>
          <c:showSerName val="0"/>
          <c:showPercent val="0"/>
          <c:showBubbleSize val="0"/>
        </c:dLbls>
        <c:axId val="759991986"/>
        <c:axId val="167771472"/>
      </c:scatterChart>
      <c:valAx>
        <c:axId val="759991986"/>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盐度</a:t>
                </a:r>
                <a:r>
                  <a:rPr lang="en-US" altLang="zh-CN"/>
                  <a:t>PSS</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7771472"/>
        <c:crosses val="autoZero"/>
        <c:crossBetween val="midCat"/>
      </c:valAx>
      <c:valAx>
        <c:axId val="167771472"/>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溶解度μmol/kg</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59991986"/>
        <c:crosses val="autoZero"/>
        <c:crossBetween val="midCat"/>
      </c:valAx>
      <c:spPr>
        <a:noFill/>
        <a:ln w="9525" cap="flat" cmpd="sng" algn="ctr">
          <a:solidFill>
            <a:schemeClr val="tx1">
              <a:lumMod val="15000"/>
              <a:lumOff val="85000"/>
            </a:schemeClr>
          </a:solidFill>
          <a:round/>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aba0b21-41a1-411d-9dd9-12b1a43ccda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盐度溶解度关系</a:t>
            </a:r>
          </a:p>
        </c:rich>
      </c:tx>
      <c:layout/>
      <c:overlay val="0"/>
      <c:spPr>
        <a:noFill/>
        <a:ln>
          <a:noFill/>
        </a:ln>
        <a:effectLst/>
      </c:spPr>
    </c:title>
    <c:autoTitleDeleted val="0"/>
    <c:plotArea>
      <c:layout/>
      <c:scatterChart>
        <c:scatterStyle val="smooth"/>
        <c:varyColors val="0"/>
        <c:ser>
          <c:idx val="0"/>
          <c:order val="0"/>
          <c:tx>
            <c:strRef>
              <c:f>"Ne"</c:f>
              <c:strCache>
                <c:ptCount val="1"/>
                <c:pt idx="0">
                  <c:v>Ne</c:v>
                </c:pt>
              </c:strCache>
            </c:strRef>
          </c:tx>
          <c:spPr>
            <a:ln w="19050" cap="rnd">
              <a:solidFill>
                <a:schemeClr val="accent1"/>
              </a:solidFill>
              <a:round/>
            </a:ln>
            <a:effectLst/>
          </c:spPr>
          <c:marker>
            <c:symbol val="none"/>
          </c:marker>
          <c:dLbls>
            <c:delete val="1"/>
          </c:dLbls>
          <c:xVal>
            <c:numRef>
              <c:f>[工作簿1]Sheet1!$A$28:$A$35</c:f>
              <c:numCache>
                <c:formatCode>General</c:formatCode>
                <c:ptCount val="8"/>
                <c:pt idx="0">
                  <c:v>0</c:v>
                </c:pt>
                <c:pt idx="1">
                  <c:v>5</c:v>
                </c:pt>
                <c:pt idx="2">
                  <c:v>10</c:v>
                </c:pt>
                <c:pt idx="3">
                  <c:v>15</c:v>
                </c:pt>
                <c:pt idx="4">
                  <c:v>20</c:v>
                </c:pt>
                <c:pt idx="5">
                  <c:v>25</c:v>
                </c:pt>
                <c:pt idx="6">
                  <c:v>30</c:v>
                </c:pt>
                <c:pt idx="7">
                  <c:v>35</c:v>
                </c:pt>
              </c:numCache>
            </c:numRef>
          </c:xVal>
          <c:yVal>
            <c:numRef>
              <c:f>[工作簿1]Sheet1!$B$28:$B$35</c:f>
              <c:numCache>
                <c:formatCode>General</c:formatCode>
                <c:ptCount val="8"/>
                <c:pt idx="0">
                  <c:v>8.68</c:v>
                </c:pt>
                <c:pt idx="1">
                  <c:v>8.35</c:v>
                </c:pt>
                <c:pt idx="2">
                  <c:v>8.03</c:v>
                </c:pt>
                <c:pt idx="3">
                  <c:v>7.72</c:v>
                </c:pt>
                <c:pt idx="4">
                  <c:v>7.42</c:v>
                </c:pt>
                <c:pt idx="5">
                  <c:v>7.12</c:v>
                </c:pt>
                <c:pt idx="6">
                  <c:v>6.83</c:v>
                </c:pt>
                <c:pt idx="7">
                  <c:v>6.55</c:v>
                </c:pt>
              </c:numCache>
            </c:numRef>
          </c:yVal>
          <c:smooth val="1"/>
        </c:ser>
        <c:ser>
          <c:idx val="1"/>
          <c:order val="1"/>
          <c:tx>
            <c:strRef>
              <c:f>"Ar"</c:f>
              <c:strCache>
                <c:ptCount val="1"/>
                <c:pt idx="0">
                  <c:v>Ar</c:v>
                </c:pt>
              </c:strCache>
            </c:strRef>
          </c:tx>
          <c:spPr>
            <a:ln w="19050" cap="rnd">
              <a:solidFill>
                <a:schemeClr val="accent2"/>
              </a:solidFill>
              <a:round/>
            </a:ln>
            <a:effectLst/>
          </c:spPr>
          <c:marker>
            <c:symbol val="none"/>
          </c:marker>
          <c:dLbls>
            <c:delete val="1"/>
          </c:dLbls>
          <c:xVal>
            <c:numRef>
              <c:f>[工作簿1]Sheet1!$A$28:$A$35</c:f>
              <c:numCache>
                <c:formatCode>General</c:formatCode>
                <c:ptCount val="8"/>
                <c:pt idx="0">
                  <c:v>0</c:v>
                </c:pt>
                <c:pt idx="1">
                  <c:v>5</c:v>
                </c:pt>
                <c:pt idx="2">
                  <c:v>10</c:v>
                </c:pt>
                <c:pt idx="3">
                  <c:v>15</c:v>
                </c:pt>
                <c:pt idx="4">
                  <c:v>20</c:v>
                </c:pt>
                <c:pt idx="5">
                  <c:v>25</c:v>
                </c:pt>
                <c:pt idx="6">
                  <c:v>30</c:v>
                </c:pt>
                <c:pt idx="7">
                  <c:v>35</c:v>
                </c:pt>
              </c:numCache>
            </c:numRef>
          </c:xVal>
          <c:yVal>
            <c:numRef>
              <c:f>[工作簿1]Sheet1!$D$28:$D$35</c:f>
              <c:numCache>
                <c:formatCode>General</c:formatCode>
                <c:ptCount val="8"/>
                <c:pt idx="0">
                  <c:v>12.45</c:v>
                </c:pt>
                <c:pt idx="1">
                  <c:v>12.02</c:v>
                </c:pt>
                <c:pt idx="2">
                  <c:v>11.58</c:v>
                </c:pt>
                <c:pt idx="3">
                  <c:v>11.15</c:v>
                </c:pt>
                <c:pt idx="4">
                  <c:v>10.72</c:v>
                </c:pt>
                <c:pt idx="5">
                  <c:v>10.3</c:v>
                </c:pt>
                <c:pt idx="6">
                  <c:v>9.89</c:v>
                </c:pt>
                <c:pt idx="7">
                  <c:v>9.48</c:v>
                </c:pt>
              </c:numCache>
            </c:numRef>
          </c:yVal>
          <c:smooth val="1"/>
        </c:ser>
        <c:dLbls>
          <c:showLegendKey val="0"/>
          <c:showVal val="0"/>
          <c:showCatName val="0"/>
          <c:showSerName val="0"/>
          <c:showPercent val="0"/>
          <c:showBubbleSize val="0"/>
        </c:dLbls>
        <c:axId val="759991986"/>
        <c:axId val="167771472"/>
      </c:scatterChart>
      <c:valAx>
        <c:axId val="759991986"/>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盐度</a:t>
                </a:r>
                <a:r>
                  <a:rPr lang="en-US" altLang="zh-CN"/>
                  <a:t>PSS</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7771472"/>
        <c:crosses val="autoZero"/>
        <c:crossBetween val="midCat"/>
      </c:valAx>
      <c:valAx>
        <c:axId val="167771472"/>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溶解度μmol/kg</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59991986"/>
        <c:crosses val="autoZero"/>
        <c:crossBetween val="midCat"/>
      </c:valAx>
      <c:spPr>
        <a:noFill/>
        <a:ln w="9525" cap="flat" cmpd="sng" algn="ctr">
          <a:solidFill>
            <a:schemeClr val="tx1">
              <a:lumMod val="15000"/>
              <a:lumOff val="85000"/>
            </a:schemeClr>
          </a:solidFill>
          <a:round/>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cf43158-88b0-4b08-bbf4-c8843bed42f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盐度溶解度关系</a:t>
            </a:r>
          </a:p>
        </c:rich>
      </c:tx>
      <c:layout/>
      <c:overlay val="0"/>
      <c:spPr>
        <a:noFill/>
        <a:ln>
          <a:noFill/>
        </a:ln>
        <a:effectLst/>
      </c:spPr>
    </c:title>
    <c:autoTitleDeleted val="0"/>
    <c:plotArea>
      <c:layout>
        <c:manualLayout>
          <c:layoutTarget val="inner"/>
          <c:xMode val="edge"/>
          <c:yMode val="edge"/>
          <c:x val="0.0756052631578947"/>
          <c:y val="0.170833333333333"/>
          <c:w val="0.900184210526316"/>
          <c:h val="0.606342592592593"/>
        </c:manualLayout>
      </c:layout>
      <c:scatterChart>
        <c:scatterStyle val="smooth"/>
        <c:varyColors val="0"/>
        <c:ser>
          <c:idx val="0"/>
          <c:order val="0"/>
          <c:tx>
            <c:strRef>
              <c:f>"N2"</c:f>
              <c:strCache>
                <c:ptCount val="1"/>
                <c:pt idx="0">
                  <c:v>N2</c:v>
                </c:pt>
              </c:strCache>
            </c:strRef>
          </c:tx>
          <c:spPr>
            <a:ln w="19050" cap="rnd">
              <a:solidFill>
                <a:schemeClr val="accent1"/>
              </a:solidFill>
              <a:round/>
            </a:ln>
            <a:effectLst/>
          </c:spPr>
          <c:marker>
            <c:symbol val="none"/>
          </c:marker>
          <c:dLbls>
            <c:delete val="1"/>
          </c:dLbls>
          <c:xVal>
            <c:strRef>
              <c:f>[工作簿1]Sheet1!$A$41:$A$48</c:f>
              <c:strCache>
                <c:ptCount val="8"/>
                <c:pt idx="0">
                  <c:v>溶解度μmol/kg</c:v>
                </c:pt>
                <c:pt idx="1">
                  <c:v>5</c:v>
                </c:pt>
                <c:pt idx="2">
                  <c:v>10</c:v>
                </c:pt>
                <c:pt idx="3">
                  <c:v>15</c:v>
                </c:pt>
                <c:pt idx="4">
                  <c:v>20</c:v>
                </c:pt>
                <c:pt idx="5">
                  <c:v>25</c:v>
                </c:pt>
                <c:pt idx="6">
                  <c:v>30</c:v>
                </c:pt>
                <c:pt idx="7">
                  <c:v>35</c:v>
                </c:pt>
              </c:strCache>
            </c:strRef>
          </c:xVal>
          <c:yVal>
            <c:numRef>
              <c:f>[工作簿1]Sheet1!$B$41:$B$48</c:f>
              <c:numCache>
                <c:formatCode>General</c:formatCode>
                <c:ptCount val="8"/>
                <c:pt idx="0">
                  <c:v>456.2</c:v>
                </c:pt>
                <c:pt idx="1">
                  <c:v>449.7</c:v>
                </c:pt>
                <c:pt idx="2">
                  <c:v>443.3</c:v>
                </c:pt>
                <c:pt idx="3">
                  <c:v>437</c:v>
                </c:pt>
                <c:pt idx="4">
                  <c:v>430.8</c:v>
                </c:pt>
                <c:pt idx="5">
                  <c:v>424.7</c:v>
                </c:pt>
                <c:pt idx="6">
                  <c:v>418.7</c:v>
                </c:pt>
                <c:pt idx="7">
                  <c:v>412.8</c:v>
                </c:pt>
              </c:numCache>
            </c:numRef>
          </c:yVal>
          <c:smooth val="1"/>
        </c:ser>
        <c:dLbls>
          <c:showLegendKey val="0"/>
          <c:showVal val="0"/>
          <c:showCatName val="0"/>
          <c:showSerName val="0"/>
          <c:showPercent val="0"/>
          <c:showBubbleSize val="0"/>
        </c:dLbls>
        <c:axId val="59011363"/>
        <c:axId val="527168726"/>
      </c:scatterChart>
      <c:valAx>
        <c:axId val="59011363"/>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溶解度</a:t>
                </a:r>
                <a:r>
                  <a:rPr lang="en-US" altLang="zh-CN"/>
                  <a:t>PSS</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27168726"/>
        <c:crosses val="autoZero"/>
        <c:crossBetween val="midCat"/>
      </c:valAx>
      <c:valAx>
        <c:axId val="527168726"/>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溶解度μmol/kg</a:t>
                </a:r>
              </a:p>
              <a:p>
                <a:pPr defTabSz="914400">
                  <a:defRPr lang="zh-CN" sz="1000" b="0" i="0" u="none" strike="noStrike" kern="1200" baseline="0">
                    <a:solidFill>
                      <a:schemeClr val="tx1">
                        <a:lumMod val="65000"/>
                        <a:lumOff val="35000"/>
                      </a:schemeClr>
                    </a:solidFill>
                    <a:latin typeface="+mn-lt"/>
                    <a:ea typeface="+mn-ea"/>
                    <a:cs typeface="+mn-cs"/>
                  </a:defRPr>
                </a:pPr>
              </a:p>
            </c:rich>
          </c:tx>
          <c:layout>
            <c:manualLayout>
              <c:xMode val="edge"/>
              <c:yMode val="edge"/>
              <c:x val="0.00325414904002603"/>
              <c:y val="0.307782407407407"/>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9011363"/>
        <c:crosses val="autoZero"/>
        <c:crossBetween val="midCat"/>
      </c:valAx>
      <c:spPr>
        <a:noFill/>
        <a:ln w="9525" cap="flat" cmpd="sng" algn="ctr">
          <a:solidFill>
            <a:schemeClr val="tx1">
              <a:lumMod val="15000"/>
              <a:lumOff val="85000"/>
            </a:schemeClr>
          </a:solidFill>
          <a:round/>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647f467-e1ac-48cf-bc77-f26684c88d8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盐度与氧气浓度溶解度关系</a:t>
            </a:r>
          </a:p>
        </c:rich>
      </c:tx>
      <c:layout/>
      <c:overlay val="0"/>
      <c:spPr>
        <a:noFill/>
        <a:ln>
          <a:noFill/>
        </a:ln>
        <a:effectLst/>
      </c:spPr>
    </c:title>
    <c:autoTitleDeleted val="0"/>
    <c:plotArea>
      <c:layout/>
      <c:scatterChart>
        <c:scatterStyle val="smooth"/>
        <c:varyColors val="0"/>
        <c:ser>
          <c:idx val="0"/>
          <c:order val="0"/>
          <c:tx>
            <c:strRef>
              <c:f>"氧气浓度"</c:f>
              <c:strCache>
                <c:ptCount val="1"/>
                <c:pt idx="0">
                  <c:v>氧气浓度</c:v>
                </c:pt>
              </c:strCache>
            </c:strRef>
          </c:tx>
          <c:spPr>
            <a:ln w="19050" cap="rnd">
              <a:solidFill>
                <a:schemeClr val="accent1"/>
              </a:solidFill>
              <a:round/>
            </a:ln>
            <a:effectLst/>
          </c:spPr>
          <c:marker>
            <c:symbol val="none"/>
          </c:marker>
          <c:dLbls>
            <c:delete val="1"/>
          </c:dLbls>
          <c:xVal>
            <c:numRef>
              <c:f>[工作簿1]Sheet1!$H$12:$H$16</c:f>
              <c:numCache>
                <c:formatCode>General</c:formatCode>
                <c:ptCount val="5"/>
                <c:pt idx="0">
                  <c:v>0</c:v>
                </c:pt>
                <c:pt idx="1">
                  <c:v>0.2</c:v>
                </c:pt>
                <c:pt idx="2">
                  <c:v>0.5</c:v>
                </c:pt>
                <c:pt idx="3">
                  <c:v>0.8</c:v>
                </c:pt>
                <c:pt idx="4">
                  <c:v>1</c:v>
                </c:pt>
              </c:numCache>
            </c:numRef>
          </c:xVal>
          <c:yVal>
            <c:numRef>
              <c:f>[工作簿1]Sheet1!$I$12:$I$16</c:f>
              <c:numCache>
                <c:formatCode>General</c:formatCode>
                <c:ptCount val="5"/>
                <c:pt idx="0">
                  <c:v>439.55</c:v>
                </c:pt>
                <c:pt idx="1">
                  <c:v>393.7</c:v>
                </c:pt>
                <c:pt idx="2">
                  <c:v>324.925</c:v>
                </c:pt>
                <c:pt idx="3">
                  <c:v>256.15</c:v>
                </c:pt>
                <c:pt idx="4">
                  <c:v>210.3</c:v>
                </c:pt>
              </c:numCache>
            </c:numRef>
          </c:yVal>
          <c:smooth val="1"/>
        </c:ser>
        <c:ser>
          <c:idx val="1"/>
          <c:order val="1"/>
          <c:tx>
            <c:strRef>
              <c:f>"氧气溶解度"</c:f>
              <c:strCache>
                <c:ptCount val="1"/>
                <c:pt idx="0">
                  <c:v>氧气溶解度</c:v>
                </c:pt>
              </c:strCache>
            </c:strRef>
          </c:tx>
          <c:spPr>
            <a:ln w="19050" cap="rnd">
              <a:solidFill>
                <a:schemeClr val="accent2"/>
              </a:solidFill>
              <a:round/>
            </a:ln>
            <a:effectLst/>
          </c:spPr>
          <c:marker>
            <c:symbol val="none"/>
          </c:marker>
          <c:dLbls>
            <c:delete val="1"/>
          </c:dLbls>
          <c:xVal>
            <c:numRef>
              <c:f>[工作簿1]Sheet1!$H$12:$H$16</c:f>
              <c:numCache>
                <c:formatCode>General</c:formatCode>
                <c:ptCount val="5"/>
                <c:pt idx="0">
                  <c:v>0</c:v>
                </c:pt>
                <c:pt idx="1">
                  <c:v>0.2</c:v>
                </c:pt>
                <c:pt idx="2">
                  <c:v>0.5</c:v>
                </c:pt>
                <c:pt idx="3">
                  <c:v>0.8</c:v>
                </c:pt>
                <c:pt idx="4">
                  <c:v>1</c:v>
                </c:pt>
              </c:numCache>
            </c:numRef>
          </c:xVal>
          <c:yVal>
            <c:numRef>
              <c:f>[工作簿1]Sheet1!$H$4:$H$8</c:f>
              <c:numCache>
                <c:formatCode>General</c:formatCode>
                <c:ptCount val="5"/>
                <c:pt idx="0">
                  <c:v>439.55</c:v>
                </c:pt>
                <c:pt idx="1">
                  <c:v>380</c:v>
                </c:pt>
                <c:pt idx="2">
                  <c:v>292.66</c:v>
                </c:pt>
                <c:pt idx="3">
                  <c:v>240</c:v>
                </c:pt>
                <c:pt idx="4">
                  <c:v>210.3</c:v>
                </c:pt>
              </c:numCache>
            </c:numRef>
          </c:yVal>
          <c:smooth val="1"/>
        </c:ser>
        <c:dLbls>
          <c:showLegendKey val="0"/>
          <c:showVal val="0"/>
          <c:showCatName val="0"/>
          <c:showSerName val="0"/>
          <c:showPercent val="0"/>
          <c:showBubbleSize val="0"/>
        </c:dLbls>
        <c:axId val="175688245"/>
        <c:axId val="842076878"/>
      </c:scatterChart>
      <c:valAx>
        <c:axId val="175688245"/>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盐度</a:t>
                </a:r>
                <a:r>
                  <a:rPr lang="en-US" altLang="zh-CN"/>
                  <a:t>x</a:t>
                </a:r>
                <a:endParaRPr lang="en-US" altLang="zh-CN"/>
              </a:p>
            </c:rich>
          </c:tx>
          <c:layout>
            <c:manualLayout>
              <c:xMode val="edge"/>
              <c:yMode val="edge"/>
              <c:x val="0.368611825192802"/>
              <c:y val="0.898635477582846"/>
            </c:manualLayout>
          </c:layout>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42076878"/>
        <c:crosses val="autoZero"/>
        <c:crossBetween val="midCat"/>
      </c:valAx>
      <c:valAx>
        <c:axId val="842076878"/>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浓度(μmol/kg)</a:t>
                </a:r>
              </a:p>
            </c:rich>
          </c:tx>
          <c:layout/>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5688245"/>
        <c:crosses val="autoZero"/>
        <c:crossBetween val="midCat"/>
      </c:valAx>
      <c:spPr>
        <a:noFill/>
        <a:ln w="9525" cap="flat" cmpd="sng" algn="ctr">
          <a:solidFill>
            <a:schemeClr val="tx1">
              <a:lumMod val="15000"/>
              <a:lumOff val="85000"/>
            </a:schemeClr>
          </a:solidFill>
          <a:round/>
        </a:ln>
        <a:effectLst/>
      </c:spPr>
    </c:plotArea>
    <c:legend>
      <c:legendPos val="r"/>
      <c:layout>
        <c:manualLayout>
          <c:xMode val="edge"/>
          <c:yMode val="edge"/>
          <c:x val="0.787017994858612"/>
          <c:y val="0.474025974025974"/>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3b93db-100d-4a73-bc27-6f8dc50c5af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9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9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19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19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19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19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19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2522</Words>
  <Characters>3642</Characters>
  <Lines>35</Lines>
  <Paragraphs>28</Paragraphs>
  <TotalTime>0</TotalTime>
  <ScaleCrop>false</ScaleCrop>
  <LinksUpToDate>false</LinksUpToDate>
  <CharactersWithSpaces>4901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2017-11-28T15:37:00Z</dcterms:created>
  <dc:creator>Jiang, Zongpei</dc:creator>
  <cp:lastModifiedBy>柯泓宇</cp:lastModifiedBy>
  <dcterms:modified xsi:type="dcterms:W3CDTF">2025-04-20T15:03:25Z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7cfb45eb895423e67d6d8975757e5070dbe40944d7aebe439186618fb71a3dcc</vt:lpwstr>
  </property>
  <property fmtid="{D5CDD505-2E9C-101B-9397-08002B2CF9AE}" pid="3" name="KSOProductBuildVer">
    <vt:lpwstr>2052-12.1.0.19770</vt:lpwstr>
  </property>
  <property fmtid="{D5CDD505-2E9C-101B-9397-08002B2CF9AE}" pid="4" name="ICV">
    <vt:lpwstr>8B54D5178FD94CBEBF9EB7883E7CD80B_13</vt:lpwstr>
  </property>
  <property fmtid="{D5CDD505-2E9C-101B-9397-08002B2CF9AE}" pid="5" name="KSOTemplateDocerSaveRecord">
    <vt:lpwstr>eyJoZGlkIjoiNTIyODdmZjY0Zjg0ZWQ3ZmVhZDA3NDFkNTYwZGEwNjYiLCJ1c2VySWQiOiIxNjM3NTMwODMwIn0=</vt:lpwstr>
  </property>
</Properties>
</file>