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66274F">
      <w:pPr>
        <w:jc w:val="center"/>
        <w:rPr>
          <w:sz w:val="24"/>
        </w:rPr>
      </w:pPr>
      <w:r>
        <w:rPr>
          <w:rFonts w:hint="eastAsia"/>
          <w:b/>
          <w:sz w:val="24"/>
        </w:rPr>
        <w:t>海洋化学及实验 作业</w:t>
      </w:r>
      <w:r>
        <w:rPr>
          <w:sz w:val="24"/>
        </w:rPr>
        <w:t>3</w:t>
      </w:r>
    </w:p>
    <w:p w14:paraId="02DEC728">
      <w:pPr>
        <w:jc w:val="center"/>
        <w:rPr>
          <w:sz w:val="24"/>
        </w:rPr>
      </w:pPr>
    </w:p>
    <w:p w14:paraId="67FAFAFF">
      <w:pPr>
        <w:pStyle w:val="12"/>
        <w:numPr>
          <w:ilvl w:val="0"/>
          <w:numId w:val="1"/>
        </w:numPr>
        <w:contextualSpacing w:val="0"/>
        <w:rPr>
          <w:sz w:val="24"/>
        </w:rPr>
      </w:pPr>
      <w:r>
        <w:rPr>
          <w:rFonts w:hint="eastAsia"/>
          <w:sz w:val="24"/>
        </w:rPr>
        <w:t>已知一海水溶解无机碳浓度为2000</w:t>
      </w:r>
      <w:r>
        <w:rPr>
          <w:sz w:val="24"/>
        </w:rPr>
        <w:t xml:space="preserve"> </w:t>
      </w:r>
      <w:r>
        <w:rPr>
          <w:rFonts w:ascii="Symbol" w:hAnsi="Symbol"/>
          <w:sz w:val="24"/>
        </w:rPr>
        <w:t></w:t>
      </w:r>
      <w:r>
        <w:rPr>
          <w:sz w:val="24"/>
        </w:rPr>
        <w:t>mol</w:t>
      </w:r>
      <w:r>
        <w:rPr>
          <w:rFonts w:hint="eastAsia"/>
          <w:sz w:val="24"/>
        </w:rPr>
        <w:t>/kg，碳酸盐碱度为2250</w:t>
      </w:r>
      <w:r>
        <w:rPr>
          <w:sz w:val="24"/>
        </w:rPr>
        <w:t xml:space="preserve"> </w:t>
      </w:r>
      <w:r>
        <w:rPr>
          <w:rFonts w:ascii="Symbol" w:hAnsi="Symbol"/>
          <w:sz w:val="24"/>
        </w:rPr>
        <w:t></w:t>
      </w:r>
      <w:r>
        <w:rPr>
          <w:sz w:val="24"/>
        </w:rPr>
        <w:t>mol</w:t>
      </w:r>
      <w:r>
        <w:rPr>
          <w:rFonts w:hint="eastAsia"/>
          <w:sz w:val="24"/>
        </w:rPr>
        <w:t xml:space="preserve">/kg，请快速估算该水体 </w:t>
      </w:r>
      <w:r>
        <w:rPr>
          <w:sz w:val="24"/>
        </w:rPr>
        <w:t>HCO</w:t>
      </w:r>
      <w:r>
        <w:rPr>
          <w:sz w:val="24"/>
          <w:vertAlign w:val="subscript"/>
        </w:rPr>
        <w:t>3</w:t>
      </w:r>
      <w:r>
        <w:rPr>
          <w:sz w:val="24"/>
          <w:vertAlign w:val="superscript"/>
        </w:rPr>
        <w:t>-</w:t>
      </w:r>
      <w:r>
        <w:rPr>
          <w:sz w:val="24"/>
        </w:rPr>
        <w:t xml:space="preserve"> </w:t>
      </w:r>
      <w:r>
        <w:rPr>
          <w:rFonts w:hint="eastAsia"/>
          <w:sz w:val="24"/>
        </w:rPr>
        <w:t>和 CO</w:t>
      </w:r>
      <w:r>
        <w:rPr>
          <w:rFonts w:hint="eastAsia"/>
          <w:sz w:val="24"/>
          <w:vertAlign w:val="subscript"/>
        </w:rPr>
        <w:t>3</w:t>
      </w:r>
      <w:r>
        <w:rPr>
          <w:rFonts w:hint="eastAsia"/>
          <w:sz w:val="24"/>
          <w:vertAlign w:val="superscript"/>
        </w:rPr>
        <w:t>2-</w:t>
      </w:r>
      <w:r>
        <w:rPr>
          <w:rFonts w:hint="eastAsia"/>
          <w:sz w:val="24"/>
        </w:rPr>
        <w:t>的浓度。在海洋环境中，是否存在水体中DIC</w:t>
      </w:r>
      <w:r>
        <w:rPr>
          <w:sz w:val="24"/>
        </w:rPr>
        <w:t>&gt;TA</w:t>
      </w:r>
      <w:r>
        <w:rPr>
          <w:rFonts w:hint="eastAsia"/>
          <w:sz w:val="24"/>
        </w:rPr>
        <w:t>的情况？</w:t>
      </w:r>
    </w:p>
    <w:p w14:paraId="41E53AD1">
      <w:pPr>
        <w:ind w:left="420" w:leftChars="0" w:firstLine="420" w:firstLineChars="0"/>
      </w:pPr>
      <w:r>
        <w:rPr>
          <w:rFonts w:hint="default"/>
        </w:rPr>
        <w:t>快速估算：</w:t>
      </w:r>
      <w:r>
        <w:rPr>
          <w:rFonts w:hint="default"/>
        </w:rPr>
        <w:br w:type="textWrapping"/>
      </w:r>
      <w:r>
        <w:rPr>
          <w:rFonts w:hint="eastAsia"/>
          <w:lang w:val="en-US" w:eastAsia="zh-CN"/>
        </w:rPr>
        <w:tab/>
      </w:r>
      <w:r>
        <w:rPr>
          <w:rFonts w:hint="eastAsia"/>
          <w:lang w:val="en-US" w:eastAsia="zh-CN"/>
        </w:rPr>
        <w:tab/>
      </w:r>
      <w:r>
        <w:rPr>
          <w:rFonts w:hint="default"/>
        </w:rPr>
        <w:t>已知：</w:t>
      </w:r>
    </w:p>
    <w:p w14:paraId="56074D7E">
      <w:pPr>
        <w:ind w:left="840" w:leftChars="0" w:firstLine="420" w:firstLineChars="0"/>
      </w:pPr>
      <w:r>
        <w:rPr>
          <w:rFonts w:hint="default"/>
        </w:rPr>
        <w:t>DIC（溶解无机碳） = 2000 µmol/kg</w:t>
      </w:r>
    </w:p>
    <w:p w14:paraId="6448EDA8">
      <w:pPr>
        <w:ind w:left="840" w:leftChars="0" w:firstLine="420" w:firstLineChars="0"/>
      </w:pPr>
      <w:r>
        <w:rPr>
          <w:rFonts w:hint="default"/>
        </w:rPr>
        <w:t>TA（总碱度，假设为碳酸盐碱度） = 2250 µmol/kg</w:t>
      </w:r>
    </w:p>
    <w:p w14:paraId="6C141AAA">
      <w:pPr>
        <w:ind w:left="840" w:leftChars="0" w:firstLine="420" w:firstLineChars="0"/>
        <w:rPr>
          <w:rFonts w:hint="default"/>
        </w:rPr>
      </w:pPr>
      <w:r>
        <w:rPr>
          <w:rFonts w:hint="default"/>
        </w:rPr>
        <w:t>在海水碳酸盐体系中，忽略硼酸和弱酸影响时，近似有：</w:t>
      </w:r>
    </w:p>
    <w:p w14:paraId="032C130E">
      <w:pPr>
        <w:ind w:left="840" w:leftChars="0" w:firstLine="420" w:firstLineChars="0"/>
      </w:pPr>
      <w:r>
        <w:rPr>
          <w:rFonts w:hint="default"/>
        </w:rPr>
        <w:t>DIC ≈ [HCO₃⁻] + [CO₃²⁻]</w:t>
      </w:r>
    </w:p>
    <w:p w14:paraId="45C0B382">
      <w:pPr>
        <w:ind w:left="840" w:leftChars="0" w:firstLine="420" w:firstLineChars="0"/>
      </w:pPr>
      <w:r>
        <w:rPr>
          <w:rFonts w:hint="default"/>
        </w:rPr>
        <w:t>TA ≈ [HCO₃⁻] + 2[CO₃²⁻]</w:t>
      </w:r>
    </w:p>
    <w:p w14:paraId="6B4476E0">
      <w:pPr>
        <w:ind w:left="840" w:leftChars="0" w:firstLine="420" w:firstLineChars="0"/>
        <w:rPr>
          <w:rFonts w:hint="default"/>
        </w:rPr>
      </w:pPr>
      <w:r>
        <w:rPr>
          <w:rFonts w:hint="default"/>
        </w:rPr>
        <w:t>设 [HCO₃⁻] = x，[CO₃²⁻] = y，联立方程：</w:t>
      </w:r>
    </w:p>
    <w:p w14:paraId="4850382D">
      <w:pPr>
        <w:ind w:left="840" w:leftChars="0" w:firstLine="420" w:firstLineChars="0"/>
      </w:pPr>
      <w:r>
        <w:rPr>
          <w:rFonts w:hint="default"/>
        </w:rPr>
        <w:t>x + y = 2000</w:t>
      </w:r>
    </w:p>
    <w:p w14:paraId="2FB090E9">
      <w:pPr>
        <w:ind w:left="840" w:leftChars="0" w:firstLine="420" w:firstLineChars="0"/>
        <w:rPr>
          <w:rFonts w:hint="default"/>
        </w:rPr>
      </w:pPr>
      <w:r>
        <w:rPr>
          <w:rFonts w:hint="eastAsia"/>
          <w:lang w:val="en-US" w:eastAsia="zh-CN"/>
        </w:rPr>
        <w:t xml:space="preserve"> </w:t>
      </w:r>
      <w:r>
        <w:rPr>
          <w:rFonts w:hint="default"/>
        </w:rPr>
        <w:t>解得：</w:t>
      </w:r>
    </w:p>
    <w:p w14:paraId="5BC68EC9">
      <w:pPr>
        <w:ind w:left="840" w:leftChars="0" w:firstLine="420" w:firstLineChars="0"/>
      </w:pPr>
      <w:r>
        <w:rPr>
          <w:rFonts w:hint="default"/>
        </w:rPr>
        <w:t>y = 250 µmol/kg</w:t>
      </w:r>
    </w:p>
    <w:p w14:paraId="428B13E5">
      <w:pPr>
        <w:ind w:left="840" w:leftChars="0" w:firstLine="420" w:firstLineChars="0"/>
      </w:pPr>
      <w:r>
        <w:rPr>
          <w:rFonts w:hint="default"/>
        </w:rPr>
        <w:t>x = 1750 µmol/kg</w:t>
      </w:r>
    </w:p>
    <w:p w14:paraId="13BB9354"/>
    <w:p w14:paraId="47A6CCAB">
      <w:pPr>
        <w:ind w:left="840" w:leftChars="0" w:firstLine="420" w:firstLineChars="0"/>
        <w:rPr>
          <w:rFonts w:hint="default"/>
        </w:rPr>
      </w:pPr>
      <w:r>
        <w:rPr>
          <w:rFonts w:hint="default"/>
        </w:rPr>
        <w:t>结论：</w:t>
      </w:r>
    </w:p>
    <w:p w14:paraId="5FB9BC1B">
      <w:pPr>
        <w:ind w:left="840" w:leftChars="0" w:firstLine="420" w:firstLineChars="0"/>
      </w:pPr>
      <w:r>
        <w:rPr>
          <w:rFonts w:hint="default"/>
        </w:rPr>
        <w:t>[HCO₃⁻] ≈ 1750 µmol/kg</w:t>
      </w:r>
    </w:p>
    <w:p w14:paraId="54421F34">
      <w:pPr>
        <w:ind w:left="840" w:leftChars="0" w:firstLine="420" w:firstLineChars="0"/>
      </w:pPr>
      <w:r>
        <w:rPr>
          <w:rFonts w:hint="default"/>
        </w:rPr>
        <w:t>[CO₃²⁻] ≈ 250 µmol/kg</w:t>
      </w:r>
    </w:p>
    <w:p w14:paraId="2E09727B">
      <w:pPr>
        <w:ind w:left="840" w:leftChars="0" w:firstLine="420" w:firstLineChars="0"/>
        <w:rPr>
          <w:rFonts w:hint="default"/>
        </w:rPr>
      </w:pPr>
      <w:r>
        <w:rPr>
          <w:rFonts w:hint="default"/>
        </w:rPr>
        <w:t>DIC &gt; TA 的可能性：</w:t>
      </w:r>
      <w:r>
        <w:rPr>
          <w:rFonts w:hint="default"/>
        </w:rPr>
        <w:br w:type="textWrapping"/>
      </w:r>
      <w:r>
        <w:rPr>
          <w:rFonts w:hint="eastAsia"/>
          <w:lang w:val="en-US" w:eastAsia="zh-CN"/>
        </w:rPr>
        <w:tab/>
      </w:r>
      <w:r>
        <w:rPr>
          <w:rFonts w:hint="default"/>
        </w:rPr>
        <w:t>在自然海洋环境中，DIC 通常小于 TA。TA 包含 HCO₃⁻、2×CO₃²⁻ 和其他弱酸阴离子（如 B(OH)₄⁻），而 DIC 仅为 HCO₃⁻、CO₃²⁻ 和 CO₂ 的总和。若 DIC &gt; TA，需满足 CO₂ 浓度极高且 CO₃²⁻ 极低（如强酸化水体），但此情况在自然海水中极为罕见。</w:t>
      </w:r>
    </w:p>
    <w:p w14:paraId="261C67AA"/>
    <w:p w14:paraId="7EF701DE">
      <w:pPr>
        <w:pStyle w:val="12"/>
        <w:contextualSpacing w:val="0"/>
        <w:rPr>
          <w:sz w:val="24"/>
        </w:rPr>
      </w:pPr>
    </w:p>
    <w:p w14:paraId="227DCDED">
      <w:pPr>
        <w:pStyle w:val="12"/>
        <w:numPr>
          <w:ilvl w:val="0"/>
          <w:numId w:val="1"/>
        </w:numPr>
        <w:contextualSpacing w:val="0"/>
        <w:rPr>
          <w:sz w:val="24"/>
        </w:rPr>
      </w:pPr>
      <w:r>
        <w:rPr>
          <w:rFonts w:hint="eastAsia"/>
          <w:sz w:val="24"/>
        </w:rPr>
        <w:t>请简述海洋中的“碳泵”如何影响海水二氧化碳分压。</w:t>
      </w:r>
    </w:p>
    <w:p w14:paraId="5D77C923">
      <w:pPr>
        <w:ind w:left="420" w:leftChars="0" w:firstLine="420" w:firstLineChars="0"/>
      </w:pPr>
      <w:r>
        <w:rPr>
          <w:rFonts w:hint="default"/>
        </w:rPr>
        <w:t>海洋碳泵通过以下机制降低表层海水 pCO₂：</w:t>
      </w:r>
    </w:p>
    <w:p w14:paraId="28DFB638"/>
    <w:p w14:paraId="22734ED9">
      <w:pPr>
        <w:ind w:left="840" w:leftChars="0" w:firstLine="420" w:firstLineChars="0"/>
      </w:pPr>
      <w:r>
        <w:rPr>
          <w:rFonts w:hint="default"/>
        </w:rPr>
        <w:t>生物泵：</w:t>
      </w:r>
    </w:p>
    <w:p w14:paraId="07207F5F">
      <w:pPr>
        <w:ind w:left="840" w:leftChars="0" w:firstLine="420" w:firstLineChars="0"/>
      </w:pPr>
      <w:r>
        <w:rPr>
          <w:rFonts w:hint="default"/>
        </w:rPr>
        <w:t>浮游植物光合作用吸收 CO₂，转化为有机碳。</w:t>
      </w:r>
    </w:p>
    <w:p w14:paraId="5801E08C">
      <w:pPr>
        <w:ind w:left="840" w:leftChars="0" w:firstLine="420" w:firstLineChars="0"/>
      </w:pPr>
      <w:r>
        <w:rPr>
          <w:rFonts w:hint="default"/>
        </w:rPr>
        <w:t>有机碳通过颗粒沉降（如生物壳体、粪球）输送到深海，减少表层 DIC，降低 pCO₂。</w:t>
      </w:r>
    </w:p>
    <w:p w14:paraId="485DCBDC">
      <w:pPr>
        <w:ind w:left="840" w:leftChars="0" w:firstLine="420" w:firstLineChars="0"/>
      </w:pPr>
      <w:r>
        <w:rPr>
          <w:rFonts w:hint="default"/>
        </w:rPr>
        <w:t>溶解度泵：</w:t>
      </w:r>
    </w:p>
    <w:p w14:paraId="0498D61C">
      <w:pPr>
        <w:ind w:left="420" w:leftChars="0" w:firstLine="420" w:firstLineChars="0"/>
      </w:pPr>
      <w:r>
        <w:rPr>
          <w:rFonts w:hint="default"/>
        </w:rPr>
        <w:t>冷水（如极区）吸收更多 CO₂，通过温盐环流将高 DIC 水体输送至深海。</w:t>
      </w:r>
    </w:p>
    <w:p w14:paraId="03C2E6B4">
      <w:pPr>
        <w:ind w:left="420" w:leftChars="0" w:firstLine="420" w:firstLineChars="0"/>
      </w:pPr>
      <w:r>
        <w:rPr>
          <w:rFonts w:hint="default"/>
        </w:rPr>
        <w:t>表层水 pCO₂ 降低，促进大气 CO₂ 向海洋扩散。</w:t>
      </w:r>
    </w:p>
    <w:p w14:paraId="50E3D0FE">
      <w:pPr>
        <w:ind w:left="420" w:leftChars="0" w:firstLine="420" w:firstLineChars="0"/>
        <w:rPr>
          <w:rFonts w:hint="default"/>
        </w:rPr>
      </w:pPr>
      <w:r>
        <w:rPr>
          <w:rFonts w:hint="default"/>
        </w:rPr>
        <w:t>综合效应：碳泵将 CO₂ 从表层转移到深海，使表层海水 pCO₂ 低于大气，形成海洋对大气 CO₂ 的“汇”。</w:t>
      </w:r>
    </w:p>
    <w:p w14:paraId="314B70AD">
      <w:pPr>
        <w:pStyle w:val="12"/>
        <w:rPr>
          <w:rFonts w:hint="eastAsia"/>
          <w:sz w:val="24"/>
        </w:rPr>
      </w:pPr>
    </w:p>
    <w:p w14:paraId="209D9E07">
      <w:pPr>
        <w:pStyle w:val="12"/>
        <w:numPr>
          <w:ilvl w:val="0"/>
          <w:numId w:val="1"/>
        </w:numPr>
        <w:contextualSpacing w:val="0"/>
        <w:rPr>
          <w:sz w:val="24"/>
        </w:rPr>
      </w:pPr>
      <w:r>
        <w:rPr>
          <w:rFonts w:hint="eastAsia"/>
          <w:sz w:val="24"/>
        </w:rPr>
        <w:t>简述pH的不同标度及其差异。</w:t>
      </w:r>
    </w:p>
    <w:p w14:paraId="612AC456">
      <w:pPr>
        <w:pStyle w:val="12"/>
        <w:rPr>
          <w:rFonts w:hint="eastAsia"/>
          <w:sz w:val="21"/>
          <w:szCs w:val="21"/>
        </w:rPr>
      </w:pPr>
      <w:r>
        <w:rPr>
          <w:rFonts w:hint="eastAsia"/>
          <w:sz w:val="21"/>
          <w:szCs w:val="21"/>
        </w:rPr>
        <w:t>1.pH</w:t>
      </w:r>
      <w:r>
        <w:rPr>
          <w:rFonts w:hint="eastAsia"/>
          <w:sz w:val="21"/>
          <w:szCs w:val="21"/>
          <w:vertAlign w:val="subscript"/>
          <w:lang w:val="en-US" w:eastAsia="zh-CN"/>
        </w:rPr>
        <w:t>N</w:t>
      </w:r>
      <w:r>
        <w:rPr>
          <w:rFonts w:hint="eastAsia"/>
          <w:sz w:val="21"/>
          <w:szCs w:val="21"/>
          <w:vertAlign w:val="subscript"/>
        </w:rPr>
        <w:t>B</w:t>
      </w:r>
      <w:r>
        <w:rPr>
          <w:rFonts w:hint="eastAsia"/>
          <w:sz w:val="21"/>
          <w:szCs w:val="21"/>
          <w:vertAlign w:val="subscript"/>
          <w:lang w:val="en-US" w:eastAsia="zh-CN"/>
        </w:rPr>
        <w:t>S</w:t>
      </w:r>
      <w:r>
        <w:rPr>
          <w:rFonts w:hint="eastAsia"/>
          <w:sz w:val="21"/>
          <w:szCs w:val="21"/>
        </w:rPr>
        <w:t>标度</w:t>
      </w:r>
    </w:p>
    <w:p w14:paraId="59C424E5">
      <w:pPr>
        <w:pStyle w:val="12"/>
        <w:rPr>
          <w:rFonts w:hint="eastAsia"/>
          <w:sz w:val="21"/>
          <w:szCs w:val="21"/>
        </w:rPr>
      </w:pPr>
      <w:r>
        <w:rPr>
          <w:rFonts w:hint="eastAsia"/>
          <w:sz w:val="21"/>
          <w:szCs w:val="21"/>
        </w:rPr>
        <w:t>美国国家标准局提供一系列的pH标准缓冲溶液用于pH值的测定</w:t>
      </w:r>
    </w:p>
    <w:p w14:paraId="269E0058">
      <w:pPr>
        <w:pStyle w:val="12"/>
        <w:rPr>
          <w:rFonts w:hint="eastAsia"/>
          <w:sz w:val="21"/>
          <w:szCs w:val="21"/>
        </w:rPr>
      </w:pPr>
      <w:r>
        <w:rPr>
          <w:rFonts w:hint="eastAsia"/>
          <w:sz w:val="21"/>
          <w:szCs w:val="21"/>
        </w:rPr>
        <w:t>2.p</w:t>
      </w:r>
      <w:r>
        <w:rPr>
          <w:rFonts w:hint="eastAsia"/>
          <w:sz w:val="21"/>
          <w:szCs w:val="21"/>
          <w:lang w:val="en-US" w:eastAsia="zh-CN"/>
        </w:rPr>
        <w:t>H</w:t>
      </w:r>
      <w:r>
        <w:rPr>
          <w:rFonts w:hint="eastAsia"/>
          <w:sz w:val="21"/>
          <w:szCs w:val="21"/>
          <w:vertAlign w:val="subscript"/>
          <w:lang w:val="en-US" w:eastAsia="zh-CN"/>
        </w:rPr>
        <w:t>F</w:t>
      </w:r>
      <w:r>
        <w:rPr>
          <w:rFonts w:hint="eastAsia"/>
          <w:sz w:val="21"/>
          <w:szCs w:val="21"/>
        </w:rPr>
        <w:t>标度(free scale)</w:t>
      </w:r>
    </w:p>
    <w:p w14:paraId="2E538AAA">
      <w:pPr>
        <w:pStyle w:val="12"/>
        <w:rPr>
          <w:rFonts w:hint="eastAsia"/>
          <w:sz w:val="21"/>
          <w:szCs w:val="21"/>
        </w:rPr>
      </w:pPr>
      <w:r>
        <w:rPr>
          <w:rFonts w:hint="eastAsia"/>
          <w:sz w:val="21"/>
          <w:szCs w:val="21"/>
        </w:rPr>
        <w:t>采用人工海水配置的标准溶液，其定义实质是自由氢离子浓度的负对数:</w:t>
      </w:r>
    </w:p>
    <w:p w14:paraId="57AF3496">
      <w:pPr>
        <w:pStyle w:val="12"/>
        <w:numPr>
          <w:ilvl w:val="0"/>
          <w:numId w:val="0"/>
        </w:numPr>
        <w:ind w:left="360" w:leftChars="0" w:firstLine="416" w:firstLineChars="0"/>
        <w:contextualSpacing w:val="0"/>
        <w:rPr>
          <w:rFonts w:hint="eastAsia"/>
          <w:sz w:val="21"/>
          <w:szCs w:val="21"/>
        </w:rPr>
      </w:pPr>
      <w:r>
        <w:rPr>
          <w:rFonts w:hint="eastAsia"/>
          <w:sz w:val="21"/>
          <w:szCs w:val="21"/>
          <w:lang w:val="en-US" w:eastAsia="zh-CN"/>
        </w:rPr>
        <w:t>3.</w:t>
      </w:r>
      <w:r>
        <w:rPr>
          <w:rFonts w:hint="eastAsia"/>
          <w:sz w:val="21"/>
          <w:szCs w:val="21"/>
        </w:rPr>
        <w:t xml:space="preserve">pHT标度 (total scale） 以人工海水配置的有机缓冲溶液作为海水pH测量的标准，以消除离 子强度造成的液界电位差，其所配置的溶液包含有HSO4-，其定义实质为： pHT=-lg ( [H+]F+ [HSO4-])=-lg [H+]T 目前对大洋水来说，比较合理准备的一种标度 pH标度 </w:t>
      </w:r>
    </w:p>
    <w:p w14:paraId="39BED2FC">
      <w:pPr>
        <w:pStyle w:val="12"/>
        <w:numPr>
          <w:ilvl w:val="0"/>
          <w:numId w:val="0"/>
        </w:numPr>
        <w:ind w:left="360" w:leftChars="0" w:firstLine="416" w:firstLineChars="0"/>
        <w:contextualSpacing w:val="0"/>
        <w:rPr>
          <w:sz w:val="21"/>
          <w:szCs w:val="21"/>
        </w:rPr>
      </w:pPr>
      <w:r>
        <w:rPr>
          <w:rFonts w:hint="eastAsia"/>
          <w:sz w:val="21"/>
          <w:szCs w:val="21"/>
        </w:rPr>
        <w:t>4.pHSW标度（seawater scale） 所采用的介质中除HSO4-外，还有HF的话，则需要考虑HF的解离常数KF*，即其定义实质为： pHSW=-lg ( [H+]F+ [HSO4-]+ [HF])=-lg [H+]SW 几种标度之间的关系及差异： 其中：ST= [SO42-]+ [HSO4-]≈ [SO42-] FT= [F-]+ [HF] ≈ [F-] 在标准条件下，pHF标度测的数值比pHT和pHSW标度的数值约高0.11和0.12.</w:t>
      </w:r>
    </w:p>
    <w:p w14:paraId="20C99D45">
      <w:pPr>
        <w:pStyle w:val="12"/>
        <w:numPr>
          <w:ilvl w:val="0"/>
          <w:numId w:val="1"/>
        </w:numPr>
        <w:contextualSpacing w:val="0"/>
        <w:rPr>
          <w:sz w:val="24"/>
        </w:rPr>
      </w:pPr>
      <w:r>
        <w:rPr>
          <w:rFonts w:hint="eastAsia"/>
          <w:sz w:val="24"/>
        </w:rPr>
        <w:t>目前大洋表层水体的pH的范围？控制pH的主要缓冲机制是什么？</w:t>
      </w:r>
    </w:p>
    <w:p w14:paraId="6C3B0484">
      <w:pPr>
        <w:pStyle w:val="12"/>
        <w:rPr>
          <w:sz w:val="21"/>
          <w:szCs w:val="21"/>
        </w:rPr>
      </w:pPr>
      <w:r>
        <w:rPr>
          <w:rFonts w:hint="default"/>
          <w:sz w:val="21"/>
          <w:szCs w:val="21"/>
        </w:rPr>
        <w:t>当前 pH 范围：</w:t>
      </w:r>
    </w:p>
    <w:p w14:paraId="2A44F4AE">
      <w:pPr>
        <w:pStyle w:val="12"/>
        <w:rPr>
          <w:sz w:val="21"/>
          <w:szCs w:val="21"/>
        </w:rPr>
      </w:pPr>
      <w:r>
        <w:rPr>
          <w:rFonts w:hint="default"/>
          <w:sz w:val="21"/>
          <w:szCs w:val="21"/>
        </w:rPr>
        <w:t>全球平均：约 8.1（工业革命前为 8.2）。</w:t>
      </w:r>
    </w:p>
    <w:p w14:paraId="2E16B85C">
      <w:pPr>
        <w:pStyle w:val="12"/>
        <w:rPr>
          <w:sz w:val="21"/>
          <w:szCs w:val="21"/>
        </w:rPr>
      </w:pPr>
      <w:r>
        <w:rPr>
          <w:rFonts w:hint="default"/>
          <w:sz w:val="21"/>
          <w:szCs w:val="21"/>
        </w:rPr>
        <w:t>区域差异：</w:t>
      </w:r>
    </w:p>
    <w:p w14:paraId="43540C73">
      <w:pPr>
        <w:pStyle w:val="12"/>
        <w:rPr>
          <w:sz w:val="21"/>
          <w:szCs w:val="21"/>
        </w:rPr>
      </w:pPr>
      <w:r>
        <w:rPr>
          <w:rFonts w:hint="default"/>
          <w:sz w:val="21"/>
          <w:szCs w:val="21"/>
        </w:rPr>
        <w:t>赤道上升流区：低至 7.8–8.0（高 CO₂ 释放）。</w:t>
      </w:r>
    </w:p>
    <w:p w14:paraId="7AA44D4C">
      <w:pPr>
        <w:pStyle w:val="12"/>
        <w:rPr>
          <w:sz w:val="21"/>
          <w:szCs w:val="21"/>
        </w:rPr>
      </w:pPr>
      <w:r>
        <w:rPr>
          <w:rFonts w:hint="default"/>
          <w:sz w:val="21"/>
          <w:szCs w:val="21"/>
        </w:rPr>
        <w:t>副热带环流区：高达 8.2–8.3（低生物活动，高 CO₂ 吸收）。</w:t>
      </w:r>
    </w:p>
    <w:p w14:paraId="76FE80C7">
      <w:pPr>
        <w:pStyle w:val="12"/>
        <w:rPr>
          <w:sz w:val="21"/>
          <w:szCs w:val="21"/>
        </w:rPr>
      </w:pPr>
      <w:r>
        <w:rPr>
          <w:rFonts w:hint="default"/>
          <w:sz w:val="21"/>
          <w:szCs w:val="21"/>
        </w:rPr>
        <w:t>主要缓冲机制：</w:t>
      </w:r>
    </w:p>
    <w:p w14:paraId="04D75520">
      <w:pPr>
        <w:pStyle w:val="12"/>
        <w:rPr>
          <w:sz w:val="21"/>
          <w:szCs w:val="21"/>
        </w:rPr>
      </w:pPr>
      <w:r>
        <w:rPr>
          <w:rFonts w:hint="default"/>
          <w:sz w:val="21"/>
          <w:szCs w:val="21"/>
        </w:rPr>
        <w:t>碳酸盐缓冲系统：</w:t>
      </w:r>
    </w:p>
    <w:p w14:paraId="4B26CB4C">
      <w:pPr>
        <w:pStyle w:val="12"/>
        <w:rPr>
          <w:sz w:val="21"/>
          <w:szCs w:val="21"/>
        </w:rPr>
      </w:pPr>
      <w:r>
        <w:rPr>
          <w:rFonts w:hint="default"/>
          <w:sz w:val="21"/>
          <w:szCs w:val="21"/>
        </w:rPr>
        <w:t>CO₂ + H₂O ↔ H₂CO₃ ↔ HCO₃⁻ + H⁺ ↔ CO₃²⁻ + 2H⁺</w:t>
      </w:r>
    </w:p>
    <w:p w14:paraId="53502329">
      <w:pPr>
        <w:pStyle w:val="12"/>
        <w:rPr>
          <w:sz w:val="21"/>
          <w:szCs w:val="21"/>
        </w:rPr>
      </w:pPr>
      <w:r>
        <w:rPr>
          <w:rFonts w:hint="default"/>
          <w:sz w:val="21"/>
          <w:szCs w:val="21"/>
        </w:rPr>
        <w:t>主导海水 pH 调节，贡献约 90% 缓冲能力。</w:t>
      </w:r>
    </w:p>
    <w:p w14:paraId="2A684C20">
      <w:pPr>
        <w:pStyle w:val="12"/>
        <w:rPr>
          <w:sz w:val="21"/>
          <w:szCs w:val="21"/>
        </w:rPr>
      </w:pPr>
      <w:r>
        <w:rPr>
          <w:rFonts w:hint="default"/>
          <w:sz w:val="21"/>
          <w:szCs w:val="21"/>
        </w:rPr>
        <w:t>硼酸缓冲系统：</w:t>
      </w:r>
    </w:p>
    <w:p w14:paraId="22FF6432">
      <w:pPr>
        <w:pStyle w:val="12"/>
        <w:rPr>
          <w:sz w:val="21"/>
          <w:szCs w:val="21"/>
        </w:rPr>
      </w:pPr>
      <w:r>
        <w:rPr>
          <w:rFonts w:hint="default"/>
          <w:sz w:val="21"/>
          <w:szCs w:val="21"/>
        </w:rPr>
        <w:t>B(OH)₃ + H₂O ↔ B(OH)₄⁻ + H⁺</w:t>
      </w:r>
    </w:p>
    <w:p w14:paraId="189AD415">
      <w:pPr>
        <w:pStyle w:val="12"/>
        <w:rPr>
          <w:sz w:val="21"/>
          <w:szCs w:val="21"/>
        </w:rPr>
      </w:pPr>
      <w:r>
        <w:rPr>
          <w:rFonts w:hint="default"/>
          <w:sz w:val="21"/>
          <w:szCs w:val="21"/>
        </w:rPr>
        <w:t>次要贡献，但在深海和低碳酸盐水体中作用增强。</w:t>
      </w:r>
    </w:p>
    <w:p w14:paraId="43A27B8F">
      <w:pPr>
        <w:pStyle w:val="12"/>
        <w:numPr>
          <w:ilvl w:val="0"/>
          <w:numId w:val="1"/>
        </w:numPr>
        <w:contextualSpacing w:val="0"/>
        <w:rPr>
          <w:sz w:val="24"/>
        </w:rPr>
      </w:pPr>
      <w:r>
        <w:rPr>
          <w:rFonts w:hint="eastAsia"/>
          <w:sz w:val="24"/>
        </w:rPr>
        <w:t>随着大气CO</w:t>
      </w:r>
      <w:r>
        <w:rPr>
          <w:rFonts w:hint="eastAsia"/>
          <w:sz w:val="24"/>
          <w:vertAlign w:val="subscript"/>
        </w:rPr>
        <w:t>2</w:t>
      </w:r>
      <w:r>
        <w:rPr>
          <w:rFonts w:hint="eastAsia"/>
          <w:sz w:val="24"/>
        </w:rPr>
        <w:t>浓度的升高，请分析表层海水的DIC，</w:t>
      </w:r>
      <w:r>
        <w:rPr>
          <w:sz w:val="24"/>
        </w:rPr>
        <w:t>HCO</w:t>
      </w:r>
      <w:r>
        <w:rPr>
          <w:sz w:val="24"/>
          <w:vertAlign w:val="subscript"/>
        </w:rPr>
        <w:t>3</w:t>
      </w:r>
      <w:r>
        <w:rPr>
          <w:sz w:val="24"/>
          <w:vertAlign w:val="superscript"/>
        </w:rPr>
        <w:t>-</w:t>
      </w:r>
      <w:r>
        <w:rPr>
          <w:rFonts w:hint="eastAsia"/>
          <w:sz w:val="24"/>
        </w:rPr>
        <w:t>，CO</w:t>
      </w:r>
      <w:r>
        <w:rPr>
          <w:rFonts w:hint="eastAsia"/>
          <w:sz w:val="24"/>
          <w:vertAlign w:val="subscript"/>
        </w:rPr>
        <w:t>3</w:t>
      </w:r>
      <w:r>
        <w:rPr>
          <w:rFonts w:hint="eastAsia"/>
          <w:sz w:val="24"/>
          <w:vertAlign w:val="superscript"/>
        </w:rPr>
        <w:t>2-</w:t>
      </w:r>
      <w:r>
        <w:rPr>
          <w:rFonts w:hint="eastAsia"/>
          <w:sz w:val="24"/>
        </w:rPr>
        <w:t>，pH，碱度将如何变化。</w:t>
      </w:r>
    </w:p>
    <w:p w14:paraId="5C373D60">
      <w:r>
        <w:rPr>
          <w:rFonts w:hint="default"/>
        </w:rPr>
        <w:t>随着大气 CO₂ 浓度升高，表层海水发生以下变化：</w:t>
      </w:r>
    </w:p>
    <w:p w14:paraId="39BF951C"/>
    <w:p w14:paraId="43C059B6">
      <w:r>
        <w:rPr>
          <w:rFonts w:hint="default"/>
        </w:rPr>
        <w:t>DIC（溶解无机碳）：</w:t>
      </w:r>
    </w:p>
    <w:p w14:paraId="4A82012E">
      <w:r>
        <w:rPr>
          <w:rFonts w:hint="default"/>
        </w:rPr>
        <w:t>增加（因 CO₂ 溶解生成 H₂CO₃）。</w:t>
      </w:r>
    </w:p>
    <w:p w14:paraId="2B197C67">
      <w:r>
        <w:rPr>
          <w:rFonts w:hint="default"/>
        </w:rPr>
        <w:t>HCO₃⁻：</w:t>
      </w:r>
    </w:p>
    <w:p w14:paraId="4315B659">
      <w:r>
        <w:rPr>
          <w:rFonts w:hint="default"/>
        </w:rPr>
        <w:t>增加（H₂CO₃ 解离为 HCO₃⁻+ H）。</w:t>
      </w:r>
    </w:p>
    <w:p w14:paraId="6F847959">
      <w:r>
        <w:rPr>
          <w:rFonts w:hint="default"/>
        </w:rPr>
        <w:t>CO₃²⁻：</w:t>
      </w:r>
    </w:p>
    <w:p w14:paraId="0D3EAC9E">
      <w:r>
        <w:rPr>
          <w:rFonts w:hint="default"/>
        </w:rPr>
        <w:t>减少（H⁺与 CO₃²⁻结合生成 HCO₃）。</w:t>
      </w:r>
    </w:p>
    <w:p w14:paraId="51753175">
      <w:r>
        <w:rPr>
          <w:rFonts w:hint="default"/>
        </w:rPr>
        <w:t>pH：</w:t>
      </w:r>
    </w:p>
    <w:p w14:paraId="2233A87A">
      <w:r>
        <w:rPr>
          <w:rFonts w:hint="default"/>
        </w:rPr>
        <w:t>下降（H⁺ 浓度升高，导致酸化）。</w:t>
      </w:r>
    </w:p>
    <w:p w14:paraId="7E7AE6CB">
      <w:r>
        <w:rPr>
          <w:rFonts w:hint="default"/>
        </w:rPr>
        <w:t>总碱度（TA）：</w:t>
      </w:r>
    </w:p>
    <w:p w14:paraId="1E734F55">
      <w:r>
        <w:rPr>
          <w:rFonts w:hint="default"/>
        </w:rPr>
        <w:t>基本不变（TA = [HCO₃] + 2[CO₃²] + ...，HCO₃⁻ 增加量与 CO₃²⁻ 减少量相互抵消）。</w:t>
      </w:r>
    </w:p>
    <w:p w14:paraId="1280414F">
      <w:pPr>
        <w:rPr>
          <w:rFonts w:hint="default"/>
        </w:rPr>
      </w:pPr>
      <w:r>
        <w:rPr>
          <w:rFonts w:hint="default"/>
        </w:rPr>
        <w:t>定量关系：</w:t>
      </w:r>
    </w:p>
    <w:p w14:paraId="12DA643E">
      <w:r>
        <w:rPr>
          <w:rFonts w:hint="default"/>
        </w:rPr>
        <w:t>CO₂ 每增加 100 ppm，pH 下降约 0.1 单位，CO₃²⁻ 减少约 30%。</w:t>
      </w:r>
    </w:p>
    <w:p w14:paraId="68B485D2">
      <w:r>
        <w:rPr>
          <w:rFonts w:hint="default"/>
        </w:rPr>
        <w:t>若钙化生物活动增强（如珊瑚礁），TA 可能因 CaCO₃ 沉淀而略微降低。</w:t>
      </w:r>
    </w:p>
    <w:p w14:paraId="09E94B07">
      <w:pPr>
        <w:rPr>
          <w:rFonts w:hint="default"/>
        </w:rPr>
      </w:pPr>
      <w:r>
        <w:rPr>
          <w:rFonts w:hint="default"/>
        </w:rPr>
        <w:t>总结：CO₂ 升高导致海水酸化（pH↓，CO₃²↓），但碱度保持稳定，DIC 和 HCO₃⁻ 显著增加，威胁钙化生物生存。</w:t>
      </w:r>
    </w:p>
    <w:p w14:paraId="3A902D95"/>
    <w:p w14:paraId="742A3FAA">
      <w:pPr>
        <w:pStyle w:val="12"/>
        <w:contextualSpacing w:val="0"/>
        <w:rPr>
          <w:sz w:val="24"/>
        </w:rPr>
      </w:pPr>
    </w:p>
    <w:p w14:paraId="6B511B44">
      <w:pPr>
        <w:pStyle w:val="12"/>
        <w:numPr>
          <w:ilvl w:val="0"/>
          <w:numId w:val="1"/>
        </w:numPr>
        <w:contextualSpacing w:val="0"/>
        <w:rPr>
          <w:sz w:val="24"/>
        </w:rPr>
      </w:pPr>
      <w:r>
        <w:rPr>
          <w:rFonts w:hint="eastAsia"/>
          <w:sz w:val="24"/>
        </w:rPr>
        <w:t>请分析下列生物对营养盐的吸收过程对海水TA的影响：.</w:t>
      </w:r>
    </w:p>
    <w:tbl>
      <w:tblPr>
        <w:tblStyle w:val="6"/>
        <w:tblW w:w="6841" w:type="dxa"/>
        <w:tblInd w:w="7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3"/>
        <w:gridCol w:w="4148"/>
      </w:tblGrid>
      <w:tr w14:paraId="6E521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218FF51E">
            <w:pPr>
              <w:rPr>
                <w:sz w:val="24"/>
              </w:rPr>
            </w:pPr>
            <w:r>
              <w:rPr>
                <w:rFonts w:hint="eastAsia"/>
                <w:sz w:val="24"/>
              </w:rPr>
              <w:t>吸收1</w:t>
            </w:r>
            <w:r>
              <w:rPr>
                <w:sz w:val="24"/>
              </w:rPr>
              <w:t xml:space="preserve"> mol NO</w:t>
            </w:r>
            <w:r>
              <w:rPr>
                <w:sz w:val="24"/>
                <w:vertAlign w:val="subscript"/>
              </w:rPr>
              <w:t>3</w:t>
            </w:r>
            <w:r>
              <w:rPr>
                <w:sz w:val="24"/>
                <w:vertAlign w:val="superscript"/>
              </w:rPr>
              <w:t>-</w:t>
            </w:r>
          </w:p>
        </w:tc>
        <w:tc>
          <w:tcPr>
            <w:tcW w:w="4148" w:type="dxa"/>
          </w:tcPr>
          <w:p w14:paraId="2ABB4BA7">
            <w:pPr>
              <w:rPr>
                <w:rFonts w:hint="default" w:eastAsiaTheme="minorEastAsia"/>
                <w:sz w:val="24"/>
                <w:lang w:val="en-US" w:eastAsia="zh-CN"/>
              </w:rPr>
            </w:pPr>
            <w:r>
              <w:rPr>
                <w:rFonts w:hint="eastAsia"/>
                <w:sz w:val="24"/>
                <w:lang w:val="en-US" w:eastAsia="zh-CN"/>
              </w:rPr>
              <w:t>+1</w:t>
            </w:r>
          </w:p>
        </w:tc>
      </w:tr>
      <w:tr w14:paraId="54685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5D7BC7D2">
            <w:pPr>
              <w:rPr>
                <w:sz w:val="24"/>
              </w:rPr>
            </w:pPr>
            <w:r>
              <w:rPr>
                <w:rFonts w:hint="eastAsia"/>
                <w:sz w:val="24"/>
              </w:rPr>
              <w:t>吸收1</w:t>
            </w:r>
            <w:r>
              <w:rPr>
                <w:sz w:val="24"/>
              </w:rPr>
              <w:t xml:space="preserve"> mol N</w:t>
            </w:r>
            <w:r>
              <w:rPr>
                <w:rFonts w:hint="eastAsia"/>
                <w:sz w:val="24"/>
              </w:rPr>
              <w:t>H</w:t>
            </w:r>
            <w:r>
              <w:rPr>
                <w:sz w:val="24"/>
                <w:vertAlign w:val="subscript"/>
              </w:rPr>
              <w:t>4</w:t>
            </w:r>
            <w:r>
              <w:rPr>
                <w:sz w:val="24"/>
                <w:vertAlign w:val="superscript"/>
              </w:rPr>
              <w:t>+</w:t>
            </w:r>
          </w:p>
        </w:tc>
        <w:tc>
          <w:tcPr>
            <w:tcW w:w="4148" w:type="dxa"/>
          </w:tcPr>
          <w:p w14:paraId="70ADBE3E">
            <w:pPr>
              <w:rPr>
                <w:rFonts w:hint="default" w:eastAsiaTheme="minorEastAsia"/>
                <w:sz w:val="24"/>
                <w:lang w:val="en-US" w:eastAsia="zh-CN"/>
              </w:rPr>
            </w:pPr>
            <w:r>
              <w:rPr>
                <w:rFonts w:hint="eastAsia"/>
                <w:sz w:val="24"/>
                <w:lang w:val="en-US" w:eastAsia="zh-CN"/>
              </w:rPr>
              <w:t>-1</w:t>
            </w:r>
          </w:p>
        </w:tc>
      </w:tr>
      <w:tr w14:paraId="369DB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41581C75">
            <w:pPr>
              <w:rPr>
                <w:sz w:val="24"/>
              </w:rPr>
            </w:pPr>
            <w:r>
              <w:rPr>
                <w:rFonts w:hint="eastAsia"/>
                <w:sz w:val="24"/>
              </w:rPr>
              <w:t>吸收1</w:t>
            </w:r>
            <w:r>
              <w:rPr>
                <w:sz w:val="24"/>
              </w:rPr>
              <w:t xml:space="preserve"> mol NH</w:t>
            </w:r>
            <w:r>
              <w:rPr>
                <w:sz w:val="24"/>
                <w:vertAlign w:val="subscript"/>
              </w:rPr>
              <w:t>3</w:t>
            </w:r>
          </w:p>
        </w:tc>
        <w:tc>
          <w:tcPr>
            <w:tcW w:w="4148" w:type="dxa"/>
          </w:tcPr>
          <w:p w14:paraId="6C488EDD">
            <w:pPr>
              <w:rPr>
                <w:rFonts w:hint="default" w:eastAsiaTheme="minorEastAsia"/>
                <w:sz w:val="24"/>
                <w:lang w:val="en-US" w:eastAsia="zh-CN"/>
              </w:rPr>
            </w:pPr>
            <w:r>
              <w:rPr>
                <w:rFonts w:hint="eastAsia"/>
                <w:sz w:val="24"/>
                <w:lang w:val="en-US" w:eastAsia="zh-CN"/>
              </w:rPr>
              <w:t>-1</w:t>
            </w:r>
          </w:p>
        </w:tc>
      </w:tr>
      <w:tr w14:paraId="0C823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5B782D47">
            <w:pPr>
              <w:rPr>
                <w:sz w:val="24"/>
              </w:rPr>
            </w:pPr>
            <w:r>
              <w:rPr>
                <w:rFonts w:hint="eastAsia"/>
                <w:sz w:val="24"/>
              </w:rPr>
              <w:t>吸收1</w:t>
            </w:r>
            <w:r>
              <w:rPr>
                <w:sz w:val="24"/>
              </w:rPr>
              <w:t xml:space="preserve"> mol H</w:t>
            </w:r>
            <w:r>
              <w:rPr>
                <w:sz w:val="24"/>
                <w:vertAlign w:val="subscript"/>
              </w:rPr>
              <w:t>3</w:t>
            </w:r>
            <w:r>
              <w:rPr>
                <w:sz w:val="24"/>
              </w:rPr>
              <w:t>PO</w:t>
            </w:r>
            <w:r>
              <w:rPr>
                <w:sz w:val="24"/>
                <w:vertAlign w:val="subscript"/>
              </w:rPr>
              <w:t>4</w:t>
            </w:r>
          </w:p>
        </w:tc>
        <w:tc>
          <w:tcPr>
            <w:tcW w:w="4148" w:type="dxa"/>
          </w:tcPr>
          <w:p w14:paraId="2C6DD49C">
            <w:pPr>
              <w:rPr>
                <w:rFonts w:hint="default" w:eastAsiaTheme="minorEastAsia"/>
                <w:sz w:val="24"/>
                <w:lang w:val="en-US" w:eastAsia="zh-CN"/>
              </w:rPr>
            </w:pPr>
            <w:r>
              <w:rPr>
                <w:rFonts w:hint="eastAsia"/>
                <w:sz w:val="24"/>
                <w:lang w:val="en-US" w:eastAsia="zh-CN"/>
              </w:rPr>
              <w:t>+1</w:t>
            </w:r>
          </w:p>
        </w:tc>
      </w:tr>
      <w:tr w14:paraId="39A50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7AF88105">
            <w:pPr>
              <w:rPr>
                <w:sz w:val="24"/>
              </w:rPr>
            </w:pPr>
            <w:r>
              <w:rPr>
                <w:rFonts w:hint="eastAsia"/>
                <w:sz w:val="24"/>
              </w:rPr>
              <w:t>吸收1</w:t>
            </w:r>
            <w:r>
              <w:rPr>
                <w:sz w:val="24"/>
              </w:rPr>
              <w:t xml:space="preserve"> mol H</w:t>
            </w:r>
            <w:r>
              <w:rPr>
                <w:sz w:val="24"/>
                <w:vertAlign w:val="subscript"/>
              </w:rPr>
              <w:t>2</w:t>
            </w:r>
            <w:r>
              <w:rPr>
                <w:sz w:val="24"/>
              </w:rPr>
              <w:t>PO</w:t>
            </w:r>
            <w:r>
              <w:rPr>
                <w:sz w:val="24"/>
                <w:vertAlign w:val="subscript"/>
              </w:rPr>
              <w:t>4</w:t>
            </w:r>
            <w:r>
              <w:rPr>
                <w:sz w:val="24"/>
                <w:vertAlign w:val="superscript"/>
              </w:rPr>
              <w:t>-</w:t>
            </w:r>
          </w:p>
        </w:tc>
        <w:tc>
          <w:tcPr>
            <w:tcW w:w="4148" w:type="dxa"/>
          </w:tcPr>
          <w:p w14:paraId="2A7A874B">
            <w:pPr>
              <w:rPr>
                <w:rFonts w:hint="default" w:eastAsiaTheme="minorEastAsia"/>
                <w:sz w:val="24"/>
                <w:lang w:val="en-US" w:eastAsia="zh-CN"/>
              </w:rPr>
            </w:pPr>
            <w:r>
              <w:rPr>
                <w:rFonts w:hint="eastAsia"/>
                <w:sz w:val="24"/>
                <w:lang w:val="en-US" w:eastAsia="zh-CN"/>
              </w:rPr>
              <w:t>+1</w:t>
            </w:r>
          </w:p>
        </w:tc>
      </w:tr>
      <w:tr w14:paraId="3FD3D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0A007262">
            <w:pPr>
              <w:rPr>
                <w:sz w:val="24"/>
              </w:rPr>
            </w:pPr>
            <w:r>
              <w:rPr>
                <w:rFonts w:hint="eastAsia"/>
                <w:sz w:val="24"/>
              </w:rPr>
              <w:t>吸收1</w:t>
            </w:r>
            <w:r>
              <w:rPr>
                <w:sz w:val="24"/>
              </w:rPr>
              <w:t xml:space="preserve"> mol PO</w:t>
            </w:r>
            <w:r>
              <w:rPr>
                <w:sz w:val="24"/>
                <w:vertAlign w:val="subscript"/>
              </w:rPr>
              <w:t>4</w:t>
            </w:r>
            <w:r>
              <w:rPr>
                <w:sz w:val="24"/>
                <w:vertAlign w:val="superscript"/>
              </w:rPr>
              <w:t>3-</w:t>
            </w:r>
          </w:p>
        </w:tc>
        <w:tc>
          <w:tcPr>
            <w:tcW w:w="4148" w:type="dxa"/>
          </w:tcPr>
          <w:p w14:paraId="4E30C3C9">
            <w:pPr>
              <w:rPr>
                <w:rFonts w:hint="default" w:eastAsiaTheme="minorEastAsia"/>
                <w:sz w:val="24"/>
                <w:lang w:val="en-US" w:eastAsia="zh-CN"/>
              </w:rPr>
            </w:pPr>
            <w:r>
              <w:rPr>
                <w:rFonts w:hint="eastAsia"/>
                <w:sz w:val="24"/>
                <w:lang w:val="en-US" w:eastAsia="zh-CN"/>
              </w:rPr>
              <w:t>+1</w:t>
            </w:r>
          </w:p>
        </w:tc>
      </w:tr>
    </w:tbl>
    <w:p w14:paraId="534D5907">
      <w:pPr>
        <w:rPr>
          <w:rFonts w:hint="eastAsia"/>
          <w:sz w:val="24"/>
        </w:rPr>
      </w:pPr>
    </w:p>
    <w:p w14:paraId="6AA47AC9">
      <w:pPr>
        <w:pStyle w:val="12"/>
        <w:numPr>
          <w:ilvl w:val="0"/>
          <w:numId w:val="1"/>
        </w:numPr>
        <w:contextualSpacing w:val="0"/>
        <w:rPr>
          <w:bCs/>
          <w:sz w:val="24"/>
          <w:szCs w:val="24"/>
        </w:rPr>
      </w:pPr>
      <w:r>
        <w:rPr>
          <w:rFonts w:hint="eastAsia"/>
          <w:bCs/>
          <w:sz w:val="24"/>
          <w:szCs w:val="24"/>
        </w:rPr>
        <w:t>已知某海水的温度为2</w:t>
      </w:r>
      <w:r>
        <w:rPr>
          <w:bCs/>
          <w:sz w:val="24"/>
          <w:szCs w:val="24"/>
        </w:rPr>
        <w:t>5</w:t>
      </w:r>
      <w:r>
        <w:rPr>
          <w:rFonts w:hint="eastAsia"/>
          <w:bCs/>
          <w:sz w:val="24"/>
          <w:szCs w:val="24"/>
        </w:rPr>
        <w:t>度，二氧化碳分压为4</w:t>
      </w:r>
      <w:r>
        <w:rPr>
          <w:bCs/>
          <w:sz w:val="24"/>
          <w:szCs w:val="24"/>
        </w:rPr>
        <w:t xml:space="preserve">00 </w:t>
      </w:r>
      <w:r>
        <w:rPr>
          <w:rFonts w:ascii="Symbol" w:hAnsi="Symbol"/>
          <w:bCs/>
          <w:sz w:val="24"/>
          <w:szCs w:val="24"/>
        </w:rPr>
        <w:t></w:t>
      </w:r>
      <w:r>
        <w:rPr>
          <w:bCs/>
          <w:sz w:val="24"/>
          <w:szCs w:val="24"/>
        </w:rPr>
        <w:t>atm</w:t>
      </w:r>
      <w:r>
        <w:rPr>
          <w:rFonts w:hint="eastAsia"/>
          <w:bCs/>
          <w:sz w:val="24"/>
          <w:szCs w:val="24"/>
        </w:rPr>
        <w:t>，如果该海水升温到3</w:t>
      </w:r>
      <w:r>
        <w:rPr>
          <w:bCs/>
          <w:sz w:val="24"/>
          <w:szCs w:val="24"/>
        </w:rPr>
        <w:t>0</w:t>
      </w:r>
      <w:r>
        <w:rPr>
          <w:rFonts w:hint="eastAsia"/>
          <w:bCs/>
          <w:sz w:val="24"/>
          <w:szCs w:val="24"/>
        </w:rPr>
        <w:t>度，其二氧化碳分压将变化到多少？</w:t>
      </w:r>
    </w:p>
    <w:p w14:paraId="20718B94">
      <w:pPr>
        <w:pStyle w:val="12"/>
        <w:numPr>
          <w:ilvl w:val="0"/>
          <w:numId w:val="0"/>
        </w:numPr>
        <w:ind w:left="360" w:leftChars="0" w:firstLine="416" w:firstLineChars="0"/>
        <w:contextualSpacing w:val="0"/>
        <w:rPr>
          <w:rFonts w:hint="default" w:eastAsiaTheme="minorEastAsia"/>
          <w:bCs/>
          <w:sz w:val="24"/>
          <w:szCs w:val="24"/>
          <w:lang w:val="en-US" w:eastAsia="zh-CN"/>
        </w:rPr>
      </w:pPr>
      <w:r>
        <w:rPr>
          <w:rFonts w:hint="eastAsia"/>
          <w:bCs/>
          <w:sz w:val="24"/>
          <w:szCs w:val="24"/>
          <w:lang w:val="en-US" w:eastAsia="zh-CN"/>
        </w:rPr>
        <w:t>由亨利定律与Weiss方程最终计算得约为480</w:t>
      </w:r>
    </w:p>
    <w:p w14:paraId="26761FCE">
      <w:pPr>
        <w:pStyle w:val="12"/>
        <w:contextualSpacing w:val="0"/>
        <w:rPr>
          <w:rFonts w:hint="eastAsia"/>
          <w:bCs/>
          <w:sz w:val="24"/>
          <w:szCs w:val="24"/>
        </w:rPr>
      </w:pPr>
    </w:p>
    <w:p w14:paraId="59289E40">
      <w:pPr>
        <w:pStyle w:val="12"/>
        <w:numPr>
          <w:ilvl w:val="0"/>
          <w:numId w:val="1"/>
        </w:numPr>
        <w:contextualSpacing w:val="0"/>
        <w:rPr>
          <w:bCs/>
          <w:sz w:val="24"/>
          <w:szCs w:val="24"/>
        </w:rPr>
      </w:pPr>
      <w:r>
        <w:rPr>
          <w:rFonts w:hint="eastAsia"/>
          <w:bCs/>
          <w:sz w:val="24"/>
          <w:szCs w:val="24"/>
        </w:rPr>
        <w:t>请将下列开阔大洋的海水观测的TA进行盐度归一化。</w:t>
      </w:r>
    </w:p>
    <w:tbl>
      <w:tblPr>
        <w:tblStyle w:val="6"/>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5"/>
        <w:gridCol w:w="1985"/>
        <w:gridCol w:w="2977"/>
      </w:tblGrid>
      <w:tr w14:paraId="0BB55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5" w:type="dxa"/>
          </w:tcPr>
          <w:p w14:paraId="42334C23">
            <w:pPr>
              <w:pStyle w:val="12"/>
              <w:ind w:left="0"/>
              <w:rPr>
                <w:rFonts w:hint="eastAsia"/>
                <w:bCs/>
                <w:sz w:val="24"/>
                <w:szCs w:val="24"/>
              </w:rPr>
            </w:pPr>
            <w:r>
              <w:rPr>
                <w:rFonts w:hint="eastAsia"/>
                <w:bCs/>
                <w:sz w:val="24"/>
                <w:szCs w:val="24"/>
              </w:rPr>
              <w:t>S</w:t>
            </w:r>
            <w:r>
              <w:rPr>
                <w:bCs/>
                <w:sz w:val="24"/>
                <w:szCs w:val="24"/>
              </w:rPr>
              <w:t>alinity</w:t>
            </w:r>
          </w:p>
        </w:tc>
        <w:tc>
          <w:tcPr>
            <w:tcW w:w="1985" w:type="dxa"/>
          </w:tcPr>
          <w:p w14:paraId="44FCACFC">
            <w:pPr>
              <w:pStyle w:val="12"/>
              <w:ind w:left="0"/>
              <w:rPr>
                <w:rFonts w:hint="eastAsia"/>
                <w:bCs/>
                <w:sz w:val="24"/>
                <w:szCs w:val="24"/>
              </w:rPr>
            </w:pPr>
            <w:r>
              <w:rPr>
                <w:rFonts w:hint="eastAsia"/>
                <w:bCs/>
                <w:sz w:val="24"/>
                <w:szCs w:val="24"/>
              </w:rPr>
              <w:t>T</w:t>
            </w:r>
            <w:r>
              <w:rPr>
                <w:bCs/>
                <w:sz w:val="24"/>
                <w:szCs w:val="24"/>
              </w:rPr>
              <w:t xml:space="preserve">A </w:t>
            </w:r>
            <w:r>
              <w:rPr>
                <w:rFonts w:ascii="Symbol" w:hAnsi="Symbol"/>
                <w:bCs/>
                <w:sz w:val="24"/>
                <w:szCs w:val="24"/>
              </w:rPr>
              <w:t></w:t>
            </w:r>
          </w:p>
        </w:tc>
        <w:tc>
          <w:tcPr>
            <w:tcW w:w="2977" w:type="dxa"/>
          </w:tcPr>
          <w:p w14:paraId="2C852A52">
            <w:pPr>
              <w:pStyle w:val="12"/>
              <w:ind w:left="0"/>
              <w:rPr>
                <w:rFonts w:hint="eastAsia"/>
                <w:bCs/>
                <w:sz w:val="24"/>
                <w:szCs w:val="24"/>
              </w:rPr>
            </w:pPr>
            <w:r>
              <w:rPr>
                <w:rFonts w:hint="eastAsia"/>
                <w:bCs/>
                <w:sz w:val="24"/>
                <w:szCs w:val="24"/>
              </w:rPr>
              <w:t>nTA</w:t>
            </w:r>
            <w:r>
              <w:rPr>
                <w:bCs/>
                <w:sz w:val="24"/>
                <w:szCs w:val="24"/>
              </w:rPr>
              <w:t>(</w:t>
            </w:r>
            <w:r>
              <w:rPr>
                <w:rFonts w:ascii="Symbol" w:hAnsi="Symbol"/>
                <w:bCs/>
                <w:sz w:val="24"/>
                <w:szCs w:val="24"/>
              </w:rPr>
              <w:t></w:t>
            </w:r>
            <w:r>
              <w:rPr>
                <w:rFonts w:hint="eastAsia" w:ascii="Symbol" w:hAnsi="Symbol"/>
                <w:bCs/>
                <w:sz w:val="24"/>
                <w:szCs w:val="24"/>
              </w:rPr>
              <w:t>，</w:t>
            </w:r>
            <w:r>
              <w:rPr>
                <w:bCs/>
                <w:sz w:val="24"/>
                <w:szCs w:val="24"/>
              </w:rPr>
              <w:t xml:space="preserve">at </w:t>
            </w:r>
            <w:r>
              <w:rPr>
                <w:rFonts w:hint="eastAsia"/>
                <w:bCs/>
                <w:sz w:val="24"/>
                <w:szCs w:val="24"/>
              </w:rPr>
              <w:t>salinity</w:t>
            </w:r>
            <w:r>
              <w:rPr>
                <w:bCs/>
                <w:sz w:val="24"/>
                <w:szCs w:val="24"/>
              </w:rPr>
              <w:t xml:space="preserve"> =35)</w:t>
            </w:r>
          </w:p>
        </w:tc>
      </w:tr>
      <w:tr w14:paraId="21CA3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5" w:type="dxa"/>
          </w:tcPr>
          <w:p w14:paraId="481A0DE5">
            <w:pPr>
              <w:pStyle w:val="12"/>
              <w:ind w:left="0"/>
              <w:rPr>
                <w:rFonts w:hint="eastAsia"/>
                <w:bCs/>
                <w:sz w:val="24"/>
                <w:szCs w:val="24"/>
              </w:rPr>
            </w:pPr>
            <w:r>
              <w:rPr>
                <w:bCs/>
                <w:sz w:val="24"/>
                <w:szCs w:val="24"/>
              </w:rPr>
              <w:t>15</w:t>
            </w:r>
          </w:p>
        </w:tc>
        <w:tc>
          <w:tcPr>
            <w:tcW w:w="1985" w:type="dxa"/>
          </w:tcPr>
          <w:p w14:paraId="2A93E05C">
            <w:pPr>
              <w:pStyle w:val="12"/>
              <w:ind w:left="0"/>
              <w:rPr>
                <w:rFonts w:hint="eastAsia"/>
                <w:bCs/>
                <w:sz w:val="24"/>
                <w:szCs w:val="24"/>
              </w:rPr>
            </w:pPr>
            <w:r>
              <w:rPr>
                <w:rFonts w:hint="eastAsia"/>
                <w:bCs/>
                <w:sz w:val="24"/>
                <w:szCs w:val="24"/>
              </w:rPr>
              <w:t>1</w:t>
            </w:r>
            <w:r>
              <w:rPr>
                <w:bCs/>
                <w:sz w:val="24"/>
                <w:szCs w:val="24"/>
              </w:rPr>
              <w:t>000</w:t>
            </w:r>
          </w:p>
        </w:tc>
        <w:tc>
          <w:tcPr>
            <w:tcW w:w="2977" w:type="dxa"/>
          </w:tcPr>
          <w:p w14:paraId="0612FEEB">
            <w:pPr>
              <w:pStyle w:val="12"/>
              <w:ind w:left="0"/>
              <w:rPr>
                <w:rFonts w:hint="eastAsia"/>
                <w:bCs/>
                <w:sz w:val="24"/>
                <w:szCs w:val="24"/>
              </w:rPr>
            </w:pPr>
            <w:r>
              <w:rPr>
                <w:rFonts w:hint="eastAsia"/>
                <w:bCs/>
                <w:sz w:val="24"/>
                <w:szCs w:val="24"/>
              </w:rPr>
              <w:t>2333.33</w:t>
            </w:r>
          </w:p>
        </w:tc>
      </w:tr>
      <w:tr w14:paraId="46BA0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5" w:type="dxa"/>
          </w:tcPr>
          <w:p w14:paraId="663395D2">
            <w:pPr>
              <w:pStyle w:val="12"/>
              <w:ind w:left="0"/>
              <w:rPr>
                <w:rFonts w:hint="eastAsia"/>
                <w:bCs/>
                <w:sz w:val="24"/>
                <w:szCs w:val="24"/>
              </w:rPr>
            </w:pPr>
            <w:r>
              <w:rPr>
                <w:rFonts w:hint="eastAsia"/>
                <w:bCs/>
                <w:sz w:val="24"/>
                <w:szCs w:val="24"/>
              </w:rPr>
              <w:t>3</w:t>
            </w:r>
            <w:r>
              <w:rPr>
                <w:bCs/>
                <w:sz w:val="24"/>
                <w:szCs w:val="24"/>
              </w:rPr>
              <w:t>2</w:t>
            </w:r>
          </w:p>
        </w:tc>
        <w:tc>
          <w:tcPr>
            <w:tcW w:w="1985" w:type="dxa"/>
          </w:tcPr>
          <w:p w14:paraId="64077825">
            <w:pPr>
              <w:pStyle w:val="12"/>
              <w:ind w:left="0"/>
              <w:rPr>
                <w:rFonts w:hint="eastAsia"/>
                <w:bCs/>
                <w:sz w:val="24"/>
                <w:szCs w:val="24"/>
              </w:rPr>
            </w:pPr>
            <w:r>
              <w:rPr>
                <w:rFonts w:hint="eastAsia"/>
                <w:bCs/>
                <w:sz w:val="24"/>
                <w:szCs w:val="24"/>
              </w:rPr>
              <w:t>2</w:t>
            </w:r>
            <w:r>
              <w:rPr>
                <w:bCs/>
                <w:sz w:val="24"/>
                <w:szCs w:val="24"/>
              </w:rPr>
              <w:t>100</w:t>
            </w:r>
          </w:p>
        </w:tc>
        <w:tc>
          <w:tcPr>
            <w:tcW w:w="2977" w:type="dxa"/>
          </w:tcPr>
          <w:p w14:paraId="0D992200">
            <w:pPr>
              <w:pStyle w:val="12"/>
              <w:ind w:left="0"/>
              <w:rPr>
                <w:rFonts w:hint="default" w:eastAsiaTheme="minorEastAsia"/>
                <w:bCs/>
                <w:sz w:val="24"/>
                <w:szCs w:val="24"/>
                <w:lang w:val="en-US" w:eastAsia="zh-CN"/>
              </w:rPr>
            </w:pPr>
            <w:r>
              <w:rPr>
                <w:rFonts w:hint="eastAsia"/>
                <w:bCs/>
                <w:sz w:val="24"/>
                <w:szCs w:val="24"/>
                <w:lang w:val="en-US" w:eastAsia="zh-CN"/>
              </w:rPr>
              <w:t xml:space="preserve">2296.88 </w:t>
            </w:r>
            <w:bookmarkStart w:id="0" w:name="_GoBack"/>
            <w:bookmarkEnd w:id="0"/>
          </w:p>
        </w:tc>
      </w:tr>
      <w:tr w14:paraId="24CB9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5" w:type="dxa"/>
          </w:tcPr>
          <w:p w14:paraId="4AE04A8F">
            <w:pPr>
              <w:pStyle w:val="12"/>
              <w:ind w:left="0"/>
              <w:rPr>
                <w:rFonts w:hint="eastAsia"/>
                <w:bCs/>
                <w:sz w:val="24"/>
                <w:szCs w:val="24"/>
              </w:rPr>
            </w:pPr>
            <w:r>
              <w:rPr>
                <w:rFonts w:hint="eastAsia"/>
                <w:bCs/>
                <w:sz w:val="24"/>
                <w:szCs w:val="24"/>
              </w:rPr>
              <w:t>3</w:t>
            </w:r>
            <w:r>
              <w:rPr>
                <w:bCs/>
                <w:sz w:val="24"/>
                <w:szCs w:val="24"/>
              </w:rPr>
              <w:t>5</w:t>
            </w:r>
          </w:p>
        </w:tc>
        <w:tc>
          <w:tcPr>
            <w:tcW w:w="1985" w:type="dxa"/>
          </w:tcPr>
          <w:p w14:paraId="199922BF">
            <w:pPr>
              <w:pStyle w:val="12"/>
              <w:ind w:left="0"/>
              <w:rPr>
                <w:rFonts w:hint="eastAsia"/>
                <w:bCs/>
                <w:sz w:val="24"/>
                <w:szCs w:val="24"/>
              </w:rPr>
            </w:pPr>
            <w:r>
              <w:rPr>
                <w:rFonts w:hint="eastAsia"/>
                <w:bCs/>
                <w:sz w:val="24"/>
                <w:szCs w:val="24"/>
              </w:rPr>
              <w:t>2</w:t>
            </w:r>
            <w:r>
              <w:rPr>
                <w:bCs/>
                <w:sz w:val="24"/>
                <w:szCs w:val="24"/>
              </w:rPr>
              <w:t>310</w:t>
            </w:r>
          </w:p>
        </w:tc>
        <w:tc>
          <w:tcPr>
            <w:tcW w:w="2977" w:type="dxa"/>
          </w:tcPr>
          <w:p w14:paraId="22D6C837">
            <w:pPr>
              <w:pStyle w:val="12"/>
              <w:ind w:left="0"/>
              <w:rPr>
                <w:rFonts w:hint="default" w:eastAsiaTheme="minorEastAsia"/>
                <w:bCs/>
                <w:sz w:val="24"/>
                <w:szCs w:val="24"/>
                <w:lang w:val="en-US" w:eastAsia="zh-CN"/>
              </w:rPr>
            </w:pPr>
            <w:r>
              <w:rPr>
                <w:rFonts w:hint="eastAsia"/>
                <w:bCs/>
                <w:sz w:val="24"/>
                <w:szCs w:val="24"/>
                <w:lang w:val="en-US" w:eastAsia="zh-CN"/>
              </w:rPr>
              <w:t>2310</w:t>
            </w:r>
          </w:p>
        </w:tc>
      </w:tr>
    </w:tbl>
    <w:p w14:paraId="28720C31">
      <w:pPr>
        <w:rPr>
          <w:rFonts w:hint="eastAsia"/>
          <w:bCs/>
          <w:sz w:val="24"/>
          <w:szCs w:val="24"/>
        </w:rPr>
      </w:pPr>
    </w:p>
    <w:p w14:paraId="5D9334EB">
      <w:pPr>
        <w:pStyle w:val="12"/>
        <w:numPr>
          <w:ilvl w:val="0"/>
          <w:numId w:val="1"/>
        </w:numPr>
        <w:contextualSpacing w:val="0"/>
        <w:rPr>
          <w:bCs/>
          <w:sz w:val="24"/>
          <w:szCs w:val="24"/>
        </w:rPr>
      </w:pPr>
      <w:r>
        <w:rPr>
          <w:rFonts w:hint="eastAsia"/>
          <w:bCs/>
          <w:sz w:val="24"/>
          <w:szCs w:val="24"/>
        </w:rPr>
        <w:t>已知某</w:t>
      </w:r>
      <w:r>
        <w:rPr>
          <w:rFonts w:hint="eastAsia"/>
          <w:sz w:val="24"/>
        </w:rPr>
        <w:t>高纬度</w:t>
      </w:r>
      <w:r>
        <w:rPr>
          <w:rFonts w:hint="eastAsia"/>
          <w:bCs/>
          <w:sz w:val="24"/>
          <w:szCs w:val="24"/>
        </w:rPr>
        <w:t>海区表层水体在初始时刻和大气平衡，溶解无机碳（DIC）浓度为 2000</w:t>
      </w:r>
      <w:r>
        <w:rPr>
          <w:bCs/>
          <w:sz w:val="24"/>
          <w:szCs w:val="24"/>
        </w:rPr>
        <w:t xml:space="preserve"> </w:t>
      </w:r>
      <w:r>
        <w:rPr>
          <w:rFonts w:ascii="Symbol" w:hAnsi="Symbol"/>
          <w:sz w:val="24"/>
          <w:szCs w:val="24"/>
        </w:rPr>
        <w:t></w:t>
      </w:r>
      <w:r>
        <w:rPr>
          <w:sz w:val="24"/>
          <w:szCs w:val="24"/>
        </w:rPr>
        <w:t>mol</w:t>
      </w:r>
      <w:r>
        <w:rPr>
          <w:rFonts w:hint="eastAsia"/>
          <w:sz w:val="24"/>
          <w:szCs w:val="24"/>
        </w:rPr>
        <w:t>/kg，碱度（TA）为</w:t>
      </w:r>
      <w:r>
        <w:rPr>
          <w:rFonts w:hint="eastAsia"/>
          <w:bCs/>
          <w:sz w:val="24"/>
          <w:szCs w:val="24"/>
        </w:rPr>
        <w:t>2200</w:t>
      </w:r>
      <w:r>
        <w:rPr>
          <w:bCs/>
          <w:sz w:val="24"/>
          <w:szCs w:val="24"/>
        </w:rPr>
        <w:t xml:space="preserve"> </w:t>
      </w:r>
      <w:r>
        <w:rPr>
          <w:rFonts w:ascii="Symbol" w:hAnsi="Symbol"/>
          <w:sz w:val="24"/>
          <w:szCs w:val="24"/>
        </w:rPr>
        <w:t></w:t>
      </w:r>
      <w:r>
        <w:rPr>
          <w:sz w:val="24"/>
          <w:szCs w:val="24"/>
        </w:rPr>
        <w:t>mol</w:t>
      </w:r>
      <w:r>
        <w:rPr>
          <w:rFonts w:hint="eastAsia"/>
          <w:sz w:val="24"/>
          <w:szCs w:val="24"/>
        </w:rPr>
        <w:t>/kg，溶氧（DO）溶解度为2</w:t>
      </w:r>
      <w:r>
        <w:rPr>
          <w:sz w:val="24"/>
          <w:szCs w:val="24"/>
        </w:rPr>
        <w:t xml:space="preserve">00 </w:t>
      </w:r>
      <w:r>
        <w:rPr>
          <w:rFonts w:ascii="Symbol" w:hAnsi="Symbol"/>
          <w:sz w:val="24"/>
          <w:szCs w:val="24"/>
        </w:rPr>
        <w:t></w:t>
      </w:r>
      <w:r>
        <w:rPr>
          <w:sz w:val="24"/>
          <w:szCs w:val="24"/>
        </w:rPr>
        <w:t>mol</w:t>
      </w:r>
      <w:r>
        <w:rPr>
          <w:rFonts w:hint="eastAsia"/>
          <w:sz w:val="24"/>
          <w:szCs w:val="24"/>
        </w:rPr>
        <w:t>/kg；该水体随后进入海洋内部，下沉后</w:t>
      </w:r>
      <w:r>
        <w:rPr>
          <w:rFonts w:hint="eastAsia"/>
          <w:bCs/>
          <w:sz w:val="24"/>
          <w:szCs w:val="24"/>
        </w:rPr>
        <w:t>测定所得水体的表观耗氧量为</w:t>
      </w:r>
      <w:r>
        <w:rPr>
          <w:bCs/>
          <w:sz w:val="24"/>
          <w:szCs w:val="24"/>
        </w:rPr>
        <w:t>16</w:t>
      </w:r>
      <w:r>
        <w:rPr>
          <w:rFonts w:hint="eastAsia"/>
          <w:bCs/>
          <w:sz w:val="24"/>
          <w:szCs w:val="24"/>
        </w:rPr>
        <w:t>0</w:t>
      </w:r>
      <w:r>
        <w:rPr>
          <w:bCs/>
          <w:sz w:val="24"/>
          <w:szCs w:val="24"/>
        </w:rPr>
        <w:t xml:space="preserve"> </w:t>
      </w:r>
      <w:r>
        <w:rPr>
          <w:rFonts w:ascii="Symbol" w:hAnsi="Symbol"/>
          <w:sz w:val="24"/>
          <w:szCs w:val="24"/>
        </w:rPr>
        <w:t></w:t>
      </w:r>
      <w:r>
        <w:rPr>
          <w:sz w:val="24"/>
          <w:szCs w:val="24"/>
        </w:rPr>
        <w:t>mol</w:t>
      </w:r>
      <w:r>
        <w:rPr>
          <w:rFonts w:hint="eastAsia"/>
          <w:sz w:val="24"/>
          <w:szCs w:val="24"/>
        </w:rPr>
        <w:t>/kg，TA浓度为2</w:t>
      </w:r>
      <w:r>
        <w:rPr>
          <w:sz w:val="24"/>
          <w:szCs w:val="24"/>
        </w:rPr>
        <w:t>30</w:t>
      </w:r>
      <w:r>
        <w:rPr>
          <w:rFonts w:hint="eastAsia"/>
          <w:sz w:val="24"/>
          <w:szCs w:val="24"/>
        </w:rPr>
        <w:t>0</w:t>
      </w:r>
      <w:r>
        <w:rPr>
          <w:sz w:val="24"/>
          <w:szCs w:val="24"/>
        </w:rPr>
        <w:t xml:space="preserve"> </w:t>
      </w:r>
      <w:r>
        <w:rPr>
          <w:rFonts w:ascii="Symbol" w:hAnsi="Symbol"/>
          <w:sz w:val="24"/>
          <w:szCs w:val="24"/>
        </w:rPr>
        <w:t></w:t>
      </w:r>
      <w:r>
        <w:rPr>
          <w:sz w:val="24"/>
          <w:szCs w:val="24"/>
        </w:rPr>
        <w:t>mol</w:t>
      </w:r>
      <w:r>
        <w:rPr>
          <w:rFonts w:hint="eastAsia"/>
          <w:sz w:val="24"/>
          <w:szCs w:val="24"/>
        </w:rPr>
        <w:t>/kg，请计算该时刻DO和DIC的浓度，说明该</w:t>
      </w:r>
      <w:r>
        <w:rPr>
          <w:rFonts w:hint="eastAsia"/>
          <w:bCs/>
          <w:sz w:val="24"/>
          <w:szCs w:val="24"/>
        </w:rPr>
        <w:t>过程中水体中的有机碳和碳酸钙是净产生还是净分解。</w:t>
      </w:r>
    </w:p>
    <w:p w14:paraId="736202D8">
      <w:pPr>
        <w:pStyle w:val="12"/>
        <w:contextualSpacing w:val="0"/>
        <w:rPr>
          <w:bCs/>
          <w:sz w:val="24"/>
          <w:szCs w:val="24"/>
        </w:rPr>
      </w:pPr>
      <w:r>
        <w:rPr>
          <w:rFonts w:hint="eastAsia"/>
          <w:bCs/>
          <w:sz w:val="24"/>
          <w:szCs w:val="24"/>
        </w:rPr>
        <w:t>备注：设在下沉过程中水体的生物化学参数主要受控于有机碳和碳酸钙的产生/分解，且有机碳的产生/分解过程服从经典的Redfield公式，计算结果取小数点后两位</w:t>
      </w:r>
      <w:r>
        <w:rPr>
          <w:rFonts w:hint="eastAsia"/>
          <w:sz w:val="24"/>
          <w:szCs w:val="24"/>
        </w:rPr>
        <w:t>。</w:t>
      </w:r>
    </w:p>
    <w:p w14:paraId="61C7B0C3">
      <w:r>
        <w:drawing>
          <wp:inline distT="0" distB="0" distL="114300" distR="114300">
            <wp:extent cx="5270500" cy="4087495"/>
            <wp:effectExtent l="0" t="0" r="2540" b="1206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
                    <a:stretch>
                      <a:fillRect/>
                    </a:stretch>
                  </pic:blipFill>
                  <pic:spPr>
                    <a:xfrm>
                      <a:off x="0" y="0"/>
                      <a:ext cx="5270500" cy="4087495"/>
                    </a:xfrm>
                    <a:prstGeom prst="rect">
                      <a:avLst/>
                    </a:prstGeom>
                    <a:noFill/>
                    <a:ln>
                      <a:noFill/>
                    </a:ln>
                  </pic:spPr>
                </pic:pic>
              </a:graphicData>
            </a:graphic>
          </wp:inline>
        </w:drawing>
      </w:r>
    </w:p>
    <w:p w14:paraId="3E16C251">
      <w:r>
        <w:drawing>
          <wp:anchor distT="0" distB="0" distL="114300" distR="114300" simplePos="0" relativeHeight="251659264" behindDoc="0" locked="0" layoutInCell="1" allowOverlap="1">
            <wp:simplePos x="0" y="0"/>
            <wp:positionH relativeFrom="column">
              <wp:posOffset>1557655</wp:posOffset>
            </wp:positionH>
            <wp:positionV relativeFrom="paragraph">
              <wp:posOffset>838835</wp:posOffset>
            </wp:positionV>
            <wp:extent cx="1790700" cy="914400"/>
            <wp:effectExtent l="0" t="0" r="7620" b="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6"/>
                    <a:stretch>
                      <a:fillRect/>
                    </a:stretch>
                  </pic:blipFill>
                  <pic:spPr>
                    <a:xfrm>
                      <a:off x="0" y="0"/>
                      <a:ext cx="1790700" cy="914400"/>
                    </a:xfrm>
                    <a:prstGeom prst="rect">
                      <a:avLst/>
                    </a:prstGeom>
                    <a:noFill/>
                    <a:ln>
                      <a:noFill/>
                    </a:ln>
                  </pic:spPr>
                </pic:pic>
              </a:graphicData>
            </a:graphic>
          </wp:anchor>
        </w:drawing>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72D22">
    <w:pPr>
      <w:pStyle w:val="3"/>
    </w:pPr>
    <w:r>
      <w:rPr>
        <w:rFonts w:hint="eastAsia"/>
      </w:rPr>
      <w:t xml:space="preserve">姓名： </w:t>
    </w:r>
    <w:r>
      <w:t xml:space="preserve">                       </w:t>
    </w:r>
    <w:r>
      <w:rPr>
        <w:rFonts w:hint="eastAsia"/>
      </w:rPr>
      <w:t xml:space="preserve">学号： </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9661D30"/>
    <w:multiLevelType w:val="multilevel"/>
    <w:tmpl w:val="79661D3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IyODdmZjY0Zjg0ZWQ3ZmVhZDA3NDFkNTYwZGEwNjYifQ=="/>
  </w:docVars>
  <w:rsids>
    <w:rsidRoot w:val="00F811B5"/>
    <w:rsid w:val="00023A57"/>
    <w:rsid w:val="00075BC1"/>
    <w:rsid w:val="000A5E95"/>
    <w:rsid w:val="000E2F9A"/>
    <w:rsid w:val="001D21C7"/>
    <w:rsid w:val="001F5B9A"/>
    <w:rsid w:val="00223248"/>
    <w:rsid w:val="00303BAF"/>
    <w:rsid w:val="00371D70"/>
    <w:rsid w:val="0039388A"/>
    <w:rsid w:val="003B7D6F"/>
    <w:rsid w:val="00455A85"/>
    <w:rsid w:val="004938C3"/>
    <w:rsid w:val="00502319"/>
    <w:rsid w:val="005572AF"/>
    <w:rsid w:val="005577C7"/>
    <w:rsid w:val="005C678B"/>
    <w:rsid w:val="006376D3"/>
    <w:rsid w:val="00676C22"/>
    <w:rsid w:val="006A7138"/>
    <w:rsid w:val="006D5603"/>
    <w:rsid w:val="007A45DC"/>
    <w:rsid w:val="00830E52"/>
    <w:rsid w:val="00832672"/>
    <w:rsid w:val="0088507F"/>
    <w:rsid w:val="008E34EA"/>
    <w:rsid w:val="009C234C"/>
    <w:rsid w:val="009E4812"/>
    <w:rsid w:val="00AD6012"/>
    <w:rsid w:val="00B31B53"/>
    <w:rsid w:val="00B526DE"/>
    <w:rsid w:val="00B63B9C"/>
    <w:rsid w:val="00B82659"/>
    <w:rsid w:val="00BB4460"/>
    <w:rsid w:val="00BD4DFF"/>
    <w:rsid w:val="00BF6761"/>
    <w:rsid w:val="00C63962"/>
    <w:rsid w:val="00CA7212"/>
    <w:rsid w:val="00CF4291"/>
    <w:rsid w:val="00E036AD"/>
    <w:rsid w:val="00E207F1"/>
    <w:rsid w:val="00E72C4C"/>
    <w:rsid w:val="00EA2D08"/>
    <w:rsid w:val="00EB2782"/>
    <w:rsid w:val="00F54681"/>
    <w:rsid w:val="00F811B5"/>
    <w:rsid w:val="00FA3A26"/>
    <w:rsid w:val="00FE3377"/>
    <w:rsid w:val="09D576B7"/>
    <w:rsid w:val="2D740A51"/>
    <w:rsid w:val="3580751D"/>
    <w:rsid w:val="39CB46C6"/>
    <w:rsid w:val="3FF8325B"/>
    <w:rsid w:val="5B8351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1"/>
    <w:unhideWhenUsed/>
    <w:qFormat/>
    <w:uiPriority w:val="99"/>
    <w:pPr>
      <w:tabs>
        <w:tab w:val="center" w:pos="4153"/>
        <w:tab w:val="right" w:pos="8306"/>
      </w:tabs>
      <w:snapToGrid w:val="0"/>
      <w:jc w:val="left"/>
    </w:pPr>
    <w:rPr>
      <w:sz w:val="18"/>
      <w:szCs w:val="18"/>
    </w:rPr>
  </w:style>
  <w:style w:type="paragraph" w:styleId="3">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qFormat/>
    <w:uiPriority w:val="99"/>
    <w:rPr>
      <w:sz w:val="24"/>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22"/>
    <w:rPr>
      <w:b/>
    </w:rPr>
  </w:style>
  <w:style w:type="character" w:styleId="9">
    <w:name w:val="Emphasis"/>
    <w:basedOn w:val="7"/>
    <w:qFormat/>
    <w:uiPriority w:val="20"/>
    <w:rPr>
      <w:i/>
      <w:iCs/>
    </w:rPr>
  </w:style>
  <w:style w:type="character" w:customStyle="1" w:styleId="10">
    <w:name w:val="页眉 字符"/>
    <w:basedOn w:val="7"/>
    <w:link w:val="3"/>
    <w:qFormat/>
    <w:uiPriority w:val="99"/>
    <w:rPr>
      <w:sz w:val="18"/>
      <w:szCs w:val="18"/>
    </w:rPr>
  </w:style>
  <w:style w:type="character" w:customStyle="1" w:styleId="11">
    <w:name w:val="页脚 字符"/>
    <w:basedOn w:val="7"/>
    <w:link w:val="2"/>
    <w:qFormat/>
    <w:uiPriority w:val="99"/>
    <w:rPr>
      <w:sz w:val="18"/>
      <w:szCs w:val="18"/>
    </w:rPr>
  </w:style>
  <w:style w:type="paragraph" w:styleId="1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1604</Words>
  <Characters>2268</Characters>
  <Lines>19</Lines>
  <Paragraphs>11</Paragraphs>
  <TotalTime>26</TotalTime>
  <ScaleCrop>false</ScaleCrop>
  <LinksUpToDate>false</LinksUpToDate>
  <CharactersWithSpaces>2473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2021-04-12T12:53:00Z</dcterms:created>
  <dc:creator>Jiang, Zongpei</dc:creator>
  <cp:lastModifiedBy>柯泓宇</cp:lastModifiedBy>
  <dcterms:modified xsi:type="dcterms:W3CDTF">2025-06-16T03:56:17Z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a7433b0daa6d16a32bb5e89629c16f23929090bad758d01f41409eb58ed01544</vt:lpwstr>
  </property>
  <property fmtid="{D5CDD505-2E9C-101B-9397-08002B2CF9AE}" pid="3" name="KSOProductBuildVer">
    <vt:lpwstr>2052-12.1.0.18276</vt:lpwstr>
  </property>
  <property fmtid="{D5CDD505-2E9C-101B-9397-08002B2CF9AE}" pid="4" name="ICV">
    <vt:lpwstr>168BF9F2DEE14454AE43C9B14DE76FDB_12</vt:lpwstr>
  </property>
</Properties>
</file>