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C6213F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i w:val="0"/>
          <w:snapToGrid w:val="0"/>
        </w:rPr>
      </w:pPr>
      <w:bookmarkStart w:id="0" w:name="_GoBack"/>
      <w:bookmarkEnd w:id="0"/>
      <w:r>
        <w:rPr>
          <w:rFonts w:hint="eastAsia"/>
          <w:i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4244340</wp:posOffset>
                </wp:positionH>
                <wp:positionV relativeFrom="paragraph">
                  <wp:posOffset>-396240</wp:posOffset>
                </wp:positionV>
                <wp:extent cx="1927860" cy="1188720"/>
                <wp:effectExtent l="0" t="381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786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EC768E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专业：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>海洋科学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707A5CE8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姓名：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2F03FEFE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学号：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2054435F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日期：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>2025.5.12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</w:t>
                            </w:r>
                          </w:p>
                          <w:p w14:paraId="7885D8D6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地点：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>海工楼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34.2pt;margin-top:-31.2pt;height:93.6pt;width:151.8pt;z-index:251659264;mso-width-relative:page;mso-height-relative:page;" fillcolor="#FFFFFF" filled="t" stroked="f" coordsize="21600,21600" o:gfxdata="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MBjcG/YAAAACwEA&#10;AA8AAAAAAAAAAQAgAAAAIgAAAGRycy9kb3ducmV2LnhtbFBLAQIUABQAAAAIAIdO4kCzLNluGgIA&#10;AD4EAAAOAAAAAAAAAAEAIAAAACcBAABkcnMvZTJvRG9jLnhtbFBLBQYAAAAABgAGAFkBAACzBQAA&#10;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CEC768E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专业：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>海洋科学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</w:t>
                      </w:r>
                    </w:p>
                    <w:p w14:paraId="707A5CE8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姓名：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  <w:r>
                        <w:rPr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</w:t>
                      </w:r>
                    </w:p>
                    <w:p w14:paraId="2F03FEFE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学号：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  <w:r>
                        <w:rPr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</w:t>
                      </w:r>
                    </w:p>
                    <w:p w14:paraId="2054435F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日期：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>2025.5.12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 </w:t>
                      </w:r>
                    </w:p>
                    <w:p w14:paraId="7885D8D6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地点：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>海工楼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i w:val="0"/>
          <w:snapToGrid w:val="0"/>
        </w:rPr>
        <w:t xml:space="preserve">          </w:t>
      </w:r>
      <w:r>
        <w:rPr>
          <w:rFonts w:hint="eastAsia"/>
          <w:i w:val="0"/>
        </w:rPr>
        <w:drawing>
          <wp:inline distT="0" distB="0" distL="0" distR="0">
            <wp:extent cx="1600200" cy="4343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/>
          <w:b/>
          <w:i w:val="0"/>
          <w:snapToGrid w:val="0"/>
          <w:spacing w:val="20"/>
          <w:position w:val="18"/>
          <w:sz w:val="48"/>
        </w:rPr>
        <w:t>实验报告</w:t>
      </w:r>
    </w:p>
    <w:p w14:paraId="6ABF9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napToGrid w:val="0"/>
          <w:kern w:val="0"/>
          <w:position w:val="6"/>
          <w:szCs w:val="21"/>
        </w:rPr>
      </w:pPr>
    </w:p>
    <w:p w14:paraId="35E61B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课程名称：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  <w:u w:val="single"/>
          <w:lang w:val="en-US" w:eastAsia="zh-CN"/>
        </w:rPr>
        <w:t>海洋天然产物化学与实验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</w:rPr>
        <w:t>指导老师：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</w:t>
      </w:r>
      <w:r>
        <w:rPr>
          <w:rFonts w:hint="eastAsia"/>
          <w:snapToGrid w:val="0"/>
          <w:kern w:val="0"/>
          <w:position w:val="6"/>
          <w:szCs w:val="21"/>
          <w:u w:val="single"/>
          <w:lang w:val="en-US" w:eastAsia="zh-CN"/>
        </w:rPr>
        <w:t>徐金钟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        </w:t>
      </w:r>
      <w:r>
        <w:rPr>
          <w:rFonts w:hint="eastAsia"/>
          <w:snapToGrid w:val="0"/>
          <w:kern w:val="0"/>
          <w:position w:val="6"/>
          <w:szCs w:val="21"/>
        </w:rPr>
        <w:t>成绩：________________</w:t>
      </w:r>
    </w:p>
    <w:p w14:paraId="02F35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napToGrid w:val="0"/>
          <w:kern w:val="0"/>
          <w:position w:val="6"/>
          <w:szCs w:val="21"/>
          <w:u w:val="single"/>
        </w:rPr>
      </w:pPr>
      <w:r>
        <w:rPr>
          <w:rFonts w:hint="eastAsia"/>
          <w:snapToGrid w:val="0"/>
          <w:kern w:val="0"/>
          <w:position w:val="6"/>
          <w:szCs w:val="21"/>
        </w:rPr>
        <w:t>实验名称：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</w:t>
      </w:r>
      <w:r>
        <w:rPr>
          <w:rFonts w:hint="eastAsia"/>
          <w:snapToGrid w:val="0"/>
          <w:kern w:val="0"/>
          <w:position w:val="6"/>
          <w:szCs w:val="21"/>
          <w:u w:val="single"/>
          <w:lang w:val="en-US" w:eastAsia="zh-CN"/>
        </w:rPr>
        <w:t>识别不同结构类型天然产物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                                      </w:t>
      </w:r>
    </w:p>
    <w:p w14:paraId="0B684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napToGrid w:val="0"/>
          <w:kern w:val="0"/>
          <w:position w:val="6"/>
          <w:szCs w:val="21"/>
          <w:u w:val="single"/>
        </w:rPr>
      </w:pPr>
      <w:r>
        <w:rPr>
          <w:rFonts w:hint="eastAsia"/>
          <w:snapToGrid w:val="0"/>
          <w:kern w:val="0"/>
          <w:position w:val="6"/>
          <w:szCs w:val="21"/>
        </w:rPr>
        <w:t>同组学生姓名：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  <w:u w:val="single"/>
          <w:lang w:val="en-US" w:eastAsia="zh-CN"/>
        </w:rPr>
        <w:t>魏元瀚，栾雨桐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                    </w:t>
      </w:r>
    </w:p>
    <w:p w14:paraId="3BD75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napToGrid w:val="0"/>
          <w:kern w:val="0"/>
          <w:position w:val="6"/>
          <w:szCs w:val="21"/>
        </w:rPr>
      </w:pPr>
    </w:p>
    <w:p w14:paraId="73FB3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</w:p>
    <w:p w14:paraId="7EF04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  <w:t>一、实验目的与要求</w:t>
      </w:r>
    </w:p>
    <w:p w14:paraId="7008C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1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掌握不同结构类型天然产物快速鉴定方法</w:t>
      </w:r>
    </w:p>
    <w:p w14:paraId="7A6D8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  <w:t>二、实验原理与内容</w:t>
      </w:r>
    </w:p>
    <w:p w14:paraId="768B7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85" w:firstLineChars="374"/>
        <w:textAlignment w:val="auto"/>
        <w:rPr>
          <w:rFonts w:hint="eastAsia" w:ascii="宋体" w:hAnsi="宋体"/>
          <w:snapToGrid w:val="0"/>
          <w:kern w:val="0"/>
          <w:position w:val="6"/>
          <w:sz w:val="21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海洋天然产物常见结构类型大体包括苯丙素类、醌类、萜类、甾体、生物碱、大环内酯、肽类等。不同结构类型具有各自的特征化学结构，可通过外观观察、化学显色、光谱等方法进行识别和鉴定。针对本次实验选用的醌类（萘醌 1、蒽醌 1）、三萜（1）、苯丙素类（1）、生物碱（1）等化合物标准品，设计尽可能简单快捷的实验方案，准确的判断出各个样品化合物</w:t>
      </w:r>
    </w:p>
    <w:p w14:paraId="5A920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  <w:t>三、实验设备与材料</w:t>
      </w:r>
    </w:p>
    <w:p w14:paraId="62C31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材料：聚酰胺薄层板（D:M=1:1）；硅胶薄层板（D:M=20:1+1 滴醋酸）或（D:M=20:1）；薄层展开缸；紫外分析仪；玻璃刀；移液管；铅笔；尺子； 显色剂：碘熏显色，硫酸香草醛显色剂；碘化铋钾显色剂</w:t>
      </w:r>
    </w:p>
    <w:p w14:paraId="69404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有机试剂：甲醇（M）；二氯甲烷（D）；石油醚（P）；乙酸乙酯（E）；醋酸</w:t>
      </w:r>
    </w:p>
    <w:p w14:paraId="35666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  <w:r>
        <w:drawing>
          <wp:inline distT="0" distB="0" distL="114300" distR="114300">
            <wp:extent cx="4617720" cy="1897380"/>
            <wp:effectExtent l="0" t="0" r="0" b="76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D0E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</w:p>
    <w:p w14:paraId="6314F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  <w:t>五、实验结果与分析</w:t>
      </w:r>
    </w:p>
    <w:p w14:paraId="5A836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（1）将标准品名称和化学结构对应；</w:t>
      </w:r>
    </w:p>
    <w:p w14:paraId="52EF60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宋体" w:hAnsi="宋体" w:eastAsia="MS Mincho"/>
          <w:snapToGrid w:val="0"/>
          <w:kern w:val="0"/>
          <w:position w:val="6"/>
          <w:sz w:val="21"/>
          <w:szCs w:val="21"/>
          <w:lang w:val="en-US" w:eastAsia="ja-JP"/>
        </w:rPr>
      </w:pP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萘醌：</w:t>
      </w:r>
      <w:r>
        <w:rPr>
          <w:rFonts w:hint="eastAsia" w:ascii="宋体" w:hAnsi="宋体" w:eastAsia="MS Mincho"/>
          <w:snapToGrid w:val="0"/>
          <w:kern w:val="0"/>
          <w:position w:val="6"/>
          <w:sz w:val="21"/>
          <w:szCs w:val="21"/>
          <w:lang w:val="en-US" w:eastAsia="ja-JP"/>
        </w:rPr>
        <w:tab/>
      </w:r>
      <w:r>
        <w:rPr>
          <w:rFonts w:hint="eastAsia" w:ascii="宋体" w:hAnsi="宋体" w:eastAsia="MS Mincho"/>
          <w:snapToGrid w:val="0"/>
          <w:kern w:val="0"/>
          <w:position w:val="6"/>
          <w:sz w:val="21"/>
          <w:szCs w:val="21"/>
          <w:lang w:val="en-US" w:eastAsia="ja-JP"/>
        </w:rPr>
        <w:tab/>
      </w:r>
      <w:r>
        <w:rPr>
          <w:rFonts w:hint="eastAsia" w:ascii="宋体" w:hAnsi="宋体" w:eastAsia="MS Mincho"/>
          <w:snapToGrid w:val="0"/>
          <w:kern w:val="0"/>
          <w:position w:val="6"/>
          <w:sz w:val="21"/>
          <w:szCs w:val="21"/>
          <w:lang w:val="en-US" w:eastAsia="ja-JP"/>
        </w:rPr>
        <w:tab/>
      </w:r>
      <w:r>
        <w:rPr>
          <w:rFonts w:hint="eastAsia" w:ascii="宋体" w:hAnsi="宋体" w:eastAsia="MS Mincho"/>
          <w:snapToGrid w:val="0"/>
          <w:kern w:val="0"/>
          <w:position w:val="6"/>
          <w:sz w:val="21"/>
          <w:szCs w:val="21"/>
          <w:lang w:val="en-US" w:eastAsia="ja-JP"/>
        </w:rPr>
        <w:tab/>
      </w:r>
      <w:r>
        <w:rPr>
          <w:rFonts w:hint="eastAsia" w:ascii="宋体" w:hAnsi="宋体" w:eastAsia="MS Mincho"/>
          <w:snapToGrid w:val="0"/>
          <w:kern w:val="0"/>
          <w:position w:val="6"/>
          <w:sz w:val="21"/>
          <w:szCs w:val="21"/>
          <w:lang w:val="en-US" w:eastAsia="ja-JP"/>
        </w:rPr>
        <w:tab/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蒽醌：</w:t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ab/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ab/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ab/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ab/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ab/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ab/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三萜：</w:t>
      </w:r>
    </w:p>
    <w:p w14:paraId="7808E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4055745</wp:posOffset>
            </wp:positionH>
            <wp:positionV relativeFrom="paragraph">
              <wp:posOffset>50165</wp:posOffset>
            </wp:positionV>
            <wp:extent cx="1732280" cy="954405"/>
            <wp:effectExtent l="0" t="0" r="5080" b="5715"/>
            <wp:wrapNone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228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1790065</wp:posOffset>
            </wp:positionH>
            <wp:positionV relativeFrom="paragraph">
              <wp:posOffset>199390</wp:posOffset>
            </wp:positionV>
            <wp:extent cx="1409700" cy="800100"/>
            <wp:effectExtent l="0" t="0" r="7620" b="7620"/>
            <wp:wrapNone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179070</wp:posOffset>
            </wp:positionH>
            <wp:positionV relativeFrom="paragraph">
              <wp:posOffset>17780</wp:posOffset>
            </wp:positionV>
            <wp:extent cx="1097280" cy="1143000"/>
            <wp:effectExtent l="0" t="0" r="0" b="0"/>
            <wp:wrapNone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E52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</w:p>
    <w:p w14:paraId="0001E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="宋体"/>
          <w:lang w:eastAsia="zh-CN"/>
        </w:rPr>
      </w:pPr>
    </w:p>
    <w:p w14:paraId="55A70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</w:p>
    <w:p w14:paraId="75D12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17941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宋体" w:hAnsi="宋体" w:eastAsia="MS Mincho"/>
          <w:snapToGrid w:val="0"/>
          <w:kern w:val="0"/>
          <w:position w:val="6"/>
          <w:sz w:val="21"/>
          <w:szCs w:val="21"/>
          <w:lang w:val="en-US" w:eastAsia="ja-JP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3053715</wp:posOffset>
            </wp:positionH>
            <wp:positionV relativeFrom="paragraph">
              <wp:posOffset>77470</wp:posOffset>
            </wp:positionV>
            <wp:extent cx="1554480" cy="960120"/>
            <wp:effectExtent l="0" t="0" r="0" b="0"/>
            <wp:wrapNone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苯丙素：</w:t>
      </w:r>
      <w:r>
        <w:rPr>
          <w:rFonts w:hint="eastAsia" w:ascii="宋体" w:hAnsi="宋体" w:eastAsia="MS Mincho"/>
          <w:snapToGrid w:val="0"/>
          <w:kern w:val="0"/>
          <w:position w:val="6"/>
          <w:sz w:val="21"/>
          <w:szCs w:val="21"/>
          <w:lang w:val="en-US" w:eastAsia="ja-JP"/>
        </w:rPr>
        <w:tab/>
      </w:r>
      <w:r>
        <w:rPr>
          <w:rFonts w:hint="eastAsia" w:ascii="宋体" w:hAnsi="宋体" w:eastAsia="MS Mincho"/>
          <w:snapToGrid w:val="0"/>
          <w:kern w:val="0"/>
          <w:position w:val="6"/>
          <w:sz w:val="21"/>
          <w:szCs w:val="21"/>
          <w:lang w:val="en-US" w:eastAsia="ja-JP"/>
        </w:rPr>
        <w:tab/>
      </w:r>
      <w:r>
        <w:rPr>
          <w:rFonts w:hint="eastAsia" w:ascii="宋体" w:hAnsi="宋体" w:eastAsia="MS Mincho"/>
          <w:snapToGrid w:val="0"/>
          <w:kern w:val="0"/>
          <w:position w:val="6"/>
          <w:sz w:val="21"/>
          <w:szCs w:val="21"/>
          <w:lang w:val="en-US" w:eastAsia="ja-JP"/>
        </w:rPr>
        <w:tab/>
      </w:r>
      <w:r>
        <w:rPr>
          <w:rFonts w:hint="eastAsia" w:ascii="宋体" w:hAnsi="宋体" w:eastAsia="MS Mincho"/>
          <w:snapToGrid w:val="0"/>
          <w:kern w:val="0"/>
          <w:position w:val="6"/>
          <w:sz w:val="21"/>
          <w:szCs w:val="21"/>
          <w:lang w:val="en-US" w:eastAsia="ja-JP"/>
        </w:rPr>
        <w:tab/>
      </w:r>
      <w:r>
        <w:rPr>
          <w:rFonts w:hint="eastAsia" w:ascii="宋体" w:hAnsi="宋体" w:eastAsia="MS Mincho"/>
          <w:snapToGrid w:val="0"/>
          <w:kern w:val="0"/>
          <w:position w:val="6"/>
          <w:sz w:val="21"/>
          <w:szCs w:val="21"/>
          <w:lang w:val="en-US" w:eastAsia="ja-JP"/>
        </w:rPr>
        <w:tab/>
      </w:r>
      <w:r>
        <w:rPr>
          <w:rFonts w:hint="eastAsia" w:ascii="宋体" w:hAnsi="宋体" w:eastAsia="MS Mincho"/>
          <w:snapToGrid w:val="0"/>
          <w:kern w:val="0"/>
          <w:position w:val="6"/>
          <w:sz w:val="21"/>
          <w:szCs w:val="21"/>
          <w:lang w:val="en-US" w:eastAsia="ja-JP"/>
        </w:rPr>
        <w:tab/>
      </w:r>
      <w:r>
        <w:rPr>
          <w:rFonts w:hint="eastAsia" w:ascii="宋体" w:hAnsi="宋体"/>
          <w:snapToGrid w:val="0"/>
          <w:kern w:val="0"/>
          <w:position w:val="6"/>
          <w:sz w:val="21"/>
          <w:szCs w:val="21"/>
          <w:lang w:val="en-US" w:eastAsia="zh-CN"/>
        </w:rPr>
        <w:t>生物碱：</w:t>
      </w:r>
    </w:p>
    <w:p w14:paraId="4FE60A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620" w:leftChars="0" w:firstLine="420" w:firstLineChars="200"/>
        <w:textAlignment w:val="auto"/>
        <w:rPr>
          <w:rFonts w:hint="default" w:ascii="宋体" w:hAnsi="宋体"/>
          <w:snapToGrid w:val="0"/>
          <w:kern w:val="0"/>
          <w:position w:val="6"/>
          <w:sz w:val="21"/>
          <w:szCs w:val="21"/>
          <w:lang w:val="en-US" w:eastAsia="zh-CN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366395</wp:posOffset>
            </wp:positionH>
            <wp:positionV relativeFrom="paragraph">
              <wp:posOffset>100330</wp:posOffset>
            </wp:positionV>
            <wp:extent cx="1249680" cy="723900"/>
            <wp:effectExtent l="0" t="0" r="0" b="7620"/>
            <wp:wrapNone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D06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</w:p>
    <w:p w14:paraId="14DF3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</w:p>
    <w:p w14:paraId="527F57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</w:p>
    <w:p w14:paraId="76D8CDB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/>
          <w:snapToGrid w:val="0"/>
          <w:kern w:val="0"/>
          <w:position w:val="6"/>
          <w:sz w:val="22"/>
          <w:szCs w:val="21"/>
          <w:lang w:val="en-US" w:eastAsia="zh-CN"/>
        </w:rPr>
      </w:pPr>
      <w:r>
        <w:rPr>
          <w:rFonts w:hint="eastAsia"/>
          <w:snapToGrid w:val="0"/>
          <w:kern w:val="0"/>
          <w:position w:val="6"/>
          <w:sz w:val="22"/>
          <w:szCs w:val="21"/>
          <w:lang w:val="en-US" w:eastAsia="zh-CN"/>
        </w:rPr>
        <w:t>设计实验方案</w:t>
      </w:r>
    </w:p>
    <w:p w14:paraId="58204C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/>
        </w:rPr>
        <w:t xml:space="preserve">目标：通过薄层色谱（TLC）结合显色反应快速区分五类化合物。  </w:t>
      </w:r>
    </w:p>
    <w:p w14:paraId="3C8855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/>
        </w:rPr>
        <w:t xml:space="preserve">步骤：  </w:t>
      </w:r>
    </w:p>
    <w:p w14:paraId="1AA328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/>
        </w:rPr>
        <w:t xml:space="preserve">1. 外观观察：记录颜色、形态（醌类多为黄色/橙色，生物碱可能为结晶）。  </w:t>
      </w:r>
    </w:p>
    <w:p w14:paraId="1B1A56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/>
        </w:rPr>
        <w:t xml:space="preserve">2. TLC分离：  </w:t>
      </w:r>
    </w:p>
    <w:p w14:paraId="737CB5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/>
        </w:rPr>
        <w:t xml:space="preserve">    硅胶板（D:M=20:1+1滴醋酸）：中等极性系统，分离醌类、三萜、苯丙素。  </w:t>
      </w:r>
    </w:p>
    <w:p w14:paraId="1C24D2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/>
        </w:rPr>
        <w:t xml:space="preserve">    聚酰胺板（D:M=1:1）：高极性系统，分离极性较大的生物碱和苯丙素。  </w:t>
      </w:r>
    </w:p>
    <w:p w14:paraId="26F513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/>
        </w:rPr>
        <w:t xml:space="preserve">3. 显色与检测：  </w:t>
      </w:r>
    </w:p>
    <w:p w14:paraId="338377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/>
        </w:rPr>
        <w:t xml:space="preserve">    紫外灯（254/365 nm）：  </w:t>
      </w:r>
    </w:p>
    <w:p w14:paraId="134D95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/>
        </w:rPr>
        <w:t xml:space="preserve">      醌类：橙色/黄色荧光（醌式共轭结构）。  </w:t>
      </w:r>
    </w:p>
    <w:p w14:paraId="51E16B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/>
        </w:rPr>
        <w:t xml:space="preserve">      苯丙素：蓝色荧光（苯环共轭）。  </w:t>
      </w:r>
    </w:p>
    <w:p w14:paraId="43D9C1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/>
        </w:rPr>
        <w:t xml:space="preserve">      生物碱：紫外淬灭（含共轭体系或季铵盐）。  </w:t>
      </w:r>
    </w:p>
    <w:p w14:paraId="0F3814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/>
        </w:rPr>
        <w:t xml:space="preserve">    碘熏：通用显色，萜类、生物碱显棕色斑点。  </w:t>
      </w:r>
    </w:p>
    <w:p w14:paraId="72AC99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/>
        </w:rPr>
        <w:t xml:space="preserve">    硫酸香草醛（加热）：萜类/甾体显紫红色，醌类无反应。  </w:t>
      </w:r>
    </w:p>
    <w:p w14:paraId="3FDB9C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/>
        </w:rPr>
        <w:t xml:space="preserve">    碘化铋钾：生物碱专一显橙红色斑点。  </w:t>
      </w:r>
    </w:p>
    <w:p w14:paraId="6D0AFB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4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24"/>
          <w:szCs w:val="24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4"/>
          <w:lang w:val="en-US" w:eastAsia="zh-CN"/>
        </w:rPr>
        <w:t>3</w:t>
      </w:r>
      <w:r>
        <w:rPr>
          <w:rFonts w:hint="eastAsia" w:cs="Times New Roman"/>
          <w:snapToGrid w:val="0"/>
          <w:kern w:val="0"/>
          <w:position w:val="6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4"/>
          <w:szCs w:val="24"/>
          <w:lang w:val="en-US" w:eastAsia="zh-CN"/>
        </w:rPr>
        <w:t>记录实验过程和结果(如外观观察、化学显色、紫外光谱等结果)；</w:t>
      </w:r>
    </w:p>
    <w:p w14:paraId="7B9B5A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eastAsia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21"/>
          <w:szCs w:val="21"/>
          <w:lang w:val="en-US" w:eastAsia="zh-CN"/>
        </w:rPr>
        <w:t>①外观观察</w:t>
      </w:r>
    </w:p>
    <w:p w14:paraId="59C2B2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cs="Times New Roman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730DC5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jc w:val="center"/>
        <w:textAlignment w:val="auto"/>
        <w:rPr>
          <w:rFonts w:hint="default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cs="Times New Roman"/>
          <w:snapToGrid w:val="0"/>
          <w:kern w:val="0"/>
          <w:position w:val="6"/>
          <w:sz w:val="21"/>
          <w:szCs w:val="21"/>
          <w:lang w:val="en-US" w:eastAsia="zh-CN"/>
        </w:rPr>
        <w:drawing>
          <wp:inline distT="0" distB="0" distL="114300" distR="114300">
            <wp:extent cx="2212340" cy="956310"/>
            <wp:effectExtent l="0" t="0" r="0" b="0"/>
            <wp:docPr id="10" name="图片 10" descr="5ed3804a23d14a1c49767f7fb1d5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5ed3804a23d14a1c49767f7fb1d5020"/>
                    <pic:cNvPicPr>
                      <a:picLocks noChangeAspect="1"/>
                    </pic:cNvPicPr>
                  </pic:nvPicPr>
                  <pic:blipFill>
                    <a:blip r:embed="rId11"/>
                    <a:srcRect l="20181" t="-1829" r="23571" b="47812"/>
                    <a:stretch>
                      <a:fillRect/>
                    </a:stretch>
                  </pic:blipFill>
                  <pic:spPr>
                    <a:xfrm>
                      <a:off x="0" y="0"/>
                      <a:ext cx="221234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57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firstLine="420" w:firstLineChars="0"/>
        <w:jc w:val="center"/>
        <w:textAlignment w:val="auto"/>
        <w:rPr>
          <w:rFonts w:hint="default" w:cs="Times New Roman"/>
          <w:snapToGrid w:val="0"/>
          <w:kern w:val="0"/>
          <w:position w:val="6"/>
          <w:sz w:val="18"/>
          <w:szCs w:val="18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18"/>
          <w:szCs w:val="18"/>
          <w:lang w:val="en-US" w:eastAsia="zh-CN"/>
        </w:rPr>
        <w:t>图1：样品外观观察图</w:t>
      </w:r>
    </w:p>
    <w:p w14:paraId="2B1B4E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21"/>
          <w:szCs w:val="21"/>
          <w:lang w:val="en-US" w:eastAsia="zh-CN"/>
        </w:rPr>
        <w:t>初步判断呈黄色的5可能为苯丙素</w:t>
      </w:r>
    </w:p>
    <w:p w14:paraId="6320AB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eastAsia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21"/>
          <w:szCs w:val="21"/>
          <w:lang w:val="en-US" w:eastAsia="zh-CN"/>
        </w:rPr>
        <w:t>②TLC分离</w:t>
      </w:r>
    </w:p>
    <w:p w14:paraId="20611B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</w:pPr>
      <w:r>
        <w:drawing>
          <wp:inline distT="0" distB="0" distL="114300" distR="114300">
            <wp:extent cx="1196340" cy="2103120"/>
            <wp:effectExtent l="0" t="0" r="762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9634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672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 Rf值近似于0.4，判断为蒽醌</w:t>
      </w:r>
    </w:p>
    <w:p w14:paraId="293305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21"/>
          <w:szCs w:val="21"/>
          <w:lang w:val="en-US" w:eastAsia="zh-CN"/>
        </w:rPr>
        <w:t>③</w:t>
      </w: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/>
        </w:rPr>
        <w:t>硫酸香草醛</w:t>
      </w:r>
      <w:r>
        <w:rPr>
          <w:rFonts w:hint="eastAsia" w:cs="Times New Roman"/>
          <w:snapToGrid w:val="0"/>
          <w:kern w:val="0"/>
          <w:position w:val="6"/>
          <w:sz w:val="21"/>
          <w:szCs w:val="21"/>
          <w:lang w:val="en-US" w:eastAsia="zh-CN"/>
        </w:rPr>
        <w:t>显色</w:t>
      </w: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/>
        </w:rPr>
        <w:t>（加热）</w:t>
      </w:r>
    </w:p>
    <w:p w14:paraId="3C0B87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21"/>
          <w:szCs w:val="21"/>
          <w:lang w:val="en-US" w:eastAsia="zh-CN"/>
        </w:rPr>
        <w:t>加热显色结果如下图所示</w:t>
      </w:r>
    </w:p>
    <w:p w14:paraId="4C49D3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/>
        </w:rPr>
        <w:drawing>
          <wp:inline distT="0" distB="0" distL="114300" distR="114300">
            <wp:extent cx="3284855" cy="1460500"/>
            <wp:effectExtent l="0" t="0" r="6985" b="2540"/>
            <wp:docPr id="13" name="图片 13" descr="78607efb7e224c276644c2795f4a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78607efb7e224c276644c2795f4a379"/>
                    <pic:cNvPicPr>
                      <a:picLocks noChangeAspect="1"/>
                    </pic:cNvPicPr>
                  </pic:nvPicPr>
                  <pic:blipFill>
                    <a:blip r:embed="rId13"/>
                    <a:srcRect l="18501" t="18508" r="26179" b="26847"/>
                    <a:stretch>
                      <a:fillRect/>
                    </a:stretch>
                  </pic:blipFill>
                  <pic:spPr>
                    <a:xfrm>
                      <a:off x="0" y="0"/>
                      <a:ext cx="3284855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DB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eastAsia" w:cs="Times New Roman"/>
          <w:snapToGrid w:val="0"/>
          <w:kern w:val="0"/>
          <w:position w:val="6"/>
          <w:sz w:val="18"/>
          <w:szCs w:val="18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18"/>
          <w:szCs w:val="18"/>
          <w:lang w:val="en-US" w:eastAsia="zh-CN"/>
        </w:rPr>
        <w:t>图3：</w:t>
      </w: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18"/>
          <w:szCs w:val="18"/>
          <w:lang w:val="en-US" w:eastAsia="zh-CN"/>
        </w:rPr>
        <w:t>硫酸香草醛</w:t>
      </w:r>
      <w:r>
        <w:rPr>
          <w:rFonts w:hint="eastAsia" w:cs="Times New Roman"/>
          <w:snapToGrid w:val="0"/>
          <w:kern w:val="0"/>
          <w:position w:val="6"/>
          <w:sz w:val="18"/>
          <w:szCs w:val="18"/>
          <w:lang w:val="en-US" w:eastAsia="zh-CN"/>
        </w:rPr>
        <w:t>显色结果图</w:t>
      </w:r>
    </w:p>
    <w:p w14:paraId="138F8B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cs="Times New Roman"/>
          <w:snapToGrid w:val="0"/>
          <w:kern w:val="0"/>
          <w:position w:val="6"/>
          <w:sz w:val="18"/>
          <w:szCs w:val="18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18"/>
          <w:szCs w:val="18"/>
          <w:lang w:val="en-US" w:eastAsia="zh-CN"/>
        </w:rPr>
        <w:t>由图示结果可得，4呈现蓝紫色，3呈现红色，5呈现黄色，故可以推断5为苯丙素类，3为三萜类，1</w:t>
      </w:r>
    </w:p>
    <w:p w14:paraId="52AD2E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eastAsia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21"/>
          <w:szCs w:val="21"/>
          <w:lang w:val="en-US" w:eastAsia="zh-CN"/>
        </w:rPr>
        <w:t>④</w:t>
      </w: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/>
        </w:rPr>
        <w:t>碘化铋钾</w:t>
      </w:r>
      <w:r>
        <w:rPr>
          <w:rFonts w:hint="eastAsia" w:cs="Times New Roman"/>
          <w:snapToGrid w:val="0"/>
          <w:kern w:val="0"/>
          <w:position w:val="6"/>
          <w:sz w:val="21"/>
          <w:szCs w:val="21"/>
          <w:lang w:val="en-US" w:eastAsia="zh-CN"/>
        </w:rPr>
        <w:t>显色</w:t>
      </w:r>
    </w:p>
    <w:p w14:paraId="579C4B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21"/>
          <w:szCs w:val="21"/>
          <w:lang w:val="en-US" w:eastAsia="zh-CN"/>
        </w:rPr>
        <w:t>显色结果如下图所示</w:t>
      </w:r>
    </w:p>
    <w:p w14:paraId="45A85B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/>
        </w:rPr>
        <w:drawing>
          <wp:inline distT="0" distB="0" distL="114300" distR="114300">
            <wp:extent cx="1332230" cy="1765300"/>
            <wp:effectExtent l="0" t="0" r="8890" b="2540"/>
            <wp:docPr id="11" name="图片 11" descr="1e529acf0c8cda7e701e07f873e9e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e529acf0c8cda7e701e07f873e9e58"/>
                    <pic:cNvPicPr>
                      <a:picLocks noChangeAspect="1"/>
                    </pic:cNvPicPr>
                  </pic:nvPicPr>
                  <pic:blipFill>
                    <a:blip r:embed="rId14"/>
                    <a:srcRect l="6207" t="29905" r="4516" b="16856"/>
                    <a:stretch>
                      <a:fillRect/>
                    </a:stretch>
                  </pic:blipFill>
                  <pic:spPr>
                    <a:xfrm>
                      <a:off x="0" y="0"/>
                      <a:ext cx="133223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46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ascii="Times New Roman" w:hAnsi="Times New Roman" w:eastAsia="宋体" w:cs="Times New Roman"/>
          <w:snapToGrid w:val="0"/>
          <w:kern w:val="0"/>
          <w:position w:val="6"/>
          <w:sz w:val="18"/>
          <w:szCs w:val="18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18"/>
          <w:szCs w:val="18"/>
          <w:lang w:val="en-US" w:eastAsia="zh-CN"/>
        </w:rPr>
        <w:t>图4：</w:t>
      </w:r>
      <w:r>
        <w:rPr>
          <w:rFonts w:hint="default" w:ascii="Times New Roman" w:hAnsi="Times New Roman" w:eastAsia="宋体" w:cs="Times New Roman"/>
          <w:snapToGrid w:val="0"/>
          <w:kern w:val="0"/>
          <w:position w:val="6"/>
          <w:sz w:val="18"/>
          <w:szCs w:val="18"/>
          <w:lang w:val="en-US" w:eastAsia="zh-CN"/>
        </w:rPr>
        <w:t>碘化铋钾</w:t>
      </w:r>
      <w:r>
        <w:rPr>
          <w:rFonts w:hint="eastAsia" w:cs="Times New Roman"/>
          <w:snapToGrid w:val="0"/>
          <w:kern w:val="0"/>
          <w:position w:val="6"/>
          <w:sz w:val="18"/>
          <w:szCs w:val="18"/>
          <w:lang w:val="en-US" w:eastAsia="zh-CN"/>
        </w:rPr>
        <w:t>显色结果</w:t>
      </w:r>
    </w:p>
    <w:p w14:paraId="6EF7A8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eastAsia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21"/>
          <w:szCs w:val="21"/>
          <w:lang w:val="en-US" w:eastAsia="zh-CN"/>
        </w:rPr>
        <w:t>由图得仅有2出现显色结果，可以推断2为生物碱</w:t>
      </w:r>
    </w:p>
    <w:p w14:paraId="4CDF23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eastAsia" w:cs="Times New Roman"/>
          <w:snapToGrid w:val="0"/>
          <w:kern w:val="0"/>
          <w:position w:val="6"/>
          <w:sz w:val="21"/>
          <w:szCs w:val="21"/>
          <w:lang w:val="en-US" w:eastAsia="zh-CN"/>
        </w:rPr>
      </w:pPr>
    </w:p>
    <w:p w14:paraId="545C15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eastAsia="MS Mincho" w:cs="Times New Roman"/>
          <w:snapToGrid w:val="0"/>
          <w:kern w:val="0"/>
          <w:position w:val="6"/>
          <w:sz w:val="21"/>
          <w:szCs w:val="21"/>
          <w:lang w:val="en-US" w:eastAsia="ja-JP"/>
        </w:rPr>
      </w:pPr>
      <w:r>
        <w:rPr>
          <w:rFonts w:hint="eastAsia" w:cs="Times New Roman"/>
          <w:snapToGrid w:val="0"/>
          <w:kern w:val="0"/>
          <w:position w:val="6"/>
          <w:sz w:val="21"/>
          <w:szCs w:val="21"/>
          <w:lang w:val="en-US" w:eastAsia="zh-CN"/>
        </w:rPr>
        <w:t>总结得：1为蒽醌，2为生物碱，3为三萜，4为萘醌，5为苯丙素</w:t>
      </w:r>
    </w:p>
    <w:p w14:paraId="17B2ED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eastAsia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21"/>
          <w:szCs w:val="21"/>
          <w:lang w:val="en-US" w:eastAsia="zh-CN"/>
        </w:rPr>
        <w:t>⑤NMR结果</w:t>
      </w:r>
    </w:p>
    <w:p w14:paraId="345252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firstLine="420" w:firstLineChars="0"/>
        <w:textAlignment w:val="auto"/>
        <w:rPr>
          <w:rFonts w:hint="eastAsia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napToGrid w:val="0"/>
          <w:kern w:val="0"/>
          <w:position w:val="6"/>
          <w:sz w:val="21"/>
          <w:szCs w:val="21"/>
          <w:lang w:val="en-US" w:eastAsia="zh-CN" w:bidi="ar-SA"/>
        </w:rPr>
        <w:t>i)</w:t>
      </w:r>
      <w:r>
        <w:rPr>
          <w:rFonts w:hint="eastAsia" w:cs="Times New Roman"/>
          <w:snapToGrid w:val="0"/>
          <w:kern w:val="0"/>
          <w:position w:val="6"/>
          <w:sz w:val="21"/>
          <w:szCs w:val="21"/>
          <w:lang w:val="en-US" w:eastAsia="zh-CN"/>
        </w:rPr>
        <w:t>JX-Y</w:t>
      </w:r>
    </w:p>
    <w:p w14:paraId="64FDB3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80" w:leftChars="0" w:firstLine="420" w:firstLineChars="0"/>
        <w:textAlignment w:val="auto"/>
        <w:rPr>
          <w:rFonts w:hint="default" w:cs="Times New Roman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21"/>
          <w:szCs w:val="21"/>
          <w:lang w:val="en-US" w:eastAsia="zh-CN"/>
        </w:rPr>
        <w:t>NMR结果如图1所示</w:t>
      </w:r>
    </w:p>
    <w:p w14:paraId="5F9813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80" w:leftChars="0" w:firstLine="420" w:firstLineChars="0"/>
        <w:textAlignment w:val="auto"/>
      </w:pPr>
      <w:r>
        <w:drawing>
          <wp:inline distT="0" distB="0" distL="114300" distR="114300">
            <wp:extent cx="3135630" cy="2835275"/>
            <wp:effectExtent l="0" t="0" r="3810" b="1460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563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709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360"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 Y NMR结果图</w:t>
      </w:r>
    </w:p>
    <w:p w14:paraId="4B1EF8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如图可以得知在9.7左右存在醛基氢吸收峰，7存在苯环氢吸收峰，6存在双键氢吸收峰，认为是苯丙素</w:t>
      </w:r>
    </w:p>
    <w:p w14:paraId="66CD54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ii）JX-D</w:t>
      </w:r>
    </w:p>
    <w:p w14:paraId="6E73C6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</w:pPr>
      <w:r>
        <w:drawing>
          <wp:inline distT="0" distB="0" distL="114300" distR="114300">
            <wp:extent cx="2675255" cy="2430780"/>
            <wp:effectExtent l="0" t="0" r="6985" b="762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5255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4D0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 D NMR结果图</w:t>
      </w:r>
    </w:p>
    <w:p w14:paraId="307E31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考虑为蒽醌</w:t>
      </w:r>
    </w:p>
    <w:p w14:paraId="764535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ii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i</w:t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/>
          <w:lang w:val="en-US" w:eastAsia="zh-CN"/>
        </w:rPr>
        <w:t>JX-Q</w:t>
      </w:r>
    </w:p>
    <w:p w14:paraId="54688C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firstLine="420" w:firstLineChars="0"/>
        <w:textAlignment w:val="auto"/>
      </w:pPr>
      <w:r>
        <w:drawing>
          <wp:inline distT="0" distB="0" distL="114300" distR="114300">
            <wp:extent cx="2245360" cy="2032000"/>
            <wp:effectExtent l="0" t="0" r="10160" b="1016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4536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191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图3 Q NMR结果图</w:t>
      </w:r>
    </w:p>
    <w:p w14:paraId="0D3107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观察得1-2内存在若干杂乱峰，认定为三萜类</w:t>
      </w:r>
    </w:p>
    <w:p w14:paraId="735A02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firstLine="420" w:firstLineChars="0"/>
        <w:textAlignment w:val="auto"/>
        <w:rPr>
          <w:rFonts w:hint="eastAsia"/>
          <w:lang w:val="en-US" w:eastAsia="zh-CN"/>
        </w:rPr>
      </w:pPr>
    </w:p>
    <w:p w14:paraId="27B7F9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firstLine="420" w:firstLineChars="0"/>
        <w:textAlignment w:val="auto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752475</wp:posOffset>
            </wp:positionH>
            <wp:positionV relativeFrom="paragraph">
              <wp:posOffset>428625</wp:posOffset>
            </wp:positionV>
            <wp:extent cx="2409190" cy="2183765"/>
            <wp:effectExtent l="0" t="0" r="13970" b="10795"/>
            <wp:wrapTopAndBottom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9190" cy="218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iv)JX-R</w:t>
      </w:r>
    </w:p>
    <w:p w14:paraId="314E2B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firstLine="420" w:firstLineChars="0"/>
        <w:textAlignment w:val="auto"/>
      </w:pPr>
    </w:p>
    <w:p w14:paraId="039D95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firstLine="420" w:firstLineChars="0"/>
        <w:textAlignment w:val="auto"/>
      </w:pPr>
    </w:p>
    <w:p w14:paraId="4BE931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firstLine="420" w:firstLineChars="0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由7-8附近的大量峰认定是生物碱</w:t>
      </w:r>
    </w:p>
    <w:p w14:paraId="45B55F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eastAsia" w:eastAsia="MS Mincho"/>
          <w:lang w:val="en-US" w:eastAsia="ja-JP"/>
        </w:rPr>
      </w:pPr>
      <w:r>
        <w:rPr>
          <w:rFonts w:hint="eastAsia"/>
          <w:lang w:val="en-US" w:eastAsia="zh-CN"/>
        </w:rPr>
        <w:t>v）JX-J</w:t>
      </w:r>
    </w:p>
    <w:p w14:paraId="7BA6A8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80" w:leftChars="0" w:firstLine="420" w:firstLineChars="0"/>
        <w:textAlignment w:val="auto"/>
      </w:pPr>
      <w:r>
        <w:drawing>
          <wp:inline distT="0" distB="0" distL="114300" distR="114300">
            <wp:extent cx="1804670" cy="1645920"/>
            <wp:effectExtent l="0" t="0" r="8890" b="0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467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D4E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80"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由2附近的单一吸收峰可以确定存在R-CH2，再由8附近的多峰证明样品为萘醌</w:t>
      </w:r>
    </w:p>
    <w:p w14:paraId="4A16D2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（4）.</w:t>
      </w:r>
      <w:r>
        <w:rPr>
          <w:rFonts w:hint="default"/>
          <w:lang w:val="en-US" w:eastAsia="zh-CN"/>
        </w:rPr>
        <w:t>讨论其他可能的实验方案</w:t>
      </w:r>
    </w:p>
    <w:p w14:paraId="39399D35">
      <w:pPr>
        <w:rPr>
          <w:rFonts w:hint="default" w:ascii="Times New Roman" w:hAnsi="Times New Roman" w:cs="Times New Roman"/>
        </w:rPr>
      </w:pPr>
    </w:p>
    <w:p w14:paraId="650B0001">
      <w:pPr>
        <w:rPr>
          <w:rFonts w:hint="default" w:ascii="Times New Roman" w:hAnsi="Times New Roman" w:cs="Times New Roman" w:eastAsiaTheme="minorEastAsia"/>
          <w:lang w:eastAsia="zh-CN"/>
        </w:rPr>
      </w:pPr>
    </w:p>
    <w:p w14:paraId="1E70C96C">
      <w:pPr>
        <w:rPr>
          <w:rFonts w:hint="default" w:ascii="Times New Roman" w:hAnsi="Times New Roman" w:cs="Times New Roman"/>
        </w:rPr>
      </w:pPr>
    </w:p>
    <w:p w14:paraId="74002C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cs="Times New Roman"/>
          <w:lang w:val="en-US" w:eastAsia="zh-CN"/>
        </w:rPr>
        <w:t>A）</w:t>
      </w:r>
      <w:r>
        <w:rPr>
          <w:rFonts w:hint="default" w:ascii="Times New Roman" w:hAnsi="Times New Roman" w:cs="Times New Roman"/>
        </w:rPr>
        <w:t xml:space="preserve">. 高效液相色谱质谱联用（HPLCMS）  </w:t>
      </w:r>
    </w:p>
    <w:p w14:paraId="0CBDB9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适用场景：复杂样品分离、微量成分鉴定、分子量及碎片信息获取。  </w:t>
      </w:r>
    </w:p>
    <w:p w14:paraId="378B25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方案步骤：  </w:t>
      </w:r>
    </w:p>
    <w:p w14:paraId="1926CD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1. 色谱条件：  </w:t>
      </w:r>
    </w:p>
    <w:p w14:paraId="1CDA3B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色谱柱：C18反相柱（适合极性与中等极性化合物）。  </w:t>
      </w:r>
    </w:p>
    <w:p w14:paraId="73B64E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流动相：梯度洗脱（如甲醇水含0.1%甲酸）。  </w:t>
      </w:r>
    </w:p>
    <w:p w14:paraId="367489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流速：1 mL/min，检测波长：254 nm（醌类）、280 nm（苯丙素）。  </w:t>
      </w:r>
    </w:p>
    <w:p w14:paraId="6BE6EF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2. 质谱参数：  </w:t>
      </w:r>
    </w:p>
    <w:p w14:paraId="7B9A78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离子源：电喷雾电离（ESI），正/负离子模式。  </w:t>
      </w:r>
    </w:p>
    <w:p w14:paraId="000C9C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扫描范围：m/z 100–1000。  </w:t>
      </w:r>
    </w:p>
    <w:p w14:paraId="66162B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优势：  </w:t>
      </w:r>
    </w:p>
    <w:p w14:paraId="227B10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高灵敏度，可检测痕量成分。  </w:t>
      </w:r>
    </w:p>
    <w:p w14:paraId="0B3EB7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通过分子离子峰（[M+H]⁺或[MH]⁻）直接推测分子量。  </w:t>
      </w:r>
    </w:p>
    <w:p w14:paraId="54DA45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碎片离子辅助推断结构（如醌类脱羧、萜类裂解）。  </w:t>
      </w:r>
    </w:p>
    <w:p w14:paraId="054D90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局限性：  </w:t>
      </w:r>
    </w:p>
    <w:p w14:paraId="036FD2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设备昂贵，需专业操作。  </w:t>
      </w:r>
    </w:p>
    <w:p w14:paraId="65BF43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对非挥发性大分子（如多糖）灵敏度低。  </w:t>
      </w:r>
    </w:p>
    <w:p w14:paraId="6F4F20AD">
      <w:pPr>
        <w:rPr>
          <w:rFonts w:hint="default" w:ascii="Times New Roman" w:hAnsi="Times New Roman" w:cs="Times New Roman"/>
        </w:rPr>
      </w:pPr>
    </w:p>
    <w:p w14:paraId="575B3E89">
      <w:pPr>
        <w:rPr>
          <w:rFonts w:hint="default" w:ascii="Times New Roman" w:hAnsi="Times New Roman" w:cs="Times New Roman" w:eastAsiaTheme="minorEastAsia"/>
          <w:lang w:eastAsia="zh-CN"/>
        </w:rPr>
      </w:pPr>
    </w:p>
    <w:p w14:paraId="3C29B9C7">
      <w:pPr>
        <w:rPr>
          <w:rFonts w:hint="default" w:ascii="Times New Roman" w:hAnsi="Times New Roman" w:cs="Times New Roman"/>
        </w:rPr>
      </w:pPr>
    </w:p>
    <w:p w14:paraId="557FDC86">
      <w:pPr>
        <w:rPr>
          <w:rFonts w:hint="default" w:ascii="Times New Roman" w:hAnsi="Times New Roman" w:cs="Times New Roman"/>
        </w:rPr>
      </w:pPr>
      <w:r>
        <w:rPr>
          <w:rFonts w:hint="eastAsia" w:cs="Times New Roman"/>
          <w:lang w:val="en-US" w:eastAsia="zh-CN"/>
        </w:rPr>
        <w:t>B).</w:t>
      </w:r>
      <w:r>
        <w:rPr>
          <w:rFonts w:hint="default" w:ascii="Times New Roman" w:hAnsi="Times New Roman" w:cs="Times New Roman"/>
        </w:rPr>
        <w:t xml:space="preserve"> 核磁共振（NMR）谱分析  </w:t>
      </w:r>
    </w:p>
    <w:p w14:paraId="0B3D60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适用场景：结构确证、官能团及取代基定位。  </w:t>
      </w:r>
    </w:p>
    <w:p w14:paraId="3B2D1D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方案步骤：  </w:t>
      </w:r>
    </w:p>
    <w:p w14:paraId="429484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1. 样品准备：纯化后溶解于氘代试剂（如CDCl₃、DMSOd₆）。  </w:t>
      </w:r>
    </w:p>
    <w:p w14:paraId="3E3066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2. 谱图采集：  </w:t>
      </w:r>
    </w:p>
    <w:p w14:paraId="612524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¹H NMR：识别甲基（δ 0.5–1.5）、羟基（δ 4–6）、芳环质子（δ 6–8）。  </w:t>
      </w:r>
    </w:p>
    <w:p w14:paraId="3F92AE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¹³C NMR：区分羰基（δ 180–220）、季碳（δ 30–100）。  </w:t>
      </w:r>
    </w:p>
    <w:p w14:paraId="16EF89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二维谱（HSQC、HMBC）：明确碳氢关联及远程耦合。  </w:t>
      </w:r>
    </w:p>
    <w:p w14:paraId="451E55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优势：  </w:t>
      </w:r>
    </w:p>
    <w:p w14:paraId="4266FE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提供原子级结构信息（如三萜的甲基分布、蒽醌的羟基取代位点）。  </w:t>
      </w:r>
    </w:p>
    <w:p w14:paraId="7046A5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无需标准品对照即可解析未知物。  </w:t>
      </w:r>
    </w:p>
    <w:p w14:paraId="24EBC1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局限性：  </w:t>
      </w:r>
    </w:p>
    <w:p w14:paraId="38E207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样品需高纯度（&gt;95%）。  </w:t>
      </w:r>
    </w:p>
    <w:p w14:paraId="35DD8F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耗时长，设备成本高。  </w:t>
      </w:r>
    </w:p>
    <w:p w14:paraId="07360B52">
      <w:pPr>
        <w:rPr>
          <w:rFonts w:hint="default" w:ascii="Times New Roman" w:hAnsi="Times New Roman" w:cs="Times New Roman"/>
        </w:rPr>
      </w:pPr>
    </w:p>
    <w:p w14:paraId="364702D8">
      <w:pPr>
        <w:rPr>
          <w:rFonts w:hint="default" w:ascii="Times New Roman" w:hAnsi="Times New Roman" w:cs="Times New Roman" w:eastAsiaTheme="minorEastAsia"/>
          <w:lang w:eastAsia="zh-CN"/>
        </w:rPr>
      </w:pPr>
    </w:p>
    <w:p w14:paraId="3FDF8BC8">
      <w:pPr>
        <w:rPr>
          <w:rFonts w:hint="default" w:ascii="Times New Roman" w:hAnsi="Times New Roman" w:cs="Times New Roman"/>
        </w:rPr>
      </w:pPr>
    </w:p>
    <w:p w14:paraId="1097E9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cs="Times New Roman"/>
          <w:lang w:val="en-US" w:eastAsia="zh-CN"/>
        </w:rPr>
        <w:t>C)</w:t>
      </w:r>
      <w:r>
        <w:rPr>
          <w:rFonts w:hint="default" w:ascii="Times New Roman" w:hAnsi="Times New Roman" w:cs="Times New Roman"/>
        </w:rPr>
        <w:t xml:space="preserve"> 红外光谱（IR）快速筛查  </w:t>
      </w:r>
    </w:p>
    <w:p w14:paraId="448382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适用场景：官能团初步鉴定（如羟基、羰基、氨基）。  </w:t>
      </w:r>
    </w:p>
    <w:p w14:paraId="6E6A80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方案步骤：  </w:t>
      </w:r>
    </w:p>
    <w:p w14:paraId="345835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1. 压片法：样品与KBr混合压片。  </w:t>
      </w:r>
    </w:p>
    <w:p w14:paraId="491B06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2. 扫描范围：400–4000 cm⁻¹。  </w:t>
      </w:r>
    </w:p>
    <w:p w14:paraId="0883BF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特征峰解析：  </w:t>
      </w:r>
    </w:p>
    <w:p w14:paraId="6FDB8E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醌类：1700–1650 cm⁻¹（C=O伸缩振动）。  </w:t>
      </w:r>
    </w:p>
    <w:p w14:paraId="33148A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苯丙素：1600 cm⁻¹（苯环C=C）、3400 cm⁻¹（OH）。  </w:t>
      </w:r>
    </w:p>
    <w:p w14:paraId="78BD41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生物碱：2500–2700 cm⁻¹（季铵盐CN⁺）。  </w:t>
      </w:r>
    </w:p>
    <w:p w14:paraId="14A5FE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优势：  </w:t>
      </w:r>
    </w:p>
    <w:p w14:paraId="426392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快速、低成本。  </w:t>
      </w:r>
    </w:p>
    <w:p w14:paraId="44030D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辅助区分醌类（羰基）与生物碱（含氮基团）。  </w:t>
      </w:r>
    </w:p>
    <w:p w14:paraId="2659BF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局限性：  </w:t>
      </w:r>
    </w:p>
    <w:p w14:paraId="42311B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无法区分同分异构体（如蒽醌与萘醌）。  </w:t>
      </w:r>
    </w:p>
    <w:p w14:paraId="2F8C33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需结合其他方法验证。  </w:t>
      </w:r>
    </w:p>
    <w:p w14:paraId="087C09ED">
      <w:pPr>
        <w:rPr>
          <w:rFonts w:hint="default" w:ascii="Times New Roman" w:hAnsi="Times New Roman" w:cs="Times New Roman"/>
        </w:rPr>
      </w:pPr>
    </w:p>
    <w:p w14:paraId="2EF93066">
      <w:pPr>
        <w:rPr>
          <w:rFonts w:hint="default" w:ascii="Times New Roman" w:hAnsi="Times New Roman" w:cs="Times New Roman" w:eastAsiaTheme="minorEastAsia"/>
          <w:lang w:eastAsia="zh-CN"/>
        </w:rPr>
      </w:pPr>
    </w:p>
    <w:p w14:paraId="7679D0FB">
      <w:pPr>
        <w:rPr>
          <w:rFonts w:hint="default" w:ascii="Times New Roman" w:hAnsi="Times New Roman" w:cs="Times New Roman"/>
        </w:rPr>
      </w:pPr>
    </w:p>
    <w:p w14:paraId="1ADD3F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cs="Times New Roman"/>
          <w:lang w:val="en-US" w:eastAsia="zh-CN"/>
        </w:rPr>
        <w:t>D)</w:t>
      </w:r>
      <w:r>
        <w:rPr>
          <w:rFonts w:hint="default" w:ascii="Times New Roman" w:hAnsi="Times New Roman" w:cs="Times New Roman"/>
        </w:rPr>
        <w:t xml:space="preserve">. 二维薄层色谱（2DTLC）  </w:t>
      </w:r>
    </w:p>
    <w:p w14:paraId="27E226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适用场景：提高复杂混合物的分离分辨率。  </w:t>
      </w:r>
    </w:p>
    <w:p w14:paraId="2D77D7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方案步骤：  </w:t>
      </w:r>
    </w:p>
    <w:p w14:paraId="5C8FAA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1. 第一维展开：硅胶板，展开剂1（如二氯甲烷:甲醇=20:1）。  </w:t>
      </w:r>
    </w:p>
    <w:p w14:paraId="37EBC9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2. 干燥后旋转90°，进行第二维展开：展开剂2（如石油醚:乙酸乙酯=3:1）。  </w:t>
      </w:r>
    </w:p>
    <w:p w14:paraId="7D3B9C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3. 显色：硫酸香草醛（萜类）、碘化铋钾（生物碱）。  </w:t>
      </w:r>
    </w:p>
    <w:p w14:paraId="74E75A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优势：  </w:t>
      </w:r>
    </w:p>
    <w:p w14:paraId="41609D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分离重叠斑点（如极性相近的苯丙素与生物碱）。  </w:t>
      </w:r>
    </w:p>
    <w:p w14:paraId="5CF4BA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显色剂分步喷洒，减少干扰。  </w:t>
      </w:r>
    </w:p>
    <w:p w14:paraId="7E30AC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局限性：  </w:t>
      </w:r>
    </w:p>
    <w:p w14:paraId="2E73DB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操作繁琐，需优化展开剂比例。  </w:t>
      </w:r>
    </w:p>
    <w:p w14:paraId="680BCD47">
      <w:pPr>
        <w:rPr>
          <w:rFonts w:hint="default" w:ascii="Times New Roman" w:hAnsi="Times New Roman" w:cs="Times New Roman"/>
        </w:rPr>
      </w:pPr>
    </w:p>
    <w:p w14:paraId="463F521A">
      <w:pPr>
        <w:rPr>
          <w:rFonts w:hint="default" w:ascii="Times New Roman" w:hAnsi="Times New Roman" w:cs="Times New Roman" w:eastAsiaTheme="minorEastAsia"/>
          <w:lang w:eastAsia="zh-CN"/>
        </w:rPr>
      </w:pPr>
    </w:p>
    <w:p w14:paraId="75AB725D">
      <w:pPr>
        <w:rPr>
          <w:rFonts w:hint="default" w:ascii="Times New Roman" w:hAnsi="Times New Roman" w:cs="Times New Roman"/>
        </w:rPr>
      </w:pPr>
    </w:p>
    <w:p w14:paraId="19C96C3D">
      <w:pPr>
        <w:rPr>
          <w:rFonts w:hint="default" w:ascii="Times New Roman" w:hAnsi="Times New Roman" w:cs="Times New Roman"/>
        </w:rPr>
      </w:pPr>
      <w:r>
        <w:rPr>
          <w:rFonts w:hint="eastAsia" w:cs="Times New Roman"/>
          <w:lang w:val="en-US" w:eastAsia="zh-CN"/>
        </w:rPr>
        <w:t>E)</w:t>
      </w:r>
      <w:r>
        <w:rPr>
          <w:rFonts w:hint="default" w:ascii="Times New Roman" w:hAnsi="Times New Roman" w:cs="Times New Roman"/>
        </w:rPr>
        <w:t xml:space="preserve">. 化学衍生化辅助鉴定  </w:t>
      </w:r>
    </w:p>
    <w:p w14:paraId="261AE7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适用场景：增强目标物检测灵敏度或改变极性。  </w:t>
      </w:r>
    </w:p>
    <w:p w14:paraId="76FDC7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方案步骤：  </w:t>
      </w:r>
    </w:p>
    <w:p w14:paraId="0EE469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1. 乙酰化反应（针对羟基）：  </w:t>
      </w:r>
    </w:p>
    <w:p w14:paraId="1AA09C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样品与乙酸酐/吡啶反应，生成乙酰化衍生物。  </w:t>
      </w:r>
    </w:p>
    <w:p w14:paraId="52B341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TLC验证极性变化（Rf值升高）。  </w:t>
      </w:r>
    </w:p>
    <w:p w14:paraId="074846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2. 硼氢化钠还原（针对醌类）：  </w:t>
      </w:r>
    </w:p>
    <w:p w14:paraId="225D5B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将醌还原为氢醌，紫外吸收峰蓝移（如λmax从400 nm→300 nm）。  </w:t>
      </w:r>
    </w:p>
    <w:p w14:paraId="38AB09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3. 甲基化反应（针对羧酸）：  </w:t>
      </w:r>
    </w:p>
    <w:p w14:paraId="4D0DA3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与重氮甲烷反应，羧酸→甲酯（改善GCMS挥发性）。  </w:t>
      </w:r>
    </w:p>
    <w:p w14:paraId="43DEF7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优势：  </w:t>
      </w:r>
    </w:p>
    <w:p w14:paraId="6F6883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通过反应特性间接推断官能团（如羟基、羰基）。  </w:t>
      </w:r>
    </w:p>
    <w:p w14:paraId="19FCD0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提高色谱分离效果。  </w:t>
      </w:r>
    </w:p>
    <w:p w14:paraId="2B426A1E">
      <w:pPr>
        <w:rPr>
          <w:rFonts w:hint="default" w:ascii="Times New Roman" w:hAnsi="Times New Roman" w:cs="Times New Roman"/>
        </w:rPr>
      </w:pPr>
    </w:p>
    <w:p w14:paraId="3AEEA43E">
      <w:pPr>
        <w:rPr>
          <w:rFonts w:hint="default" w:ascii="Times New Roman" w:hAnsi="Times New Roman" w:cs="Times New Roman" w:eastAsiaTheme="minorEastAsia"/>
          <w:lang w:eastAsia="zh-CN"/>
        </w:rPr>
      </w:pPr>
    </w:p>
    <w:p w14:paraId="1845E1C2">
      <w:pPr>
        <w:rPr>
          <w:rFonts w:hint="default" w:ascii="Times New Roman" w:hAnsi="Times New Roman" w:cs="Times New Roman"/>
        </w:rPr>
      </w:pPr>
    </w:p>
    <w:p w14:paraId="39E2141A">
      <w:pPr>
        <w:rPr>
          <w:rFonts w:hint="default" w:ascii="Times New Roman" w:hAnsi="Times New Roman" w:cs="Times New Roman"/>
        </w:rPr>
      </w:pPr>
      <w:r>
        <w:rPr>
          <w:rFonts w:hint="eastAsia" w:cs="Times New Roman"/>
          <w:lang w:val="en-US" w:eastAsia="zh-CN"/>
        </w:rPr>
        <w:t>F)</w:t>
      </w:r>
      <w:r>
        <w:rPr>
          <w:rFonts w:hint="default" w:ascii="Times New Roman" w:hAnsi="Times New Roman" w:cs="Times New Roman"/>
        </w:rPr>
        <w:t xml:space="preserve">. 荧光光谱分析  </w:t>
      </w:r>
    </w:p>
    <w:p w14:paraId="72975A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适用场景：苯丙素、生物碱的共轭体系鉴定。  </w:t>
      </w:r>
    </w:p>
    <w:p w14:paraId="3DAD1E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方案步骤：  </w:t>
      </w:r>
    </w:p>
    <w:p w14:paraId="3435F7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1. 激发波长设定：苯丙素（280 nm）、生物碱（345 nm）。  </w:t>
      </w:r>
    </w:p>
    <w:p w14:paraId="34088B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2. 扫描发射光谱（300–500 nm）。  </w:t>
      </w:r>
    </w:p>
    <w:p w14:paraId="381D08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特征信号：  </w:t>
      </w:r>
    </w:p>
    <w:p w14:paraId="4F9A5B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苯丙素：λem ~320 nm（丙烯酸共轭）。  </w:t>
      </w:r>
    </w:p>
    <w:p w14:paraId="364692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生物碱：λem ~420 nm（异喹啉环荧光）。  </w:t>
      </w:r>
    </w:p>
    <w:p w14:paraId="64A3D2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优势：  </w:t>
      </w:r>
    </w:p>
    <w:p w14:paraId="44623B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高灵敏度，适用于低浓度样品。  </w:t>
      </w:r>
    </w:p>
    <w:p w14:paraId="6557CD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区分紫外吸收相近的化合物。  </w:t>
      </w:r>
    </w:p>
    <w:p w14:paraId="32B80C36">
      <w:pPr>
        <w:rPr>
          <w:rFonts w:hint="default" w:ascii="Times New Roman" w:hAnsi="Times New Roman" w:cs="Times New Roman"/>
        </w:rPr>
      </w:pPr>
    </w:p>
    <w:p w14:paraId="1982B0F6">
      <w:pPr>
        <w:rPr>
          <w:rFonts w:hint="default" w:ascii="Times New Roman" w:hAnsi="Times New Roman" w:cs="Times New Roman" w:eastAsiaTheme="minorEastAsia"/>
          <w:lang w:eastAsia="zh-CN"/>
        </w:rPr>
      </w:pPr>
    </w:p>
    <w:p w14:paraId="1E2CC326">
      <w:pPr>
        <w:rPr>
          <w:rFonts w:hint="default" w:ascii="Times New Roman" w:hAnsi="Times New Roman" w:cs="Times New Roman"/>
        </w:rPr>
      </w:pPr>
    </w:p>
    <w:p w14:paraId="397DC820">
      <w:pPr>
        <w:rPr>
          <w:rFonts w:hint="default" w:ascii="Times New Roman" w:hAnsi="Times New Roman" w:cs="Times New Roman"/>
        </w:rPr>
      </w:pPr>
    </w:p>
    <w:p w14:paraId="6779FCC9">
      <w:pPr>
        <w:rPr>
          <w:rFonts w:hint="default" w:ascii="Times New Roman" w:hAnsi="Times New Roman" w:cs="Times New Roman"/>
        </w:rPr>
      </w:pPr>
    </w:p>
    <w:p w14:paraId="23928B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74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S Mincho">
    <w:altName w:val="MS UI Gothic"/>
    <w:panose1 w:val="02020609040205080304"/>
    <w:charset w:val="80"/>
    <w:family w:val="auto"/>
    <w:pitch w:val="default"/>
    <w:sig w:usb0="00000000" w:usb1="00000000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0E5A99"/>
    <w:multiLevelType w:val="singleLevel"/>
    <w:tmpl w:val="D70E5A99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IyODdmZjY0Zjg0ZWQ3ZmVhZDA3NDFkNTYwZGEwNjYifQ=="/>
  </w:docVars>
  <w:rsids>
    <w:rsidRoot w:val="00A357B9"/>
    <w:rsid w:val="000A0E2E"/>
    <w:rsid w:val="001031EF"/>
    <w:rsid w:val="001A65BF"/>
    <w:rsid w:val="001D005D"/>
    <w:rsid w:val="001E206A"/>
    <w:rsid w:val="001E7D4E"/>
    <w:rsid w:val="0021389A"/>
    <w:rsid w:val="00230A0A"/>
    <w:rsid w:val="00264666"/>
    <w:rsid w:val="002D05A9"/>
    <w:rsid w:val="002F2047"/>
    <w:rsid w:val="00304048"/>
    <w:rsid w:val="00305AFC"/>
    <w:rsid w:val="00332279"/>
    <w:rsid w:val="00347C2F"/>
    <w:rsid w:val="00375755"/>
    <w:rsid w:val="00394810"/>
    <w:rsid w:val="0039696B"/>
    <w:rsid w:val="003A17E8"/>
    <w:rsid w:val="003A7C69"/>
    <w:rsid w:val="003B6176"/>
    <w:rsid w:val="003C043F"/>
    <w:rsid w:val="003C7976"/>
    <w:rsid w:val="003D11EE"/>
    <w:rsid w:val="003D14FC"/>
    <w:rsid w:val="003F2092"/>
    <w:rsid w:val="003F253B"/>
    <w:rsid w:val="00415A2A"/>
    <w:rsid w:val="00432FA7"/>
    <w:rsid w:val="00485C6A"/>
    <w:rsid w:val="00494E46"/>
    <w:rsid w:val="004A14AC"/>
    <w:rsid w:val="004A37E8"/>
    <w:rsid w:val="004D353A"/>
    <w:rsid w:val="004F3977"/>
    <w:rsid w:val="004F5BEB"/>
    <w:rsid w:val="00517CED"/>
    <w:rsid w:val="00521370"/>
    <w:rsid w:val="0052447D"/>
    <w:rsid w:val="00541C1C"/>
    <w:rsid w:val="005709D6"/>
    <w:rsid w:val="005858FF"/>
    <w:rsid w:val="005C15F6"/>
    <w:rsid w:val="005E77BD"/>
    <w:rsid w:val="006226B8"/>
    <w:rsid w:val="00623E6C"/>
    <w:rsid w:val="00685C21"/>
    <w:rsid w:val="00690456"/>
    <w:rsid w:val="00694F8D"/>
    <w:rsid w:val="006A2BA3"/>
    <w:rsid w:val="006A487C"/>
    <w:rsid w:val="006A66F7"/>
    <w:rsid w:val="00712199"/>
    <w:rsid w:val="00735C43"/>
    <w:rsid w:val="0076394D"/>
    <w:rsid w:val="0076591F"/>
    <w:rsid w:val="00784F1C"/>
    <w:rsid w:val="0079595D"/>
    <w:rsid w:val="007B18D9"/>
    <w:rsid w:val="007E32EF"/>
    <w:rsid w:val="007F4E32"/>
    <w:rsid w:val="00857ABC"/>
    <w:rsid w:val="008812D2"/>
    <w:rsid w:val="008C5410"/>
    <w:rsid w:val="008E37E5"/>
    <w:rsid w:val="008F2497"/>
    <w:rsid w:val="008F4C72"/>
    <w:rsid w:val="009043DA"/>
    <w:rsid w:val="009240C0"/>
    <w:rsid w:val="009329FE"/>
    <w:rsid w:val="00942624"/>
    <w:rsid w:val="00977575"/>
    <w:rsid w:val="009C762B"/>
    <w:rsid w:val="009D4779"/>
    <w:rsid w:val="009D701C"/>
    <w:rsid w:val="00A357B9"/>
    <w:rsid w:val="00A7675D"/>
    <w:rsid w:val="00A773BF"/>
    <w:rsid w:val="00A92CAA"/>
    <w:rsid w:val="00AC288A"/>
    <w:rsid w:val="00AD377F"/>
    <w:rsid w:val="00AF6AD6"/>
    <w:rsid w:val="00B07A09"/>
    <w:rsid w:val="00B20D17"/>
    <w:rsid w:val="00B44D5B"/>
    <w:rsid w:val="00B47C67"/>
    <w:rsid w:val="00B50323"/>
    <w:rsid w:val="00B71BD9"/>
    <w:rsid w:val="00B74045"/>
    <w:rsid w:val="00B77CFB"/>
    <w:rsid w:val="00BF0507"/>
    <w:rsid w:val="00C60062"/>
    <w:rsid w:val="00C64FD0"/>
    <w:rsid w:val="00C92BE6"/>
    <w:rsid w:val="00CF24C1"/>
    <w:rsid w:val="00CF4A0A"/>
    <w:rsid w:val="00D0300C"/>
    <w:rsid w:val="00D168A1"/>
    <w:rsid w:val="00D43303"/>
    <w:rsid w:val="00D75C14"/>
    <w:rsid w:val="00D81C13"/>
    <w:rsid w:val="00D96F41"/>
    <w:rsid w:val="00DA2642"/>
    <w:rsid w:val="00DB75EB"/>
    <w:rsid w:val="00E02CB0"/>
    <w:rsid w:val="00E51FC8"/>
    <w:rsid w:val="00E63C18"/>
    <w:rsid w:val="00E67AA4"/>
    <w:rsid w:val="00E81253"/>
    <w:rsid w:val="00E934BD"/>
    <w:rsid w:val="00EE1930"/>
    <w:rsid w:val="00F015CC"/>
    <w:rsid w:val="00F15305"/>
    <w:rsid w:val="00F3326A"/>
    <w:rsid w:val="00F9367A"/>
    <w:rsid w:val="00FC5788"/>
    <w:rsid w:val="00FD072A"/>
    <w:rsid w:val="00FE28AC"/>
    <w:rsid w:val="00FF422F"/>
    <w:rsid w:val="0E715E49"/>
    <w:rsid w:val="10196E09"/>
    <w:rsid w:val="105416B7"/>
    <w:rsid w:val="14C47552"/>
    <w:rsid w:val="157C77A9"/>
    <w:rsid w:val="20B4438F"/>
    <w:rsid w:val="37BC1229"/>
    <w:rsid w:val="4C0A7831"/>
    <w:rsid w:val="4C740F46"/>
    <w:rsid w:val="55D17AC1"/>
    <w:rsid w:val="5B616EA1"/>
    <w:rsid w:val="6172607C"/>
    <w:rsid w:val="6F3951D0"/>
    <w:rsid w:val="75C75000"/>
    <w:rsid w:val="79982FA7"/>
    <w:rsid w:val="7D885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6"/>
    <w:qFormat/>
    <w:uiPriority w:val="0"/>
    <w:pPr>
      <w:jc w:val="left"/>
    </w:pPr>
  </w:style>
  <w:style w:type="paragraph" w:styleId="3">
    <w:name w:val="Balloon Text"/>
    <w:basedOn w:val="1"/>
    <w:link w:val="18"/>
    <w:qFormat/>
    <w:uiPriority w:val="0"/>
    <w:rPr>
      <w:sz w:val="18"/>
      <w:szCs w:val="18"/>
    </w:rPr>
  </w:style>
  <w:style w:type="paragraph" w:styleId="4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7"/>
    <w:qFormat/>
    <w:uiPriority w:val="0"/>
    <w:rPr>
      <w:b/>
      <w:bCs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qFormat/>
    <w:uiPriority w:val="0"/>
    <w:rPr>
      <w:sz w:val="21"/>
      <w:szCs w:val="21"/>
    </w:rPr>
  </w:style>
  <w:style w:type="character" w:customStyle="1" w:styleId="11">
    <w:name w:val="页眉 Char"/>
    <w:link w:val="5"/>
    <w:qFormat/>
    <w:uiPriority w:val="0"/>
    <w:rPr>
      <w:kern w:val="2"/>
      <w:sz w:val="18"/>
      <w:szCs w:val="18"/>
    </w:rPr>
  </w:style>
  <w:style w:type="character" w:customStyle="1" w:styleId="12">
    <w:name w:val="页脚 Char"/>
    <w:link w:val="4"/>
    <w:qFormat/>
    <w:uiPriority w:val="0"/>
    <w:rPr>
      <w:kern w:val="2"/>
      <w:sz w:val="18"/>
      <w:szCs w:val="18"/>
    </w:rPr>
  </w:style>
  <w:style w:type="paragraph" w:styleId="13">
    <w:name w:val="Quote"/>
    <w:basedOn w:val="1"/>
    <w:next w:val="1"/>
    <w:link w:val="14"/>
    <w:qFormat/>
    <w:uiPriority w:val="29"/>
    <w:rPr>
      <w:i/>
      <w:iCs/>
      <w:color w:val="000000"/>
    </w:rPr>
  </w:style>
  <w:style w:type="character" w:customStyle="1" w:styleId="14">
    <w:name w:val="引用 Char"/>
    <w:link w:val="13"/>
    <w:uiPriority w:val="29"/>
    <w:rPr>
      <w:i/>
      <w:iCs/>
      <w:color w:val="000000"/>
      <w:kern w:val="2"/>
      <w:sz w:val="21"/>
      <w:szCs w:val="24"/>
    </w:rPr>
  </w:style>
  <w:style w:type="paragraph" w:styleId="15">
    <w:name w:val="List Paragraph"/>
    <w:basedOn w:val="1"/>
    <w:qFormat/>
    <w:uiPriority w:val="34"/>
    <w:pPr>
      <w:widowControl/>
      <w:spacing w:after="160" w:line="259" w:lineRule="auto"/>
      <w:ind w:firstLine="420" w:firstLineChars="200"/>
      <w:jc w:val="left"/>
    </w:pPr>
    <w:rPr>
      <w:rFonts w:ascii="Calibri" w:hAnsi="Calibri"/>
      <w:kern w:val="0"/>
      <w:sz w:val="22"/>
      <w:szCs w:val="22"/>
      <w:lang w:val="en-GB"/>
    </w:rPr>
  </w:style>
  <w:style w:type="character" w:customStyle="1" w:styleId="16">
    <w:name w:val="批注文字 字符"/>
    <w:link w:val="2"/>
    <w:qFormat/>
    <w:uiPriority w:val="0"/>
    <w:rPr>
      <w:kern w:val="2"/>
      <w:sz w:val="21"/>
      <w:szCs w:val="24"/>
    </w:rPr>
  </w:style>
  <w:style w:type="character" w:customStyle="1" w:styleId="17">
    <w:name w:val="批注主题 字符"/>
    <w:link w:val="6"/>
    <w:qFormat/>
    <w:uiPriority w:val="0"/>
    <w:rPr>
      <w:b/>
      <w:bCs/>
      <w:kern w:val="2"/>
      <w:sz w:val="21"/>
      <w:szCs w:val="24"/>
    </w:rPr>
  </w:style>
  <w:style w:type="character" w:customStyle="1" w:styleId="18">
    <w:name w:val="批注框文本 字符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8</Pages>
  <Words>2245</Words>
  <Characters>2581</Characters>
  <Lines>1</Lines>
  <Paragraphs>1</Paragraphs>
  <TotalTime>1</TotalTime>
  <ScaleCrop>false</ScaleCrop>
  <LinksUpToDate>false</LinksUpToDate>
  <CharactersWithSpaces>3063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2022-02-21T10:10:00Z</dcterms:created>
  <dc:creator>微软用户</dc:creator>
  <cp:lastModifiedBy> 麟</cp:lastModifiedBy>
  <cp:lastPrinted>2019-11-28T08:49:00Z</cp:lastPrinted>
  <dcterms:modified xsi:type="dcterms:W3CDTF">2026-08-10T08:51:42Z</dcterms:modified>
  <dc:title>实验报告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182A10E6A0E64624B8C62D069419078D_12</vt:lpwstr>
  </property>
  <property fmtid="{D5CDD505-2E9C-101B-9397-08002B2CF9AE}" pid="4" name="KSOTemplateDocerSaveRecord">
    <vt:lpwstr>eyJoZGlkIjoiOWYyMzVmZTBjYjExYjUxNTY5YzZhZmIxZjJlZTU5OTgiLCJ1c2VySWQiOiIxNjM4OTk2ODkwIn0=</vt:lpwstr>
  </property>
</Properties>
</file>