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944B98">
      <w:pPr>
        <w:pStyle w:val="1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="华文楷体"/>
          <w:i w:val="0"/>
          <w:snapToGrid w:val="0"/>
          <w:lang w:val="en-US" w:eastAsia="zh-CN"/>
        </w:rPr>
      </w:pPr>
      <w:bookmarkStart w:id="0" w:name="_GoBack"/>
      <w:bookmarkEnd w:id="0"/>
      <w:r>
        <w:rPr>
          <w:rFonts w:hint="eastAsia"/>
          <w:i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4244340</wp:posOffset>
                </wp:positionH>
                <wp:positionV relativeFrom="paragraph">
                  <wp:posOffset>-396240</wp:posOffset>
                </wp:positionV>
                <wp:extent cx="1927860" cy="1188720"/>
                <wp:effectExtent l="0" t="381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7860" cy="1188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861D7C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专业：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>海洋科学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</w:t>
                            </w:r>
                          </w:p>
                          <w:p w14:paraId="7C1E0601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姓名：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</w:t>
                            </w:r>
                          </w:p>
                          <w:p w14:paraId="5008267E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学号：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</w:t>
                            </w:r>
                          </w:p>
                          <w:p w14:paraId="79E556A8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日期：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>2025.4.27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   </w:t>
                            </w:r>
                          </w:p>
                          <w:p w14:paraId="2545C162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地点：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>海工楼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334.2pt;margin-top:-31.2pt;height:93.6pt;width:151.8pt;z-index:251659264;mso-width-relative:page;mso-height-relative:page;" fillcolor="#FFFFFF" filled="t" stroked="f" coordsize="21600,21600" o:gfxdata="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MBjcG/YAAAACwEA&#10;AA8AAAAAAAAAAQAgAAAAIgAAAGRycy9kb3ducmV2LnhtbFBLAQIUABQAAAAIAIdO4kCzLNluGgIA&#10;AD4EAAAOAAAAAAAAAAEAIAAAACcBAABkcnMvZTJvRG9jLnhtbFBLBQYAAAAABgAGAFkBAACzBQAA&#10;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5A861D7C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专业：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>海洋科学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</w:t>
                      </w:r>
                    </w:p>
                    <w:p w14:paraId="7C1E0601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  <w:u w:val="single"/>
                        </w:rPr>
                      </w:pPr>
                      <w:r>
                        <w:rPr>
                          <w:rFonts w:hint="eastAsia"/>
                        </w:rPr>
                        <w:t>姓名：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</w:t>
                      </w:r>
                      <w:r>
                        <w:rPr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</w:t>
                      </w:r>
                    </w:p>
                    <w:p w14:paraId="5008267E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学号：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</w:t>
                      </w:r>
                      <w:r>
                        <w:rPr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</w:t>
                      </w:r>
                    </w:p>
                    <w:p w14:paraId="79E556A8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日期：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>2025.4.27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   </w:t>
                      </w:r>
                    </w:p>
                    <w:p w14:paraId="2545C162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  <w:u w:val="single"/>
                        </w:rPr>
                      </w:pPr>
                      <w:r>
                        <w:rPr>
                          <w:rFonts w:hint="eastAsia"/>
                        </w:rPr>
                        <w:t>地点：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>海工楼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i w:val="0"/>
          <w:snapToGrid w:val="0"/>
        </w:rPr>
        <w:t xml:space="preserve">          </w:t>
      </w:r>
      <w:r>
        <w:rPr>
          <w:rFonts w:hint="eastAsia"/>
          <w:i w:val="0"/>
        </w:rPr>
        <w:drawing>
          <wp:inline distT="0" distB="0" distL="0" distR="0">
            <wp:extent cx="1600200" cy="4343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华文楷体" w:hAnsi="华文楷体" w:eastAsia="华文楷体"/>
          <w:b/>
          <w:i w:val="0"/>
          <w:snapToGrid w:val="0"/>
          <w:spacing w:val="20"/>
          <w:position w:val="18"/>
          <w:sz w:val="48"/>
        </w:rPr>
        <w:t>实验报告</w:t>
      </w:r>
      <w:r>
        <w:rPr>
          <w:rFonts w:hint="eastAsia" w:ascii="华文楷体" w:hAnsi="华文楷体" w:eastAsia="华文楷体"/>
          <w:b/>
          <w:i w:val="0"/>
          <w:snapToGrid w:val="0"/>
          <w:spacing w:val="20"/>
          <w:position w:val="18"/>
          <w:sz w:val="48"/>
          <w:lang w:val="en-US" w:eastAsia="zh-CN"/>
        </w:rPr>
        <w:t xml:space="preserve"> </w:t>
      </w:r>
    </w:p>
    <w:p w14:paraId="19C4CA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napToGrid w:val="0"/>
          <w:kern w:val="0"/>
          <w:position w:val="6"/>
          <w:szCs w:val="21"/>
        </w:rPr>
      </w:pPr>
    </w:p>
    <w:p w14:paraId="25C57F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课程名称：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</w:t>
      </w:r>
      <w:r>
        <w:rPr>
          <w:rFonts w:hint="eastAsia"/>
          <w:snapToGrid w:val="0"/>
          <w:kern w:val="0"/>
          <w:position w:val="6"/>
          <w:szCs w:val="21"/>
          <w:u w:val="single"/>
          <w:lang w:val="en-US" w:eastAsia="zh-CN"/>
        </w:rPr>
        <w:t>海洋天然产物化学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            </w:t>
      </w:r>
      <w:r>
        <w:rPr>
          <w:rFonts w:hint="eastAsia"/>
          <w:snapToGrid w:val="0"/>
          <w:kern w:val="0"/>
          <w:position w:val="6"/>
          <w:szCs w:val="21"/>
        </w:rPr>
        <w:t>指导老师：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</w:t>
      </w:r>
      <w:r>
        <w:rPr>
          <w:rFonts w:hint="eastAsia"/>
          <w:snapToGrid w:val="0"/>
          <w:kern w:val="0"/>
          <w:position w:val="6"/>
          <w:szCs w:val="21"/>
          <w:u w:val="single"/>
          <w:lang w:val="en-US" w:eastAsia="zh-CN"/>
        </w:rPr>
        <w:t>徐金钟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     </w:t>
      </w:r>
      <w:r>
        <w:rPr>
          <w:rFonts w:hint="eastAsia"/>
          <w:snapToGrid w:val="0"/>
          <w:kern w:val="0"/>
          <w:position w:val="6"/>
          <w:szCs w:val="21"/>
        </w:rPr>
        <w:t>成绩：________________</w:t>
      </w:r>
    </w:p>
    <w:p w14:paraId="3E38A5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napToGrid w:val="0"/>
          <w:kern w:val="0"/>
          <w:position w:val="6"/>
          <w:szCs w:val="21"/>
          <w:u w:val="single"/>
        </w:rPr>
      </w:pPr>
      <w:r>
        <w:rPr>
          <w:rFonts w:hint="eastAsia"/>
          <w:snapToGrid w:val="0"/>
          <w:kern w:val="0"/>
          <w:position w:val="6"/>
          <w:szCs w:val="21"/>
        </w:rPr>
        <w:t>实验名称：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</w:t>
      </w:r>
      <w:r>
        <w:rPr>
          <w:rFonts w:hint="eastAsia"/>
          <w:snapToGrid w:val="0"/>
          <w:kern w:val="0"/>
          <w:position w:val="6"/>
          <w:szCs w:val="21"/>
          <w:u w:val="single"/>
          <w:lang w:val="en-US" w:eastAsia="zh-CN"/>
        </w:rPr>
        <w:t>认识糖苷类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      </w:t>
      </w:r>
    </w:p>
    <w:p w14:paraId="17B905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同组学生姓名：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</w:t>
      </w:r>
      <w:r>
        <w:rPr>
          <w:rFonts w:hint="eastAsia"/>
          <w:snapToGrid w:val="0"/>
          <w:kern w:val="0"/>
          <w:position w:val="6"/>
          <w:szCs w:val="21"/>
          <w:u w:val="single"/>
          <w:lang w:val="en-US" w:eastAsia="zh-CN"/>
        </w:rPr>
        <w:t>魏元瀚，栾雨桐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   </w:t>
      </w:r>
    </w:p>
    <w:p w14:paraId="533762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  <w:t>一、实验目的与要求</w:t>
      </w:r>
    </w:p>
    <w:p w14:paraId="5B9FC3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了解糖苷类物质的结构特征及苷键性质</w:t>
      </w:r>
    </w:p>
    <w:p w14:paraId="2AD36F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  <w:t>二、实验原理与内容</w:t>
      </w:r>
    </w:p>
    <w:p w14:paraId="2A424B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 xml:space="preserve">1. 概述 </w:t>
      </w:r>
    </w:p>
    <w:p w14:paraId="7BF246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1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 xml:space="preserve">芦丁（Rutin）广泛存在于植物界中，如药草、荞麦、槐花、蒲公英等。芦 </w:t>
      </w:r>
    </w:p>
    <w:p w14:paraId="13DB4D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1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 xml:space="preserve">丁是由槲皮素（quercetin）C-3 上的羟基与芸香糖（Rutinose）即 1 分子 </w:t>
      </w:r>
    </w:p>
    <w:p w14:paraId="680C49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>葡萄糖和 1 分子鼠李糖以 1-6 连接组成的双塘脱水而成的苷。</w:t>
      </w:r>
    </w:p>
    <w:p w14:paraId="16D3F9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center"/>
        <w:textAlignment w:val="auto"/>
      </w:pPr>
      <w:r>
        <w:drawing>
          <wp:inline distT="0" distB="0" distL="114300" distR="114300">
            <wp:extent cx="1676400" cy="1714500"/>
            <wp:effectExtent l="0" t="0" r="0" b="762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8CF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 xml:space="preserve">2. 糖苷及其苷元的性质比较实验 </w:t>
      </w:r>
    </w:p>
    <w:p w14:paraId="68B626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1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 xml:space="preserve">分别测试芦丁及槲皮素的溶解性（溶剂去离子水、二氯甲烷）、紫外光 </w:t>
      </w:r>
    </w:p>
    <w:p w14:paraId="66A6E0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1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 xml:space="preserve">谱、极性（ODS-HPLC 色谱分析） </w:t>
      </w:r>
    </w:p>
    <w:p w14:paraId="5DF710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85" w:firstLineChars="374"/>
        <w:textAlignment w:val="auto"/>
        <w:rPr>
          <w:rFonts w:hint="eastAsia" w:ascii="宋体" w:hAnsi="宋体"/>
          <w:snapToGrid w:val="0"/>
          <w:kern w:val="0"/>
          <w:position w:val="6"/>
          <w:sz w:val="21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 xml:space="preserve">2.1 取 4 个试管，称取芦丁、槲皮素标准品各 0.002g 至试管中，分别用 </w:t>
      </w:r>
    </w:p>
    <w:p w14:paraId="1E4C1D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1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 xml:space="preserve">5mL 去离子水或二氯甲烷溶解，混合均匀（超声或振荡），观察标 </w:t>
      </w:r>
    </w:p>
    <w:p w14:paraId="4A4627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1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 xml:space="preserve">准品溶解状况并记录。 </w:t>
      </w:r>
    </w:p>
    <w:p w14:paraId="7FF66A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85" w:firstLineChars="374"/>
        <w:textAlignment w:val="auto"/>
        <w:rPr>
          <w:rFonts w:hint="eastAsia" w:ascii="宋体" w:hAnsi="宋体"/>
          <w:snapToGrid w:val="0"/>
          <w:kern w:val="0"/>
          <w:position w:val="6"/>
          <w:sz w:val="21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 xml:space="preserve">2.2 取 2 个 1.5mL 离心管，称取芦丁、槲皮素标准品约 0.002g 至离心 </w:t>
      </w:r>
    </w:p>
    <w:p w14:paraId="53F172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1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 xml:space="preserve">管中，用 1mLHPLC 级甲醇溶解，涡旋混匀，配成母液。取 100μL </w:t>
      </w:r>
    </w:p>
    <w:p w14:paraId="0101ED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1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 xml:space="preserve">母液至新离心管，用 900μLHPLC 甲醇稀释使样品最终浓度为 </w:t>
      </w:r>
    </w:p>
    <w:p w14:paraId="6B49B2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1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 xml:space="preserve">0.1~0.2mg/mL。 </w:t>
      </w:r>
    </w:p>
    <w:p w14:paraId="0E328A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85" w:firstLineChars="374"/>
        <w:textAlignment w:val="auto"/>
        <w:rPr>
          <w:rFonts w:hint="eastAsia" w:ascii="宋体" w:hAnsi="宋体"/>
          <w:snapToGrid w:val="0"/>
          <w:kern w:val="0"/>
          <w:position w:val="6"/>
          <w:sz w:val="21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 xml:space="preserve">2.3 用 1mL 针筒吸取≥500μL 终溶液，用 0.22μm 滤膜过滤去掉不溶物， </w:t>
      </w:r>
    </w:p>
    <w:p w14:paraId="1445D0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1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 xml:space="preserve">后转移至液相瓶中，做好标记，进行 HPLC 色谱分析和紫外光谱检 </w:t>
      </w:r>
    </w:p>
    <w:p w14:paraId="04B5BE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1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 xml:space="preserve">测，并拷贝数据，清洗液相瓶。 </w:t>
      </w:r>
    </w:p>
    <w:p w14:paraId="57A080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1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 xml:space="preserve">HPLC 分析条件：50-80%M+TFA 15min </w:t>
      </w:r>
    </w:p>
    <w:p w14:paraId="043C10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1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 xml:space="preserve">进样浓度：0.1-0.2mg/mL 进样量 15μL-20μL </w:t>
      </w:r>
    </w:p>
    <w:p w14:paraId="36E789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1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>检测波长：257nm</w:t>
      </w:r>
    </w:p>
    <w:p w14:paraId="3092B4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left"/>
        <w:textAlignment w:val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3. 糖苷键水解实验 </w:t>
      </w:r>
    </w:p>
    <w:p w14:paraId="379160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 xml:space="preserve">3.1 精密称取芦丁标准品 0.1g 至 50mL 小烧杯，加入 2%硫酸 20mL， </w:t>
      </w:r>
    </w:p>
    <w:p w14:paraId="1EEB8F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 xml:space="preserve">盖上锡箔纸，并在锡箔纸上标记，85℃水浴加热 40-60min，放冷， </w:t>
      </w:r>
    </w:p>
    <w:p w14:paraId="6D0055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 xml:space="preserve">使槲皮素析出更完全。 </w:t>
      </w:r>
    </w:p>
    <w:p w14:paraId="6FE6AC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 xml:space="preserve">3.2 用抽滤装置过滤（布氏漏斗用两层滤纸过滤），水洗至中性，沉淀用 </w:t>
      </w:r>
    </w:p>
    <w:p w14:paraId="522892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药匙刮下至试管，用甲醇溶解待用；</w:t>
      </w:r>
    </w:p>
    <w:p w14:paraId="17A3A0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 xml:space="preserve">4. 糖苷和苷元薄层色谱对照分析： </w:t>
      </w:r>
    </w:p>
    <w:p w14:paraId="3C60F5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 xml:space="preserve">4.1 取聚酰胺薄层板（约 3 厘米宽），用铅笔进行标记（如下图），分别 </w:t>
      </w:r>
    </w:p>
    <w:p w14:paraId="40B757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 xml:space="preserve">用毛细管点上芦丁标准品溶液、槲皮素标准品、水解沉淀甲醇溶液。 </w:t>
      </w:r>
    </w:p>
    <w:p w14:paraId="46DA58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 xml:space="preserve">待溶剂挥干后，用 254nm 紫外检测样品量是否足够，若看到暗斑 </w:t>
      </w:r>
    </w:p>
    <w:p w14:paraId="148203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说明样品量足够，若没有暗斑，需继续点样直至看到为止。</w:t>
      </w:r>
    </w:p>
    <w:p w14:paraId="4A1956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5067300" cy="2552700"/>
            <wp:effectExtent l="0" t="0" r="7620" b="762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6DD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4.2 用移液管取 5mL 左右 50%乙醇液至展开缸中，等待 5-10min 使缸</w:t>
      </w:r>
    </w:p>
    <w:p w14:paraId="38E349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内溶剂达到饱和蒸汽压，将薄层板放入进行展开，待溶剂展开至溶</w:t>
      </w:r>
    </w:p>
    <w:p w14:paraId="5AFF6C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剂前沿时取出吹干，分别在日光、紫外灯和碘薰显色下观察并记录</w:t>
      </w:r>
    </w:p>
    <w:p w14:paraId="1F4E34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</w:rPr>
      </w:pPr>
    </w:p>
    <w:p w14:paraId="71766E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  <w:t>三、实验设备与材料</w:t>
      </w:r>
    </w:p>
    <w:p w14:paraId="5B4BEE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b/>
          <w:bCs/>
          <w:snapToGrid w:val="0"/>
          <w:kern w:val="0"/>
          <w:position w:val="6"/>
          <w:sz w:val="24"/>
          <w:szCs w:val="21"/>
          <w:lang w:val="en-US" w:eastAsia="zh-CN"/>
        </w:rPr>
        <w:t>芦丁水解</w:t>
      </w: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：</w:t>
      </w:r>
    </w:p>
    <w:p w14:paraId="40D8BA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50mL 烧杯×1；</w:t>
      </w:r>
    </w:p>
    <w:p w14:paraId="396103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2%硫酸溶液；</w:t>
      </w:r>
    </w:p>
    <w:p w14:paraId="531504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20mL 量筒×1；</w:t>
      </w:r>
    </w:p>
    <w:p w14:paraId="7D1286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锡箔纸；</w:t>
      </w:r>
    </w:p>
    <w:p w14:paraId="212EEF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浮板× 1；</w:t>
      </w:r>
    </w:p>
    <w:p w14:paraId="240B8B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水浴锅（85℃）；</w:t>
      </w:r>
    </w:p>
    <w:p w14:paraId="38C7EB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滤纸×2；</w:t>
      </w:r>
    </w:p>
    <w:p w14:paraId="54C283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抽滤装置（布氏漏斗/滤瓶）；</w:t>
      </w:r>
    </w:p>
    <w:p w14:paraId="5F0056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小药匙；</w:t>
      </w:r>
    </w:p>
    <w:p w14:paraId="4A88F4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 xml:space="preserve">试管×5 </w:t>
      </w:r>
    </w:p>
    <w:p w14:paraId="0FD196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b/>
          <w:bCs/>
          <w:snapToGrid w:val="0"/>
          <w:kern w:val="0"/>
          <w:position w:val="6"/>
          <w:sz w:val="24"/>
          <w:szCs w:val="21"/>
          <w:lang w:val="en-US" w:eastAsia="zh-CN"/>
        </w:rPr>
        <w:t>HPLC 分析</w:t>
      </w: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:</w:t>
      </w:r>
    </w:p>
    <w:p w14:paraId="6CAA6F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 xml:space="preserve"> 1.5mL 离心管×4；</w:t>
      </w:r>
    </w:p>
    <w:p w14:paraId="503D0D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移液枪及枪头（200μL，10μL）；</w:t>
      </w:r>
    </w:p>
    <w:p w14:paraId="36AFCC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 xml:space="preserve">液相瓶×2； </w:t>
      </w:r>
    </w:p>
    <w:p w14:paraId="0D3C80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0.22μm 滤膜×2，</w:t>
      </w:r>
    </w:p>
    <w:p w14:paraId="246B61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1mL 无菌注射器×2；</w:t>
      </w:r>
    </w:p>
    <w:p w14:paraId="3B793A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记号笔；</w:t>
      </w:r>
    </w:p>
    <w:p w14:paraId="1ED1FA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HPLC 级甲醇；</w:t>
      </w:r>
    </w:p>
    <w:p w14:paraId="0CAFF4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 xml:space="preserve">0.05%三氟乙 酸（TFA，Trifluoroacetic acid） </w:t>
      </w:r>
    </w:p>
    <w:p w14:paraId="6279F5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b/>
          <w:bCs/>
          <w:snapToGrid w:val="0"/>
          <w:kern w:val="0"/>
          <w:position w:val="6"/>
          <w:sz w:val="24"/>
          <w:szCs w:val="21"/>
          <w:lang w:val="en-US" w:eastAsia="zh-CN"/>
        </w:rPr>
        <w:t>薄层色谱分析</w:t>
      </w: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：</w:t>
      </w:r>
    </w:p>
    <w:p w14:paraId="4A3FDD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聚酰胺薄层板（反相板）；</w:t>
      </w:r>
    </w:p>
    <w:p w14:paraId="58716F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薄层展开缸；</w:t>
      </w:r>
    </w:p>
    <w:p w14:paraId="0F74A7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移液管；</w:t>
      </w:r>
    </w:p>
    <w:p w14:paraId="565580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 xml:space="preserve">毛细管； </w:t>
      </w:r>
    </w:p>
    <w:p w14:paraId="739D66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废液缸；</w:t>
      </w:r>
    </w:p>
    <w:p w14:paraId="67912F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玻璃刀；</w:t>
      </w:r>
    </w:p>
    <w:p w14:paraId="0AD7B7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铅笔；</w:t>
      </w:r>
    </w:p>
    <w:p w14:paraId="21501B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尺子；</w:t>
      </w:r>
    </w:p>
    <w:p w14:paraId="4D68A4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剪刀</w:t>
      </w:r>
    </w:p>
    <w:p w14:paraId="68EA4D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</w:p>
    <w:p w14:paraId="31751D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</w:p>
    <w:p w14:paraId="638240B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  <w:t>实验结果与分析</w:t>
      </w:r>
    </w:p>
    <w:p w14:paraId="4B64EE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eastAsia" w:ascii="宋体" w:hAnsi="宋体"/>
          <w:b w:val="0"/>
          <w:bCs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snapToGrid w:val="0"/>
          <w:kern w:val="0"/>
          <w:position w:val="6"/>
          <w:sz w:val="24"/>
          <w:szCs w:val="21"/>
          <w:lang w:val="en-US" w:eastAsia="zh-CN"/>
        </w:rPr>
        <w:t>由参考文献得槲皮素分子结构如图</w:t>
      </w:r>
    </w:p>
    <w:p w14:paraId="0810AC6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center"/>
        <w:textAlignment w:val="auto"/>
        <w:rPr>
          <w:rFonts w:hint="eastAsia" w:ascii="宋体" w:hAnsi="宋体" w:eastAsia="宋体"/>
          <w:b w:val="0"/>
          <w:bCs/>
          <w:snapToGrid w:val="0"/>
          <w:kern w:val="0"/>
          <w:position w:val="6"/>
          <w:sz w:val="24"/>
          <w:szCs w:val="21"/>
          <w:lang w:val="en-US" w:eastAsia="zh-CN"/>
        </w:rPr>
      </w:pPr>
      <w:r>
        <w:drawing>
          <wp:inline distT="0" distB="0" distL="114300" distR="114300">
            <wp:extent cx="3360420" cy="2049780"/>
            <wp:effectExtent l="0" t="0" r="7620" b="762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p w14:paraId="4F2ADA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</w:pPr>
    </w:p>
    <w:p w14:paraId="0314156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紫外光谱分析</w:t>
      </w:r>
    </w:p>
    <w:p w14:paraId="14E393C8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槲皮素</w:t>
      </w:r>
    </w:p>
    <w:p w14:paraId="6DF55D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所得紫外光谱如图</w:t>
      </w:r>
    </w:p>
    <w:p w14:paraId="7F7965D3">
      <w:pPr>
        <w:jc w:val="center"/>
      </w:pPr>
      <w:r>
        <w:drawing>
          <wp:inline distT="0" distB="0" distL="114300" distR="114300">
            <wp:extent cx="5269230" cy="2070100"/>
            <wp:effectExtent l="0" t="0" r="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70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7773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jc w:val="center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图1：槲皮素紫外光谱图</w:t>
      </w:r>
    </w:p>
    <w:p w14:paraId="79CE35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jc w:val="left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槲皮素在370nm和255nm有两个吸收峰,分别属于 π→π</w:t>
      </w:r>
      <w:r>
        <w:rPr>
          <w:rFonts w:hint="eastAsia" w:ascii="宋体" w:hAnsi="宋体"/>
          <w:snapToGrid w:val="0"/>
          <w:kern w:val="0"/>
          <w:position w:val="6"/>
          <w:sz w:val="24"/>
          <w:szCs w:val="21"/>
          <w:vertAlign w:val="superscript"/>
          <w:lang w:val="en-US" w:eastAsia="zh-CN"/>
        </w:rPr>
        <w:t>*</w:t>
      </w: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电子跃迁和 n→π</w:t>
      </w:r>
      <w:r>
        <w:rPr>
          <w:rFonts w:hint="eastAsia" w:ascii="宋体" w:hAnsi="宋体"/>
          <w:snapToGrid w:val="0"/>
          <w:kern w:val="0"/>
          <w:position w:val="6"/>
          <w:sz w:val="24"/>
          <w:szCs w:val="21"/>
          <w:vertAlign w:val="superscript"/>
          <w:lang w:val="en-US" w:eastAsia="zh-CN"/>
        </w:rPr>
        <w:t>*</w:t>
      </w: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电子跃迁。</w:t>
      </w:r>
    </w:p>
    <w:p w14:paraId="2393CC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jc w:val="left"/>
        <w:textAlignment w:val="auto"/>
        <w:rPr>
          <w:rFonts w:hint="default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370nm吸收带由肉桂酰生色团产生;255nm吸收带由苯甲酰生色团产生.</w:t>
      </w:r>
    </w:p>
    <w:p w14:paraId="30D4591F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芦丁</w:t>
      </w:r>
    </w:p>
    <w:p w14:paraId="6262CD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所得紫外光谱如图：</w:t>
      </w:r>
    </w:p>
    <w:p w14:paraId="01785F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jc w:val="both"/>
        <w:textAlignment w:val="auto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426720</wp:posOffset>
            </wp:positionH>
            <wp:positionV relativeFrom="paragraph">
              <wp:posOffset>114300</wp:posOffset>
            </wp:positionV>
            <wp:extent cx="5269230" cy="2070100"/>
            <wp:effectExtent l="0" t="0" r="0" b="2540"/>
            <wp:wrapTopAndBottom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70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755BC9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图2：芦丁紫外光谱图</w:t>
      </w:r>
    </w:p>
    <w:p w14:paraId="2D749E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sz w:val="24"/>
          <w:szCs w:val="24"/>
        </w:rPr>
      </w:pPr>
      <w:r>
        <w:rPr>
          <w:rFonts w:hint="default"/>
          <w:sz w:val="24"/>
          <w:szCs w:val="24"/>
        </w:rPr>
        <w:t>1. 255 nm吸收峰（带Ⅱ）</w:t>
      </w:r>
    </w:p>
    <w:p w14:paraId="1635B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b/>
          <w:bCs/>
          <w:sz w:val="24"/>
          <w:szCs w:val="24"/>
        </w:rPr>
      </w:pPr>
    </w:p>
    <w:p w14:paraId="3DF529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结构基础</w:t>
      </w:r>
      <w:r>
        <w:rPr>
          <w:rFonts w:hint="default"/>
          <w:sz w:val="24"/>
          <w:szCs w:val="24"/>
        </w:rPr>
        <w:t>：该吸收峰对应于黄酮母核中A环（苯甲酰基系统，benzoyl system）与C环之间的共轭双键系统。</w:t>
      </w:r>
    </w:p>
    <w:p w14:paraId="1C49EE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跃迁类型</w:t>
      </w:r>
      <w:r>
        <w:rPr>
          <w:rFonts w:hint="default"/>
          <w:sz w:val="24"/>
          <w:szCs w:val="24"/>
        </w:rPr>
        <w:t>：主要由π→π*电子跃迁引起。</w:t>
      </w:r>
    </w:p>
    <w:p w14:paraId="5CA6FA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取代基影响</w:t>
      </w:r>
      <w:r>
        <w:rPr>
          <w:rFonts w:hint="default"/>
          <w:sz w:val="24"/>
          <w:szCs w:val="24"/>
        </w:rPr>
        <w:t>：</w:t>
      </w:r>
    </w:p>
    <w:p w14:paraId="3F9720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sz w:val="24"/>
          <w:szCs w:val="24"/>
        </w:rPr>
      </w:pPr>
      <w:r>
        <w:rPr>
          <w:rFonts w:hint="default"/>
          <w:sz w:val="24"/>
          <w:szCs w:val="24"/>
        </w:rPr>
        <w:t>A环的5,7-二羟基取代具有强供电子效应，通过延长共轭体系并增强电子离域，导致吸收峰红移。</w:t>
      </w:r>
    </w:p>
    <w:p w14:paraId="772464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sz w:val="24"/>
          <w:szCs w:val="24"/>
        </w:rPr>
      </w:pPr>
      <w:r>
        <w:rPr>
          <w:rFonts w:hint="default"/>
          <w:sz w:val="24"/>
          <w:szCs w:val="24"/>
        </w:rPr>
        <w:t>C环的2,3位双键与A环形成共轭，进一步稳定π电子体系，强化吸收。</w:t>
      </w:r>
    </w:p>
    <w:p w14:paraId="59A8D3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AE978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2. 356 nm吸收峰（带Ⅰ）</w:t>
      </w:r>
    </w:p>
    <w:p w14:paraId="5503BE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5C6275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结构基础</w:t>
      </w:r>
      <w:r>
        <w:rPr>
          <w:rFonts w:hint="default"/>
          <w:sz w:val="24"/>
          <w:szCs w:val="24"/>
        </w:rPr>
        <w:t>：该吸收峰源自B环（桂皮酰基系统，cinnamoyl system）与C环的共轭体系。</w:t>
      </w:r>
    </w:p>
    <w:p w14:paraId="2764E1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跃迁类型</w:t>
      </w:r>
      <w:r>
        <w:rPr>
          <w:rFonts w:hint="default"/>
          <w:sz w:val="24"/>
          <w:szCs w:val="24"/>
        </w:rPr>
        <w:t>：同样由π→π*跃迁主导。</w:t>
      </w:r>
    </w:p>
    <w:p w14:paraId="7AA8B3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取代基影响</w:t>
      </w:r>
      <w:r>
        <w:rPr>
          <w:rFonts w:hint="default"/>
          <w:sz w:val="24"/>
          <w:szCs w:val="24"/>
        </w:rPr>
        <w:t>：</w:t>
      </w:r>
    </w:p>
    <w:p w14:paraId="4C3DD2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sz w:val="24"/>
          <w:szCs w:val="24"/>
        </w:rPr>
      </w:pPr>
      <w:r>
        <w:rPr>
          <w:rFonts w:hint="default"/>
          <w:sz w:val="24"/>
          <w:szCs w:val="24"/>
        </w:rPr>
        <w:t>B环的3',4'-邻二羟基取代（邻苯二酚结构）形成分子内氢键，稳定共轭结构，导致显著红移。</w:t>
      </w:r>
    </w:p>
    <w:p w14:paraId="31430C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sz w:val="24"/>
          <w:szCs w:val="24"/>
        </w:rPr>
      </w:pPr>
      <w:r>
        <w:rPr>
          <w:rFonts w:hint="default"/>
          <w:sz w:val="24"/>
          <w:szCs w:val="24"/>
        </w:rPr>
        <w:t>C环的3-OH取代（黄酮醇特征）通过氧原子的孤对电子参与共轭，进一步扩展共轭体系</w:t>
      </w:r>
    </w:p>
    <w:p w14:paraId="4136D0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</w:p>
    <w:p w14:paraId="2AA95CC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HPLC样品检测</w:t>
      </w:r>
    </w:p>
    <w:p w14:paraId="142C657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97" w:firstLineChars="374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槲皮素</w:t>
      </w:r>
    </w:p>
    <w:p w14:paraId="14ADF0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leftChars="0" w:firstLine="420" w:firstLineChars="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HPLC色谱结果如图</w:t>
      </w:r>
    </w:p>
    <w:p w14:paraId="7F5016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leftChars="0" w:firstLine="420" w:firstLineChars="0"/>
        <w:textAlignment w:val="auto"/>
      </w:pPr>
      <w:r>
        <w:drawing>
          <wp:inline distT="0" distB="0" distL="114300" distR="114300">
            <wp:extent cx="5271770" cy="3067050"/>
            <wp:effectExtent l="0" t="0" r="0" b="1143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rcRect t="946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CEB8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leftChars="0" w:firstLine="420" w:firstLineChars="0"/>
        <w:jc w:val="center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图3：槲皮素HPLC色谱图</w:t>
      </w:r>
    </w:p>
    <w:p w14:paraId="2D65002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97" w:firstLineChars="374"/>
        <w:textAlignment w:val="auto"/>
        <w:rPr>
          <w:rFonts w:hint="default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芦丁</w:t>
      </w:r>
    </w:p>
    <w:p w14:paraId="52A87E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leftChars="0" w:firstLine="420" w:firstLineChars="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HPLC色谱结果如图</w:t>
      </w:r>
    </w:p>
    <w:p w14:paraId="31A771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516" w:firstLineChars="722"/>
        <w:textAlignment w:val="auto"/>
      </w:pPr>
      <w:r>
        <w:drawing>
          <wp:inline distT="0" distB="0" distL="114300" distR="114300">
            <wp:extent cx="5271770" cy="3082290"/>
            <wp:effectExtent l="0" t="0" r="0" b="1143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1"/>
                    <a:srcRect t="992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82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9730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图4：芦丁HPLC色谱图</w:t>
      </w:r>
    </w:p>
    <w:p w14:paraId="62FF9512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85" w:firstLineChars="374"/>
        <w:jc w:val="both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eastAsia"/>
          <w:lang w:val="en-US" w:eastAsia="zh-CN"/>
        </w:rPr>
        <w:t>分析</w:t>
      </w:r>
    </w:p>
    <w:p w14:paraId="616DDC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jc w:val="both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1. 保留时间差异分析</w:t>
      </w:r>
    </w:p>
    <w:p w14:paraId="197832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leftChars="0" w:firstLine="420" w:firstLineChars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（1）梯度洗脱的影响</w:t>
      </w:r>
    </w:p>
    <w:p w14:paraId="41739E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680" w:leftChars="0" w:firstLine="420" w:firstLineChars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流动相梯度</w:t>
      </w:r>
      <w:r>
        <w:rPr>
          <w:rFonts w:hint="default" w:ascii="Times New Roman" w:hAnsi="Times New Roman" w:eastAsia="宋体" w:cs="Times New Roman"/>
        </w:rPr>
        <w:t>：50% → 80%甲醇（含TFA）的梯度洗脱（15 min），表明有机相比例逐渐升高，洗脱能力增强。</w:t>
      </w:r>
    </w:p>
    <w:p w14:paraId="1B97B4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680" w:leftChars="0" w:firstLine="420" w:firstLineChars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保留机制</w:t>
      </w:r>
      <w:r>
        <w:rPr>
          <w:rFonts w:hint="default" w:ascii="Times New Roman" w:hAnsi="Times New Roman" w:eastAsia="宋体" w:cs="Times New Roman"/>
        </w:rPr>
        <w:t>：在梯度洗脱中，疏水性强的化合物需要更高有机相比例才能被洗脱。槲皮素（无糖基，疏水性强）需更高甲醇比例（对应更晚的保留时间9 min），而芦丁（含糖基，极性大）在较低甲醇比例下即被洗脱（5.5 min）。</w:t>
      </w:r>
    </w:p>
    <w:p w14:paraId="5A2FC3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</w:rPr>
      </w:pPr>
    </w:p>
    <w:p w14:paraId="06E16C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leftChars="0" w:firstLine="420" w:firstLineChars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（2）TFA的作用</w:t>
      </w:r>
    </w:p>
    <w:p w14:paraId="2CB7D7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680" w:leftChars="0" w:firstLine="420" w:firstLineChars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离子对效应</w:t>
      </w:r>
      <w:r>
        <w:rPr>
          <w:rFonts w:hint="default" w:ascii="Times New Roman" w:hAnsi="Times New Roman" w:eastAsia="宋体" w:cs="Times New Roman"/>
        </w:rPr>
        <w:t>：TFA（三氟乙酸）作为离子对试剂，可与酚羟基（槲皮素、芦丁均含多个酚羟基）形成离子对，增强疏水性，延长保留时间。但因梯度中甲醇比例持续升高，整体仍以疏水作用为主导。</w:t>
      </w:r>
    </w:p>
    <w:p w14:paraId="0C6755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</w:rPr>
      </w:pPr>
    </w:p>
    <w:p w14:paraId="08E8ED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2. 峰高差异分析</w:t>
      </w:r>
    </w:p>
    <w:p w14:paraId="2FA323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leftChars="0" w:firstLine="420" w:firstLineChars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（1）检测波长选择（257 nm）</w:t>
      </w:r>
    </w:p>
    <w:p w14:paraId="121880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</w:rPr>
      </w:pPr>
    </w:p>
    <w:p w14:paraId="0A4EDE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680" w:leftChars="0" w:firstLine="420" w:firstLineChars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芦丁</w:t>
      </w:r>
      <w:r>
        <w:rPr>
          <w:rFonts w:hint="default" w:ascii="Times New Roman" w:hAnsi="Times New Roman" w:eastAsia="宋体" w:cs="Times New Roman"/>
        </w:rPr>
        <w:t>：其最大吸收峰在255 nm（对应苯甲酰系统，π→π*跃迁），检测波长257 nm接近其吸收最大值，灵敏度较高。</w:t>
      </w:r>
    </w:p>
    <w:p w14:paraId="65DF11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680" w:leftChars="0" w:firstLine="420" w:firstLineChars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槲皮素</w:t>
      </w:r>
      <w:r>
        <w:rPr>
          <w:rFonts w:hint="default" w:ascii="Times New Roman" w:hAnsi="Times New Roman" w:eastAsia="宋体" w:cs="Times New Roman"/>
        </w:rPr>
        <w:t>：其最大吸收峰在356 nm（对应桂皮酰系统），在257 nm处吸光度较低，理论上峰响应应弱于芦丁。但实际峰高（700 mAU）显著高于芦丁（300 mAU），可能原因如下：</w:t>
      </w:r>
    </w:p>
    <w:p w14:paraId="4F7238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680" w:leftChars="0" w:firstLine="420" w:firstLineChars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共轭体系贡献</w:t>
      </w:r>
      <w:r>
        <w:rPr>
          <w:rFonts w:hint="default" w:ascii="Times New Roman" w:hAnsi="Times New Roman" w:eastAsia="宋体" w:cs="Times New Roman"/>
        </w:rPr>
        <w:t>：槲皮素的B环邻二羟基结构在短波长（257 nm）仍有一定吸收（n→π*跃迁或共轭延伸），叠加苯甲酰系统的吸收，导致响应增强。</w:t>
      </w:r>
    </w:p>
    <w:p w14:paraId="0A7DD6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</w:rPr>
      </w:pPr>
    </w:p>
    <w:p w14:paraId="261C67A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溶解性分析</w:t>
      </w:r>
    </w:p>
    <w:p w14:paraId="34DF20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374" w:firstLine="416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溶解结果如图所示</w:t>
      </w:r>
    </w:p>
    <w:p w14:paraId="2BA736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374" w:firstLine="416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3932555" cy="2212340"/>
            <wp:effectExtent l="0" t="0" r="14605" b="12700"/>
            <wp:docPr id="14" name="图片 14" descr="818fe4e659e04ac57fad06a09e78f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818fe4e659e04ac57fad06a09e78feb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2555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FF7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374" w:firstLine="1665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图5：溶解度实验结果</w:t>
      </w:r>
    </w:p>
    <w:p w14:paraId="7208E4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图中所示从左往右依次是去离子水中溶解芦丁，二氯甲烷中溶解芦丁，去离子水中溶解槲皮素，二氯甲烷中溶解槲皮素。</w:t>
      </w:r>
    </w:p>
    <w:p w14:paraId="63F738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结果分析：</w:t>
      </w:r>
    </w:p>
    <w:p w14:paraId="5F8A85BD">
      <w:pPr>
        <w:pStyle w:val="2"/>
        <w:keepNext w:val="0"/>
        <w:keepLines w:val="0"/>
        <w:widowControl/>
        <w:suppressLineNumbers w:val="0"/>
        <w:shd w:val="clear" w:fill="FFFFFF"/>
        <w:spacing w:before="219" w:beforeAutospacing="0" w:after="165" w:afterAutospacing="0" w:line="343" w:lineRule="atLeast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9"/>
          <w:szCs w:val="19"/>
        </w:rPr>
      </w:pPr>
      <w:r>
        <w:rPr>
          <w:rStyle w:val="11"/>
          <w:rFonts w:hint="default" w:ascii="Segoe UI" w:hAnsi="Segoe UI" w:eastAsia="Segoe UI" w:cs="Segoe UI"/>
          <w:b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 xml:space="preserve"> 芦丁（试管1与试管2）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3"/>
        <w:gridCol w:w="852"/>
        <w:gridCol w:w="1488"/>
        <w:gridCol w:w="5443"/>
      </w:tblGrid>
      <w:tr w14:paraId="350EB3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43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38B3701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b/>
                <w:bCs/>
                <w:color w:val="404040"/>
                <w:sz w:val="18"/>
                <w:szCs w:val="18"/>
              </w:rPr>
            </w:pPr>
            <w:r>
              <w:rPr>
                <w:rStyle w:val="11"/>
                <w:rFonts w:hint="eastAsia" w:ascii="宋体" w:hAnsi="宋体" w:eastAsia="宋体" w:cs="宋体"/>
                <w:color w:val="404040"/>
                <w:kern w:val="0"/>
                <w:sz w:val="18"/>
                <w:szCs w:val="18"/>
                <w:lang w:val="en-US" w:eastAsia="zh-CN" w:bidi="ar"/>
              </w:rPr>
              <w:t>试管</w:t>
            </w:r>
          </w:p>
        </w:tc>
        <w:tc>
          <w:tcPr>
            <w:tcW w:w="852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0468F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b/>
                <w:bCs/>
                <w:color w:val="404040"/>
                <w:sz w:val="18"/>
                <w:szCs w:val="18"/>
              </w:rPr>
            </w:pPr>
            <w:r>
              <w:rPr>
                <w:rStyle w:val="11"/>
                <w:rFonts w:hint="eastAsia" w:ascii="宋体" w:hAnsi="宋体" w:eastAsia="宋体" w:cs="宋体"/>
                <w:color w:val="404040"/>
                <w:kern w:val="0"/>
                <w:sz w:val="18"/>
                <w:szCs w:val="18"/>
                <w:lang w:val="en-US" w:eastAsia="zh-CN" w:bidi="ar"/>
              </w:rPr>
              <w:t>溶剂</w:t>
            </w:r>
          </w:p>
        </w:tc>
        <w:tc>
          <w:tcPr>
            <w:tcW w:w="1488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4B1CC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b/>
                <w:bCs/>
                <w:color w:val="404040"/>
                <w:sz w:val="18"/>
                <w:szCs w:val="18"/>
              </w:rPr>
            </w:pPr>
            <w:r>
              <w:rPr>
                <w:rStyle w:val="11"/>
                <w:rFonts w:hint="eastAsia" w:ascii="宋体" w:hAnsi="宋体" w:eastAsia="宋体" w:cs="宋体"/>
                <w:color w:val="404040"/>
                <w:kern w:val="0"/>
                <w:sz w:val="18"/>
                <w:szCs w:val="18"/>
                <w:lang w:val="en-US" w:eastAsia="zh-CN" w:bidi="ar"/>
              </w:rPr>
              <w:t>溶解状态</w:t>
            </w:r>
          </w:p>
        </w:tc>
        <w:tc>
          <w:tcPr>
            <w:tcW w:w="5443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C645E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b/>
                <w:bCs/>
                <w:color w:val="404040"/>
                <w:sz w:val="18"/>
                <w:szCs w:val="18"/>
              </w:rPr>
            </w:pPr>
            <w:r>
              <w:rPr>
                <w:rStyle w:val="11"/>
                <w:rFonts w:hint="eastAsia" w:ascii="宋体" w:hAnsi="宋体" w:eastAsia="宋体" w:cs="宋体"/>
                <w:color w:val="404040"/>
                <w:kern w:val="0"/>
                <w:sz w:val="18"/>
                <w:szCs w:val="18"/>
                <w:lang w:val="en-US" w:eastAsia="zh-CN" w:bidi="ar"/>
              </w:rPr>
              <w:t>原因分析</w:t>
            </w:r>
          </w:p>
        </w:tc>
      </w:tr>
      <w:tr w14:paraId="06B796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43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06773BE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试管1</w:t>
            </w:r>
          </w:p>
        </w:tc>
        <w:tc>
          <w:tcPr>
            <w:tcW w:w="852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51700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去离子水</w:t>
            </w:r>
          </w:p>
        </w:tc>
        <w:tc>
          <w:tcPr>
            <w:tcW w:w="1488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651B2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Style w:val="11"/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部分溶解，溶液浑浊</w:t>
            </w:r>
          </w:p>
        </w:tc>
        <w:tc>
          <w:tcPr>
            <w:tcW w:w="5443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52977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芦丁含亲水性糖基，但水中溶解度有限（微溶）。0.002g/5mL（0.4 mg/mL）可能超过其溶解度，需加热或调节pH助溶。</w:t>
            </w:r>
          </w:p>
        </w:tc>
      </w:tr>
      <w:tr w14:paraId="19AA59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4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0CB74F6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试管2</w:t>
            </w:r>
          </w:p>
        </w:tc>
        <w:tc>
          <w:tcPr>
            <w:tcW w:w="85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A171C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二氯甲烷</w:t>
            </w:r>
          </w:p>
        </w:tc>
        <w:tc>
          <w:tcPr>
            <w:tcW w:w="1488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F23EF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Style w:val="11"/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几乎不溶，沉淀明显</w:t>
            </w:r>
          </w:p>
        </w:tc>
        <w:tc>
          <w:tcPr>
            <w:tcW w:w="544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42931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芦丁极性大，与低极性二氯甲烷相容性差，难以分散溶解。</w:t>
            </w:r>
          </w:p>
        </w:tc>
      </w:tr>
    </w:tbl>
    <w:p w14:paraId="3FCDE5DC">
      <w:pPr>
        <w:pStyle w:val="2"/>
        <w:keepNext w:val="0"/>
        <w:keepLines w:val="0"/>
        <w:widowControl/>
        <w:suppressLineNumbers w:val="0"/>
        <w:shd w:val="clear" w:fill="FFFFFF"/>
        <w:spacing w:before="219" w:beforeAutospacing="0" w:after="165" w:afterAutospacing="0" w:line="343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9"/>
          <w:szCs w:val="19"/>
        </w:rPr>
      </w:pPr>
      <w:r>
        <w:rPr>
          <w:rStyle w:val="11"/>
          <w:rFonts w:hint="default" w:ascii="Segoe UI" w:hAnsi="Segoe UI" w:eastAsia="Segoe UI" w:cs="Segoe UI"/>
          <w:b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 xml:space="preserve"> 槲皮素（试管3与试管4）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5"/>
        <w:gridCol w:w="960"/>
        <w:gridCol w:w="2048"/>
        <w:gridCol w:w="5167"/>
      </w:tblGrid>
      <w:tr w14:paraId="6B6C6D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themeColor="text1" w:sz="12" w:space="0"/>
              <w:left w:val="nil"/>
              <w:bottom w:val="single" w:color="000000" w:themeColor="text1" w:sz="6" w:space="0"/>
              <w:right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5B2B088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b/>
                <w:bCs/>
                <w:color w:val="404040"/>
                <w:sz w:val="18"/>
                <w:szCs w:val="18"/>
              </w:rPr>
            </w:pPr>
            <w:r>
              <w:rPr>
                <w:rStyle w:val="11"/>
                <w:rFonts w:ascii="宋体" w:hAnsi="宋体" w:eastAsia="宋体" w:cs="宋体"/>
                <w:color w:val="404040"/>
                <w:kern w:val="0"/>
                <w:sz w:val="18"/>
                <w:szCs w:val="18"/>
                <w:lang w:val="en-US" w:eastAsia="zh-CN" w:bidi="ar"/>
              </w:rPr>
              <w:t>试管</w:t>
            </w:r>
          </w:p>
        </w:tc>
        <w:tc>
          <w:tcPr>
            <w:tcW w:w="0" w:type="auto"/>
            <w:tcBorders>
              <w:top w:val="single" w:color="000000" w:themeColor="text1" w:sz="12" w:space="0"/>
              <w:left w:val="nil"/>
              <w:bottom w:val="single" w:color="000000" w:themeColor="text1" w:sz="6" w:space="0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ECD62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b/>
                <w:bCs/>
                <w:color w:val="404040"/>
                <w:sz w:val="18"/>
                <w:szCs w:val="18"/>
              </w:rPr>
            </w:pPr>
            <w:r>
              <w:rPr>
                <w:rStyle w:val="11"/>
                <w:rFonts w:ascii="宋体" w:hAnsi="宋体" w:eastAsia="宋体" w:cs="宋体"/>
                <w:color w:val="404040"/>
                <w:kern w:val="0"/>
                <w:sz w:val="18"/>
                <w:szCs w:val="18"/>
                <w:lang w:val="en-US" w:eastAsia="zh-CN" w:bidi="ar"/>
              </w:rPr>
              <w:t>溶剂</w:t>
            </w:r>
          </w:p>
        </w:tc>
        <w:tc>
          <w:tcPr>
            <w:tcW w:w="0" w:type="auto"/>
            <w:tcBorders>
              <w:top w:val="single" w:color="000000" w:themeColor="text1" w:sz="12" w:space="0"/>
              <w:left w:val="nil"/>
              <w:bottom w:val="single" w:color="000000" w:themeColor="text1" w:sz="6" w:space="0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C85D0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b/>
                <w:bCs/>
                <w:color w:val="404040"/>
                <w:sz w:val="18"/>
                <w:szCs w:val="18"/>
              </w:rPr>
            </w:pPr>
            <w:r>
              <w:rPr>
                <w:rStyle w:val="11"/>
                <w:rFonts w:ascii="宋体" w:hAnsi="宋体" w:eastAsia="宋体" w:cs="宋体"/>
                <w:color w:val="404040"/>
                <w:kern w:val="0"/>
                <w:sz w:val="18"/>
                <w:szCs w:val="18"/>
                <w:lang w:val="en-US" w:eastAsia="zh-CN" w:bidi="ar"/>
              </w:rPr>
              <w:t>溶解状态</w:t>
            </w:r>
          </w:p>
        </w:tc>
        <w:tc>
          <w:tcPr>
            <w:tcW w:w="5167" w:type="dxa"/>
            <w:tcBorders>
              <w:top w:val="single" w:color="000000" w:themeColor="text1" w:sz="12" w:space="0"/>
              <w:left w:val="nil"/>
              <w:bottom w:val="single" w:color="000000" w:themeColor="text1" w:sz="6" w:space="0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DF784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b/>
                <w:bCs/>
                <w:color w:val="404040"/>
                <w:sz w:val="18"/>
                <w:szCs w:val="18"/>
              </w:rPr>
            </w:pPr>
            <w:r>
              <w:rPr>
                <w:rStyle w:val="11"/>
                <w:rFonts w:ascii="宋体" w:hAnsi="宋体" w:eastAsia="宋体" w:cs="宋体"/>
                <w:color w:val="404040"/>
                <w:kern w:val="0"/>
                <w:sz w:val="18"/>
                <w:szCs w:val="18"/>
                <w:lang w:val="en-US" w:eastAsia="zh-CN" w:bidi="ar"/>
              </w:rPr>
              <w:t>原因分析</w:t>
            </w:r>
          </w:p>
        </w:tc>
      </w:tr>
      <w:tr w14:paraId="6E09DB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themeColor="text1" w:sz="6" w:space="0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4A0D132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试管3</w:t>
            </w:r>
          </w:p>
        </w:tc>
        <w:tc>
          <w:tcPr>
            <w:tcW w:w="0" w:type="auto"/>
            <w:tcBorders>
              <w:top w:val="single" w:color="000000" w:themeColor="text1" w:sz="6" w:space="0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AEED4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去离子水</w:t>
            </w:r>
          </w:p>
        </w:tc>
        <w:tc>
          <w:tcPr>
            <w:tcW w:w="0" w:type="auto"/>
            <w:tcBorders>
              <w:top w:val="single" w:color="000000" w:themeColor="text1" w:sz="6" w:space="0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E6EB4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sz w:val="18"/>
                <w:szCs w:val="18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几乎不溶，悬浮或沉淀</w:t>
            </w:r>
          </w:p>
        </w:tc>
        <w:tc>
          <w:tcPr>
            <w:tcW w:w="5167" w:type="dxa"/>
            <w:tcBorders>
              <w:top w:val="single" w:color="000000" w:themeColor="text1" w:sz="6" w:space="0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4AAE9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槲皮素为苷元，疏水性强，羟基无法与水充分形成氢键，溶解度极低（&lt;0.01 mg/mL）。</w:t>
            </w:r>
          </w:p>
        </w:tc>
      </w:tr>
      <w:tr w14:paraId="53B9E3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000000" w:themeColor="text1" w:sz="12" w:space="0"/>
              <w:right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3168962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试管4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text1" w:sz="12" w:space="0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238B7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二氯甲烷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text1" w:sz="12" w:space="0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C2901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sz w:val="18"/>
                <w:szCs w:val="18"/>
              </w:rPr>
            </w:pPr>
            <w:r>
              <w:rPr>
                <w:rStyle w:val="11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完全溶解，溶液澄清</w:t>
            </w:r>
          </w:p>
        </w:tc>
        <w:tc>
          <w:tcPr>
            <w:tcW w:w="5167" w:type="dxa"/>
            <w:tcBorders>
              <w:top w:val="nil"/>
              <w:left w:val="nil"/>
              <w:bottom w:val="single" w:color="000000" w:themeColor="text1" w:sz="12" w:space="0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034B2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槲皮素疏水结构与二氯甲烷极性匹配，易溶解（溶解度通常&gt;1</w:t>
            </w:r>
          </w:p>
        </w:tc>
      </w:tr>
    </w:tbl>
    <w:p w14:paraId="34234F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</w:p>
    <w:p w14:paraId="2435FD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3.薄层色谱对照分析</w:t>
      </w:r>
    </w:p>
    <w:p w14:paraId="1266D9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MS Mincho"/>
          <w:snapToGrid w:val="0"/>
          <w:kern w:val="0"/>
          <w:position w:val="6"/>
          <w:sz w:val="24"/>
          <w:szCs w:val="21"/>
          <w:lang w:val="en-US" w:eastAsia="ja-JP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所得薄层板分析如图所示：</w:t>
      </w:r>
    </w:p>
    <w:p w14:paraId="5B7154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</w:p>
    <w:p w14:paraId="0B0937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center"/>
        <w:textAlignment w:val="auto"/>
      </w:pPr>
      <w:r>
        <w:drawing>
          <wp:inline distT="0" distB="0" distL="114300" distR="114300">
            <wp:extent cx="2987040" cy="3208020"/>
            <wp:effectExtent l="0" t="0" r="0" b="762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4DE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520" w:leftChars="0" w:firstLine="420" w:firstLineChars="0"/>
        <w:textAlignment w:val="auto"/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图5：薄层板分析结果</w:t>
      </w:r>
    </w:p>
    <w:p w14:paraId="2FBFBBC6">
      <w:pPr>
        <w:keepNext w:val="0"/>
        <w:keepLines w:val="0"/>
        <w:pageBreakBefore w:val="0"/>
        <w:widowControl w:val="0"/>
        <w:tabs>
          <w:tab w:val="left" w:pos="266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lang w:val="en-US" w:eastAsia="zh-CN"/>
        </w:rPr>
        <w:t>其中由左至右分别为：</w:t>
      </w:r>
      <w:r>
        <w:rPr>
          <w:rFonts w:hint="eastAsia"/>
          <w:sz w:val="21"/>
          <w:szCs w:val="21"/>
          <w:lang w:val="en-US" w:eastAsia="zh-CN"/>
        </w:rPr>
        <w:t>芦丁标准品溶液、槲皮素标准品、水解沉淀甲醇溶液</w:t>
      </w:r>
    </w:p>
    <w:p w14:paraId="2BFF4084">
      <w:pPr>
        <w:keepNext w:val="0"/>
        <w:keepLines w:val="0"/>
        <w:pageBreakBefore w:val="0"/>
        <w:widowControl w:val="0"/>
        <w:tabs>
          <w:tab w:val="left" w:pos="266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图中三样品分离结果都较差,未呈现出明显分离结果</w:t>
      </w:r>
    </w:p>
    <w:sectPr>
      <w:pgSz w:w="11906" w:h="16838"/>
      <w:pgMar w:top="1440" w:right="746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Mincho">
    <w:altName w:val="MS UI Gothic"/>
    <w:panose1 w:val="02020609040205080304"/>
    <w:charset w:val="80"/>
    <w:family w:val="auto"/>
    <w:pitch w:val="default"/>
    <w:sig w:usb0="00000000" w:usb1="00000000" w:usb2="08000012" w:usb3="00000000" w:csb0="400200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S UI 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3B9380"/>
    <w:multiLevelType w:val="multilevel"/>
    <w:tmpl w:val="CC3B93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DEEA52E9"/>
    <w:multiLevelType w:val="singleLevel"/>
    <w:tmpl w:val="DEEA52E9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FE8DA2C3"/>
    <w:multiLevelType w:val="singleLevel"/>
    <w:tmpl w:val="FE8DA2C3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66815574"/>
    <w:multiLevelType w:val="singleLevel"/>
    <w:tmpl w:val="66815574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IyODdmZjY0Zjg0ZWQ3ZmVhZDA3NDFkNTYwZGEwNjYifQ=="/>
  </w:docVars>
  <w:rsids>
    <w:rsidRoot w:val="00A357B9"/>
    <w:rsid w:val="000A0E2E"/>
    <w:rsid w:val="001031EF"/>
    <w:rsid w:val="001A65BF"/>
    <w:rsid w:val="001D005D"/>
    <w:rsid w:val="001E206A"/>
    <w:rsid w:val="001E7D4E"/>
    <w:rsid w:val="0021389A"/>
    <w:rsid w:val="00230A0A"/>
    <w:rsid w:val="00264666"/>
    <w:rsid w:val="002D05A9"/>
    <w:rsid w:val="002F2047"/>
    <w:rsid w:val="00304048"/>
    <w:rsid w:val="00305AFC"/>
    <w:rsid w:val="00332279"/>
    <w:rsid w:val="00347C2F"/>
    <w:rsid w:val="00375755"/>
    <w:rsid w:val="00394810"/>
    <w:rsid w:val="0039696B"/>
    <w:rsid w:val="003A17E8"/>
    <w:rsid w:val="003A7C69"/>
    <w:rsid w:val="003B6176"/>
    <w:rsid w:val="003C043F"/>
    <w:rsid w:val="003C7976"/>
    <w:rsid w:val="003D11EE"/>
    <w:rsid w:val="003D14FC"/>
    <w:rsid w:val="003F2092"/>
    <w:rsid w:val="003F253B"/>
    <w:rsid w:val="00415A2A"/>
    <w:rsid w:val="00432FA7"/>
    <w:rsid w:val="00485C6A"/>
    <w:rsid w:val="00494E46"/>
    <w:rsid w:val="004A14AC"/>
    <w:rsid w:val="004A37E8"/>
    <w:rsid w:val="004D353A"/>
    <w:rsid w:val="004F3977"/>
    <w:rsid w:val="004F5BEB"/>
    <w:rsid w:val="00517CED"/>
    <w:rsid w:val="00521370"/>
    <w:rsid w:val="0052447D"/>
    <w:rsid w:val="00541C1C"/>
    <w:rsid w:val="005709D6"/>
    <w:rsid w:val="005858FF"/>
    <w:rsid w:val="005C15F6"/>
    <w:rsid w:val="005E77BD"/>
    <w:rsid w:val="006226B8"/>
    <w:rsid w:val="00623E6C"/>
    <w:rsid w:val="00685C21"/>
    <w:rsid w:val="00690456"/>
    <w:rsid w:val="00694F8D"/>
    <w:rsid w:val="006A2BA3"/>
    <w:rsid w:val="006A487C"/>
    <w:rsid w:val="006A66F7"/>
    <w:rsid w:val="00712199"/>
    <w:rsid w:val="00735C43"/>
    <w:rsid w:val="0076394D"/>
    <w:rsid w:val="0076591F"/>
    <w:rsid w:val="00784F1C"/>
    <w:rsid w:val="0079595D"/>
    <w:rsid w:val="007B18D9"/>
    <w:rsid w:val="007E32EF"/>
    <w:rsid w:val="007F4E32"/>
    <w:rsid w:val="00857ABC"/>
    <w:rsid w:val="008812D2"/>
    <w:rsid w:val="008C5410"/>
    <w:rsid w:val="008E37E5"/>
    <w:rsid w:val="008F2497"/>
    <w:rsid w:val="008F4C72"/>
    <w:rsid w:val="009043DA"/>
    <w:rsid w:val="009240C0"/>
    <w:rsid w:val="009329FE"/>
    <w:rsid w:val="00942624"/>
    <w:rsid w:val="00977575"/>
    <w:rsid w:val="009C762B"/>
    <w:rsid w:val="009D4779"/>
    <w:rsid w:val="009D701C"/>
    <w:rsid w:val="00A357B9"/>
    <w:rsid w:val="00A7675D"/>
    <w:rsid w:val="00A773BF"/>
    <w:rsid w:val="00A92CAA"/>
    <w:rsid w:val="00AC288A"/>
    <w:rsid w:val="00AD377F"/>
    <w:rsid w:val="00AF6AD6"/>
    <w:rsid w:val="00B07A09"/>
    <w:rsid w:val="00B20D17"/>
    <w:rsid w:val="00B44D5B"/>
    <w:rsid w:val="00B47C67"/>
    <w:rsid w:val="00B50323"/>
    <w:rsid w:val="00B71BD9"/>
    <w:rsid w:val="00B74045"/>
    <w:rsid w:val="00B77CFB"/>
    <w:rsid w:val="00BF0507"/>
    <w:rsid w:val="00C60062"/>
    <w:rsid w:val="00C64FD0"/>
    <w:rsid w:val="00C92BE6"/>
    <w:rsid w:val="00CF24C1"/>
    <w:rsid w:val="00CF4A0A"/>
    <w:rsid w:val="00D0300C"/>
    <w:rsid w:val="00D168A1"/>
    <w:rsid w:val="00D43303"/>
    <w:rsid w:val="00D75C14"/>
    <w:rsid w:val="00D81C13"/>
    <w:rsid w:val="00D96F41"/>
    <w:rsid w:val="00DA2642"/>
    <w:rsid w:val="00DB75EB"/>
    <w:rsid w:val="00E02CB0"/>
    <w:rsid w:val="00E51FC8"/>
    <w:rsid w:val="00E63C18"/>
    <w:rsid w:val="00E67AA4"/>
    <w:rsid w:val="00E81253"/>
    <w:rsid w:val="00E934BD"/>
    <w:rsid w:val="00EE1930"/>
    <w:rsid w:val="00F015CC"/>
    <w:rsid w:val="00F15305"/>
    <w:rsid w:val="00F3326A"/>
    <w:rsid w:val="00F9367A"/>
    <w:rsid w:val="00FC5788"/>
    <w:rsid w:val="00FD072A"/>
    <w:rsid w:val="00FE28AC"/>
    <w:rsid w:val="00FF422F"/>
    <w:rsid w:val="0BE46739"/>
    <w:rsid w:val="1C490920"/>
    <w:rsid w:val="26AD2647"/>
    <w:rsid w:val="49347C46"/>
    <w:rsid w:val="4A2853F6"/>
    <w:rsid w:val="5B1A0D91"/>
    <w:rsid w:val="6264019F"/>
    <w:rsid w:val="6B105BD0"/>
    <w:rsid w:val="6B390DD8"/>
    <w:rsid w:val="6CFC7E0A"/>
    <w:rsid w:val="6DD92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8"/>
    <w:qFormat/>
    <w:uiPriority w:val="0"/>
    <w:pPr>
      <w:jc w:val="left"/>
    </w:pPr>
  </w:style>
  <w:style w:type="paragraph" w:styleId="4">
    <w:name w:val="Balloon Text"/>
    <w:basedOn w:val="1"/>
    <w:link w:val="20"/>
    <w:qFormat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19"/>
    <w:qFormat/>
    <w:uiPriority w:val="0"/>
    <w:rPr>
      <w:b/>
      <w:bCs/>
    </w:rPr>
  </w:style>
  <w:style w:type="table" w:styleId="9">
    <w:name w:val="Table Grid"/>
    <w:basedOn w:val="8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annotation reference"/>
    <w:uiPriority w:val="0"/>
    <w:rPr>
      <w:sz w:val="21"/>
      <w:szCs w:val="21"/>
    </w:rPr>
  </w:style>
  <w:style w:type="character" w:customStyle="1" w:styleId="13">
    <w:name w:val="页眉 Char"/>
    <w:link w:val="6"/>
    <w:uiPriority w:val="0"/>
    <w:rPr>
      <w:kern w:val="2"/>
      <w:sz w:val="18"/>
      <w:szCs w:val="18"/>
    </w:rPr>
  </w:style>
  <w:style w:type="character" w:customStyle="1" w:styleId="14">
    <w:name w:val="页脚 Char"/>
    <w:link w:val="5"/>
    <w:qFormat/>
    <w:uiPriority w:val="0"/>
    <w:rPr>
      <w:kern w:val="2"/>
      <w:sz w:val="18"/>
      <w:szCs w:val="18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/>
    </w:rPr>
  </w:style>
  <w:style w:type="character" w:customStyle="1" w:styleId="16">
    <w:name w:val="引用 Char"/>
    <w:link w:val="15"/>
    <w:uiPriority w:val="29"/>
    <w:rPr>
      <w:i/>
      <w:iCs/>
      <w:color w:val="000000"/>
      <w:kern w:val="2"/>
      <w:sz w:val="21"/>
      <w:szCs w:val="24"/>
    </w:rPr>
  </w:style>
  <w:style w:type="paragraph" w:styleId="17">
    <w:name w:val="List Paragraph"/>
    <w:basedOn w:val="1"/>
    <w:qFormat/>
    <w:uiPriority w:val="34"/>
    <w:pPr>
      <w:widowControl/>
      <w:spacing w:after="160" w:line="259" w:lineRule="auto"/>
      <w:ind w:firstLine="420" w:firstLineChars="200"/>
      <w:jc w:val="left"/>
    </w:pPr>
    <w:rPr>
      <w:rFonts w:ascii="Calibri" w:hAnsi="Calibri"/>
      <w:kern w:val="0"/>
      <w:sz w:val="22"/>
      <w:szCs w:val="22"/>
      <w:lang w:val="en-GB"/>
    </w:rPr>
  </w:style>
  <w:style w:type="character" w:customStyle="1" w:styleId="18">
    <w:name w:val="批注文字 字符"/>
    <w:link w:val="3"/>
    <w:qFormat/>
    <w:uiPriority w:val="0"/>
    <w:rPr>
      <w:kern w:val="2"/>
      <w:sz w:val="21"/>
      <w:szCs w:val="24"/>
    </w:rPr>
  </w:style>
  <w:style w:type="character" w:customStyle="1" w:styleId="19">
    <w:name w:val="批注主题 字符"/>
    <w:link w:val="7"/>
    <w:qFormat/>
    <w:uiPriority w:val="0"/>
    <w:rPr>
      <w:b/>
      <w:bCs/>
      <w:kern w:val="2"/>
      <w:sz w:val="21"/>
      <w:szCs w:val="24"/>
    </w:rPr>
  </w:style>
  <w:style w:type="character" w:customStyle="1" w:styleId="20">
    <w:name w:val="批注框文本 字符"/>
    <w:link w:val="4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wmf"/><Relationship Id="rId8" Type="http://schemas.openxmlformats.org/officeDocument/2006/relationships/image" Target="media/image5.wmf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10.png"/><Relationship Id="rId12" Type="http://schemas.openxmlformats.org/officeDocument/2006/relationships/image" Target="media/image9.jpeg"/><Relationship Id="rId11" Type="http://schemas.openxmlformats.org/officeDocument/2006/relationships/image" Target="media/image8.wmf"/><Relationship Id="rId10" Type="http://schemas.openxmlformats.org/officeDocument/2006/relationships/image" Target="media/image7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9</Pages>
  <Words>1983</Words>
  <Characters>2370</Characters>
  <Lines>1</Lines>
  <Paragraphs>1</Paragraphs>
  <TotalTime>0</TotalTime>
  <ScaleCrop>false</ScaleCrop>
  <LinksUpToDate>false</LinksUpToDate>
  <CharactersWithSpaces>2550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2022-02-21T10:10:00Z</dcterms:created>
  <dc:creator>微软用户</dc:creator>
  <cp:lastModifiedBy> 麟</cp:lastModifiedBy>
  <cp:lastPrinted>2019-11-28T08:49:00Z</cp:lastPrinted>
  <dcterms:modified xsi:type="dcterms:W3CDTF">2026-08-10T08:51:12Z</dcterms:modified>
  <dc:title>实验报告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eyJoZGlkIjoiOWYyMzVmZTBjYjExYjUxNTY5YzZhZmIxZjJlZTU5OTgiLCJ1c2VySWQiOiIxNjM4OTk2ODkwIn0=</vt:lpwstr>
  </property>
  <property fmtid="{D5CDD505-2E9C-101B-9397-08002B2CF9AE}" pid="3" name="KSOProductBuildVer">
    <vt:lpwstr>2052-12.1.0.23542</vt:lpwstr>
  </property>
  <property fmtid="{D5CDD505-2E9C-101B-9397-08002B2CF9AE}" pid="4" name="ICV">
    <vt:lpwstr>4EB96B1BC05743DFAB4423A275B13650_12</vt:lpwstr>
  </property>
</Properties>
</file>