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CA72E">
      <w:pPr>
        <w:pStyle w:val="1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snapToGrid w:val="0"/>
        </w:rPr>
      </w:pPr>
      <w:r>
        <w:rPr>
          <w:rFonts w:hint="default" w:ascii="Times New Roman" w:hAnsi="Times New Roman" w:eastAsia="宋体" w:cs="Times New Roman"/>
          <w:i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-396240</wp:posOffset>
                </wp:positionV>
                <wp:extent cx="1927860" cy="1188720"/>
                <wp:effectExtent l="0" t="381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D959C3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海洋科学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</w:t>
                            </w:r>
                          </w:p>
                          <w:p w14:paraId="421E9815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08A69DF9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49009621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2025.5.20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</w:t>
                            </w:r>
                          </w:p>
                          <w:p w14:paraId="24258E89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海工楼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34.2pt;margin-top:-31.2pt;height:93.6pt;width:151.8pt;z-index:251659264;mso-width-relative:page;mso-height-relative:page;" fillcolor="#FFFFFF" filled="t" stroked="f" coordsize="21600,21600" o:gfxdata="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BjcG/YAAAACwEA&#10;AA8AAAAAAAAAAQAgAAAAIgAAAGRycy9kb3ducmV2LnhtbFBLAQIUABQAAAAIAIdO4kCzLNluGgIA&#10;AD4EAAAOAAAAAAAAAAEAIAAAACc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6D959C3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海洋科学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</w:t>
                      </w:r>
                    </w:p>
                    <w:p w14:paraId="421E9815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08A69DF9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49009621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2025.5.20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</w:t>
                      </w:r>
                    </w:p>
                    <w:p w14:paraId="24258E89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海工楼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i w:val="0"/>
          <w:snapToGrid w:val="0"/>
        </w:rPr>
        <w:t xml:space="preserve">          </w:t>
      </w:r>
      <w:r>
        <w:rPr>
          <w:rFonts w:hint="default" w:ascii="Times New Roman" w:hAnsi="Times New Roman" w:eastAsia="宋体" w:cs="Times New Roman"/>
          <w:i w:val="0"/>
        </w:rPr>
        <w:drawing>
          <wp:inline distT="0" distB="0" distL="0" distR="0">
            <wp:extent cx="1600200" cy="4343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i w:val="0"/>
          <w:snapToGrid w:val="0"/>
          <w:spacing w:val="20"/>
          <w:position w:val="18"/>
          <w:sz w:val="48"/>
        </w:rPr>
        <w:t>实验报告</w:t>
      </w:r>
    </w:p>
    <w:p w14:paraId="60017B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</w:rPr>
      </w:pPr>
    </w:p>
    <w:p w14:paraId="74B5A8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</w:rPr>
        <w:t>课程名称：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  <w:u w:val="single"/>
          <w:lang w:val="en-US" w:eastAsia="zh-CN"/>
        </w:rPr>
        <w:t>海洋天然产物化学与实验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</w:rPr>
        <w:t>指导老师：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  <w:u w:val="single"/>
          <w:lang w:val="en-US" w:eastAsia="zh-CN"/>
        </w:rPr>
        <w:t>徐金钟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  <w:u w:val="single"/>
        </w:rPr>
        <w:t xml:space="preserve">     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</w:rPr>
        <w:t>成绩：________________</w:t>
      </w:r>
    </w:p>
    <w:p w14:paraId="35A4C7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</w:rPr>
        <w:t>实验名称：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  <w:u w:val="single"/>
          <w:lang w:val="en-US" w:eastAsia="zh-CN"/>
        </w:rPr>
        <w:t>天然产物的色谱分析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</w:rPr>
        <w:t>同组学生姓名：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Cs w:val="21"/>
          <w:u w:val="single"/>
          <w:lang w:val="en-US" w:eastAsia="zh-CN"/>
        </w:rPr>
        <w:t>魏元瀚，栾雨桐</w:t>
      </w:r>
    </w:p>
    <w:p w14:paraId="0ED8B5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snapToGrid w:val="0"/>
          <w:kern w:val="0"/>
          <w:position w:val="6"/>
          <w:sz w:val="24"/>
          <w:szCs w:val="21"/>
        </w:rPr>
      </w:pPr>
      <w:r>
        <w:rPr>
          <w:rFonts w:hint="default" w:ascii="Times New Roman" w:hAnsi="Times New Roman" w:eastAsia="宋体" w:cs="Times New Roman"/>
          <w:b/>
          <w:snapToGrid w:val="0"/>
          <w:kern w:val="0"/>
          <w:position w:val="6"/>
          <w:sz w:val="24"/>
          <w:szCs w:val="21"/>
        </w:rPr>
        <w:t>一、实验目的与要求</w:t>
      </w:r>
    </w:p>
    <w:p w14:paraId="4F7E94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了解不同色谱法的分离原理</w:t>
      </w:r>
      <w:bookmarkStart w:id="0" w:name="_GoBack"/>
      <w:bookmarkEnd w:id="0"/>
    </w:p>
    <w:p w14:paraId="645CC4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snapToGrid w:val="0"/>
          <w:kern w:val="0"/>
          <w:position w:val="6"/>
          <w:sz w:val="24"/>
          <w:szCs w:val="21"/>
        </w:rPr>
      </w:pPr>
      <w:r>
        <w:rPr>
          <w:rFonts w:hint="default" w:ascii="Times New Roman" w:hAnsi="Times New Roman" w:eastAsia="宋体" w:cs="Times New Roman"/>
          <w:b/>
          <w:snapToGrid w:val="0"/>
          <w:kern w:val="0"/>
          <w:position w:val="6"/>
          <w:sz w:val="24"/>
          <w:szCs w:val="21"/>
        </w:rPr>
        <w:t>二、实验原理与内容</w:t>
      </w:r>
    </w:p>
    <w:p w14:paraId="485720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 xml:space="preserve">色谱法是天然产物分析和分离最常用的方法，常用的色谱法包括薄层色谱、 </w:t>
      </w:r>
    </w:p>
    <w:p w14:paraId="6C8997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 xml:space="preserve">柱色谱、正相色谱、反相色谱、大孔树脂色谱、离子色谱、凝胶色谱等。不同色 </w:t>
      </w:r>
    </w:p>
    <w:p w14:paraId="3F5999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 xml:space="preserve">谱具有不同的分离原理、分离方式。本次实验包括硅胶薄层色谱、硅胶柱色谱、 </w:t>
      </w:r>
    </w:p>
    <w:p w14:paraId="269B6A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ODS 薄层色谱。</w:t>
      </w:r>
    </w:p>
    <w:p w14:paraId="54E061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snapToGrid w:val="0"/>
          <w:kern w:val="0"/>
          <w:position w:val="6"/>
          <w:sz w:val="24"/>
          <w:szCs w:val="21"/>
        </w:rPr>
      </w:pPr>
      <w:r>
        <w:rPr>
          <w:rFonts w:hint="default" w:ascii="Times New Roman" w:hAnsi="Times New Roman" w:eastAsia="宋体" w:cs="Times New Roman"/>
          <w:b/>
          <w:snapToGrid w:val="0"/>
          <w:kern w:val="0"/>
          <w:position w:val="6"/>
          <w:sz w:val="24"/>
          <w:szCs w:val="21"/>
        </w:rPr>
        <w:t>三、实验设备与材料</w:t>
      </w:r>
    </w:p>
    <w:p w14:paraId="2CF87D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仪器：</w:t>
      </w:r>
    </w:p>
    <w:p w14:paraId="3DF760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小玻璃硅胶柱色谱；</w:t>
      </w:r>
    </w:p>
    <w:p w14:paraId="3B1FC4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蝴蝶夹；</w:t>
      </w:r>
    </w:p>
    <w:p w14:paraId="67CB59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100mL 烧杯；</w:t>
      </w:r>
    </w:p>
    <w:p w14:paraId="3EFD42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20mL 量筒；</w:t>
      </w:r>
    </w:p>
    <w:p w14:paraId="0B6922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 xml:space="preserve">玻璃棒； </w:t>
      </w:r>
    </w:p>
    <w:p w14:paraId="4F2769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试管架；</w:t>
      </w:r>
    </w:p>
    <w:p w14:paraId="3903BB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试管×20；</w:t>
      </w:r>
    </w:p>
    <w:p w14:paraId="64D8E8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滴管×2；</w:t>
      </w:r>
    </w:p>
    <w:p w14:paraId="24DA61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50mL 旋瓶；</w:t>
      </w:r>
    </w:p>
    <w:p w14:paraId="1AB5CA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防爆球；</w:t>
      </w:r>
    </w:p>
    <w:p w14:paraId="364549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棉花；</w:t>
      </w:r>
    </w:p>
    <w:p w14:paraId="356A58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尺子；</w:t>
      </w:r>
    </w:p>
    <w:p w14:paraId="269E6A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 xml:space="preserve">小药匙 </w:t>
      </w:r>
    </w:p>
    <w:p w14:paraId="09786F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</w:p>
    <w:p w14:paraId="51BFE1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试剂：</w:t>
      </w:r>
    </w:p>
    <w:p w14:paraId="6F3815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芦丁标准品；</w:t>
      </w:r>
    </w:p>
    <w:p w14:paraId="312CE2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槲皮素标准品；</w:t>
      </w:r>
    </w:p>
    <w:p w14:paraId="72E7E8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200-300 目硅胶；</w:t>
      </w:r>
    </w:p>
    <w:p w14:paraId="2D320B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D；</w:t>
      </w:r>
    </w:p>
    <w:p w14:paraId="665D89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M；</w:t>
      </w:r>
    </w:p>
    <w:p w14:paraId="2BB837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  <w:lang w:val="en-US" w:eastAsia="zh-CN"/>
        </w:rPr>
        <w:t>去离子水</w:t>
      </w:r>
    </w:p>
    <w:p w14:paraId="505CCC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</w:rPr>
      </w:pPr>
    </w:p>
    <w:p w14:paraId="616A1A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snapToGrid w:val="0"/>
          <w:kern w:val="0"/>
          <w:position w:val="6"/>
          <w:sz w:val="24"/>
          <w:szCs w:val="21"/>
        </w:rPr>
      </w:pPr>
      <w:r>
        <w:rPr>
          <w:rFonts w:hint="default" w:ascii="Times New Roman" w:hAnsi="Times New Roman" w:eastAsia="宋体" w:cs="Times New Roman"/>
          <w:b/>
          <w:snapToGrid w:val="0"/>
          <w:kern w:val="0"/>
          <w:position w:val="6"/>
          <w:sz w:val="24"/>
          <w:szCs w:val="21"/>
        </w:rPr>
        <w:t>四、实验方法与步骤</w:t>
      </w:r>
    </w:p>
    <w:p w14:paraId="4B1DB0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1.样品准备： </w:t>
      </w:r>
    </w:p>
    <w:p w14:paraId="7F3139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称取 0.02g 芦丁，槲皮素，以及芦丁和槲皮素（1:1）的混合物至试管中，用 </w:t>
      </w:r>
    </w:p>
    <w:p w14:paraId="13DC68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1ml 的甲醇溶解。 </w:t>
      </w:r>
    </w:p>
    <w:p w14:paraId="2DA0DA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2. 薄层色谱分离 </w:t>
      </w:r>
    </w:p>
    <w:p w14:paraId="463B27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将芦丁标准品溶液、槲皮素标准品溶液以及芦丁和槲皮素混合溶液分别在硅 </w:t>
      </w:r>
    </w:p>
    <w:p w14:paraId="549FEC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胶（或聚酰胺）薄层板上点样，利用二氯甲烷（D）/甲醇溶液（M）（D： </w:t>
      </w:r>
    </w:p>
    <w:p w14:paraId="3CDE90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1561465</wp:posOffset>
            </wp:positionH>
            <wp:positionV relativeFrom="paragraph">
              <wp:posOffset>1066165</wp:posOffset>
            </wp:positionV>
            <wp:extent cx="2255520" cy="1981200"/>
            <wp:effectExtent l="0" t="0" r="0" b="0"/>
            <wp:wrapTopAndBottom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M=5:1）（或甲醇/水溶液 M:H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O=2:1)）展开，使样品点尽量展开，用紫外和碘薰显色检测样品斑点，并记录目标斑点的比移值 Rf 值（图 1）。</w:t>
      </w:r>
    </w:p>
    <w:p w14:paraId="29C4A4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97" w:firstLineChars="374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</w:rPr>
      </w:pPr>
    </w:p>
    <w:p w14:paraId="0B213B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</w:rPr>
      </w:pPr>
    </w:p>
    <w:p w14:paraId="4A87F7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</w:rPr>
      </w:pPr>
    </w:p>
    <w:p w14:paraId="17736A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图 1：比移值计算方法</w:t>
      </w:r>
    </w:p>
    <w:p w14:paraId="05A115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3. 硅胶柱色谱分离 </w:t>
      </w:r>
    </w:p>
    <w:p w14:paraId="4BAB54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3.1 实验准备</w:t>
      </w:r>
    </w:p>
    <w:p w14:paraId="159AD8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确保小玻璃硅胶色谱柱干燥，活塞带皮筋且转动正常，底部筛板不漏硅胶（若底部筛板漏硅胶可在底部塞少许棉花，防止漏硅胶）。以窗框或柜门边沿为参照 </w:t>
      </w:r>
    </w:p>
    <w:p w14:paraId="4AB981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确保玻璃柱竖直装在铁架台上。</w:t>
      </w:r>
    </w:p>
    <w:p w14:paraId="6F7B6A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3.2 装柱</w:t>
      </w:r>
    </w:p>
    <w:p w14:paraId="0E7B01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称量硅胶 5-6g，用 25mL 左右二氯甲烷浸泡，玻璃棒搅拌排除气泡，装入 </w:t>
      </w:r>
    </w:p>
    <w:p w14:paraId="028A50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小玻璃色谱柱中，计算并记录 V 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柱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（图 2），待其沉降一段时间。 </w:t>
      </w:r>
    </w:p>
    <w:p w14:paraId="60A4A3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3.3 上样（方法任选）</w:t>
      </w:r>
    </w:p>
    <w:p w14:paraId="302B09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湿法上样（快捷）：将溶剂放流至接近硅胶平面，加入芦丁和槲皮素混合溶 </w:t>
      </w:r>
    </w:p>
    <w:p w14:paraId="6387FA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液。 </w:t>
      </w:r>
    </w:p>
    <w:p w14:paraId="741070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干法上样（分离效果更好）：称取伴样硅胶 0.2g 至 50mL 小旋瓶，将混合 </w:t>
      </w:r>
    </w:p>
    <w:p w14:paraId="38F745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物溶液少量滴加在伴样硅胶上，在防爆球接口处塞足量棉花，低压旋干溶剂，再 </w:t>
      </w:r>
    </w:p>
    <w:p w14:paraId="6CE639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加入少量溶液，重复多次旋干。用小药匙将伴样硅胶逐渐洒在柱硅胶上，形成样 </w:t>
      </w:r>
    </w:p>
    <w:p w14:paraId="47657A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品层。</w:t>
      </w:r>
    </w:p>
    <w:p w14:paraId="747B68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3.3 清洗和加保护硅胶层： </w:t>
      </w:r>
    </w:p>
    <w:p w14:paraId="19AE3D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滴管沿壁加入少量溶剂，放液至接近样品层，再滴加少量溶剂，反复清洗 </w:t>
      </w:r>
    </w:p>
    <w:p w14:paraId="7F678E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2-3 次，至上层清液无色。再加入部分溶剂，称取少量硅胶用药匙轻撒在样品层 </w:t>
      </w:r>
    </w:p>
    <w:p w14:paraId="378F6E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上做保护硅胶，以保护样品层的平整性。</w:t>
      </w:r>
    </w:p>
    <w:p w14:paraId="3508BB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3.4 洗脱： </w:t>
      </w:r>
    </w:p>
    <w:p w14:paraId="225F24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用 D /M 体系进行洗脱，包括 D:M=20:1, D:M=5:1 两个洗脱比例，每个比 </w:t>
      </w:r>
    </w:p>
    <w:p w14:paraId="07456A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例用 4×V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柱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进行洗脱，每 1/2V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柱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接一管，并标记（1，2，3……）。换洗脱比例 </w:t>
      </w:r>
    </w:p>
    <w:p w14:paraId="0A420D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时，为了保证洗脱比例的准确性，需等上一个洗脱比例液面接近保护硅胶层，再 </w:t>
      </w:r>
    </w:p>
    <w:p w14:paraId="00D990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加下一个比例的洗脱剂。最后用 1~2×V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柱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的 M 进行洗脱，洗脱液接到 1 个小烧 </w:t>
      </w:r>
    </w:p>
    <w:p w14:paraId="44BDAD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杯。</w:t>
      </w:r>
    </w:p>
    <w:p w14:paraId="70BF90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516880" cy="300228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6E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图 2：硅胶色谱柱分离基本流程</w:t>
      </w:r>
    </w:p>
    <w:p w14:paraId="33F1A5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3.5 硅胶薄层板检测： </w:t>
      </w:r>
    </w:p>
    <w:p w14:paraId="4CE279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利用硅胶薄层色谱鉴定各馏分中的成分，并拍照评价分离效果。</w:t>
      </w:r>
    </w:p>
    <w:p w14:paraId="21745B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snapToGrid w:val="0"/>
          <w:kern w:val="0"/>
          <w:position w:val="6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napToGrid w:val="0"/>
          <w:kern w:val="0"/>
          <w:position w:val="6"/>
          <w:sz w:val="24"/>
          <w:szCs w:val="24"/>
        </w:rPr>
        <w:t>实验结果与分析</w:t>
      </w:r>
    </w:p>
    <w:p w14:paraId="4C04FF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napToGrid w:val="0"/>
          <w:kern w:val="0"/>
          <w:position w:val="6"/>
          <w:sz w:val="24"/>
          <w:szCs w:val="24"/>
          <w:lang w:val="en-US" w:eastAsia="zh-CN"/>
        </w:rPr>
        <w:t>1.样品薄层色谱</w:t>
      </w:r>
    </w:p>
    <w:p w14:paraId="7A0B0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457835</wp:posOffset>
            </wp:positionH>
            <wp:positionV relativeFrom="paragraph">
              <wp:posOffset>904240</wp:posOffset>
            </wp:positionV>
            <wp:extent cx="1892300" cy="762000"/>
            <wp:effectExtent l="0" t="0" r="0" b="12700"/>
            <wp:wrapTopAndBottom/>
            <wp:docPr id="6" name="图片 6" descr="1ff9f1191249b4216de5ed32ececd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ff9f1191249b4216de5ed32ececddd"/>
                    <pic:cNvPicPr>
                      <a:picLocks noChangeAspect="1"/>
                    </pic:cNvPicPr>
                  </pic:nvPicPr>
                  <pic:blipFill>
                    <a:blip r:embed="rId7"/>
                    <a:srcRect l="23317" t="43232" r="29521" b="2299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92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3221355</wp:posOffset>
            </wp:positionH>
            <wp:positionV relativeFrom="paragraph">
              <wp:posOffset>482600</wp:posOffset>
            </wp:positionV>
            <wp:extent cx="777240" cy="1882140"/>
            <wp:effectExtent l="0" t="0" r="0" b="7620"/>
            <wp:wrapTopAndBottom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对三标准品用D:M=20：1的进行薄层色谱点样，正常光与254nm紫外下结果如图所示</w:t>
      </w:r>
    </w:p>
    <w:p w14:paraId="6072D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可以清晰地看到在D:M=20：1这样的极性展开体系下，芦丁Rf值约为0.1.而槲皮素Rf约为0.75</w:t>
      </w:r>
    </w:p>
    <w:p w14:paraId="24A1B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说明槲皮素极性小而芦丁极性大，为后续柱层析分离提供了指导。</w:t>
      </w:r>
    </w:p>
    <w:p w14:paraId="703B491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柱层析结果</w:t>
      </w:r>
    </w:p>
    <w:p w14:paraId="7A96BF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按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实验原理中湿法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装柱后，先用D：M=20：1的洗脱剂洗脱芦丁，再用D：M=5：1的洗脱剂洗脱槲皮素，二者分离结果在正常光与254nm紫外灯下结果如图所示</w:t>
      </w:r>
    </w:p>
    <w:p w14:paraId="1CE8E7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372745</wp:posOffset>
            </wp:positionH>
            <wp:positionV relativeFrom="paragraph">
              <wp:posOffset>180340</wp:posOffset>
            </wp:positionV>
            <wp:extent cx="1409700" cy="3474720"/>
            <wp:effectExtent l="0" t="0" r="7620" b="0"/>
            <wp:wrapTopAndBottom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3821430</wp:posOffset>
            </wp:positionH>
            <wp:positionV relativeFrom="paragraph">
              <wp:posOffset>130810</wp:posOffset>
            </wp:positionV>
            <wp:extent cx="1326515" cy="3473450"/>
            <wp:effectExtent l="0" t="0" r="14605" b="1270"/>
            <wp:wrapTopAndBottom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薄层色谱的相似结果证明提取过程无误，提取产物正确。</w:t>
      </w:r>
    </w:p>
    <w:p w14:paraId="661EFE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2EECF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3.讨论硅胶柱色谱和硅胶薄层色谱的异同</w:t>
      </w:r>
    </w:p>
    <w:p w14:paraId="22C1E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BB17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eastAsia="宋体" w:cs="Times New Roman"/>
          <w:sz w:val="24"/>
          <w:szCs w:val="24"/>
        </w:rPr>
        <w:t>、相同点</w:t>
      </w:r>
    </w:p>
    <w:p w14:paraId="31088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i)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. 固定相与分离机制  </w:t>
      </w:r>
    </w:p>
    <w:p w14:paraId="2D5A8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均以硅胶（多孔二氧化硅）为固定相，表面含有硅羟基（SiOH），通过极性吸附作用分离化合物。分离基于化合物极性的差异：极性强的物质与硅胶吸附更紧密，迁移速度慢；极性弱的物质迁移快</w:t>
      </w:r>
    </w:p>
    <w:p w14:paraId="5FE9D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ii)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. 流动相的选择  </w:t>
      </w:r>
    </w:p>
    <w:p w14:paraId="007D0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</w:rPr>
        <w:t>均使用有机溶剂或混合溶剂作为流动相（如石油醚、乙酸乙酯、甲醇等），通过调节极性优化分离效果。</w:t>
      </w:r>
    </w:p>
    <w:p w14:paraId="0DF6A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Iii）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. 应用范围  </w:t>
      </w:r>
    </w:p>
    <w:p w14:paraId="249BF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广泛用于天然产物、有机合成产物的分离、纯化及分析。</w:t>
      </w:r>
    </w:p>
    <w:p w14:paraId="40670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70713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6AA225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76FCA6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（</w:t>
      </w:r>
      <w:r>
        <w:rPr>
          <w:rFonts w:hint="default" w:ascii="Times New Roman" w:hAnsi="Times New Roman" w:eastAsia="宋体" w:cs="Times New Roman"/>
          <w:lang w:val="en-US" w:eastAsia="zh-CN"/>
        </w:rPr>
        <w:t>2）不同点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7"/>
        <w:gridCol w:w="3753"/>
        <w:gridCol w:w="4800"/>
      </w:tblGrid>
      <w:tr w14:paraId="5FEB3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000000" w:themeColor="text1" w:sz="6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0F59C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000000" w:themeColor="text1" w:sz="6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C71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硅胶柱色谱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single" w:color="000000" w:themeColor="text1" w:sz="6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36F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硅胶薄层色谱（TLC）</w:t>
            </w:r>
          </w:p>
        </w:tc>
      </w:tr>
      <w:tr w14:paraId="07020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573060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操作方式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428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动态洗脱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：样品加载于柱顶端，流动相连续洗脱，分段收集。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347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静态展开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：样品点样于薄层板，流动相毛细上升，一次性完成分离。</w:t>
            </w:r>
          </w:p>
        </w:tc>
      </w:tr>
      <w:tr w14:paraId="4E968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A4A45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目的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FA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制备型分离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，纯化较大量样品（毫克至克级）。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6EF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分析型检测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，快速定性或半定量（微克级），如监测反应进程。</w:t>
            </w:r>
          </w:p>
        </w:tc>
      </w:tr>
      <w:tr w14:paraId="0A4A9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52A67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分辨率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FE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高分辨率，适合复杂混合物，可梯度洗脱优化分离。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A8F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分辨率较低（受限于展开距离），但可通过多次展开或不同溶剂体系改进。</w:t>
            </w:r>
          </w:p>
        </w:tc>
      </w:tr>
      <w:tr w14:paraId="3B1EF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B024C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分离时间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1AF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耗时较长（数小时至数天）。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3C1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快速（通常5–30分钟）。</w:t>
            </w:r>
          </w:p>
        </w:tc>
      </w:tr>
      <w:tr w14:paraId="1B542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3FFF2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检测方式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10A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需收集洗脱液后通过TLC、HPLC、NMR等分析。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9D6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直接原位检测：紫外灯（UV 254/365 nm）或显色剂（如茚三酮、碘蒸气）显色。</w:t>
            </w:r>
          </w:p>
        </w:tc>
      </w:tr>
      <w:tr w14:paraId="58288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71B485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样品回收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1AB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可回收纯组分，适合后续实验（如结晶、光谱分析）。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2E9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通常不回收，若需制备需刮下斑点并萃取，回收率低。</w:t>
            </w:r>
          </w:p>
        </w:tc>
      </w:tr>
      <w:tr w14:paraId="38CF7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72055B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硅胶粒径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B5D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较粗（如100–200目），以提高流速和载样量。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92C3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极细（5–25 μm），保证高分离效率。</w:t>
            </w:r>
          </w:p>
        </w:tc>
      </w:tr>
      <w:tr w14:paraId="06C90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24999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成本与灵活性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2DA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耗材多（硅胶、溶剂），需优化洗脱条件。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30A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成本低，操作灵活，适合快速筛选溶剂体系（如优化柱色谱条件）。</w:t>
            </w:r>
          </w:p>
        </w:tc>
      </w:tr>
      <w:tr w14:paraId="73662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531240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Rf值计算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280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不直接计算，需通过TLC监测洗脱情况。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033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直接计算比移值（Rf = 斑点迁移距离 / 溶剂前沿距离）。</w:t>
            </w:r>
          </w:p>
        </w:tc>
      </w:tr>
    </w:tbl>
    <w:p w14:paraId="261C67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</w:rPr>
      </w:pPr>
    </w:p>
    <w:p w14:paraId="00C8B73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sectPr>
      <w:pgSz w:w="11906" w:h="16838"/>
      <w:pgMar w:top="1440" w:right="746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93FFC"/>
    <w:multiLevelType w:val="singleLevel"/>
    <w:tmpl w:val="92093FF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864D8A"/>
    <w:multiLevelType w:val="singleLevel"/>
    <w:tmpl w:val="11864D8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A357B9"/>
    <w:rsid w:val="000A0E2E"/>
    <w:rsid w:val="001031EF"/>
    <w:rsid w:val="001A65BF"/>
    <w:rsid w:val="001D005D"/>
    <w:rsid w:val="001E206A"/>
    <w:rsid w:val="001E7D4E"/>
    <w:rsid w:val="0021389A"/>
    <w:rsid w:val="00230A0A"/>
    <w:rsid w:val="00264666"/>
    <w:rsid w:val="002D05A9"/>
    <w:rsid w:val="002F2047"/>
    <w:rsid w:val="00304048"/>
    <w:rsid w:val="00305AFC"/>
    <w:rsid w:val="00332279"/>
    <w:rsid w:val="00347C2F"/>
    <w:rsid w:val="00375755"/>
    <w:rsid w:val="00394810"/>
    <w:rsid w:val="0039696B"/>
    <w:rsid w:val="003A17E8"/>
    <w:rsid w:val="003A7C69"/>
    <w:rsid w:val="003B6176"/>
    <w:rsid w:val="003C043F"/>
    <w:rsid w:val="003C7976"/>
    <w:rsid w:val="003D11EE"/>
    <w:rsid w:val="003D14FC"/>
    <w:rsid w:val="003F2092"/>
    <w:rsid w:val="003F253B"/>
    <w:rsid w:val="00415A2A"/>
    <w:rsid w:val="00432FA7"/>
    <w:rsid w:val="00485C6A"/>
    <w:rsid w:val="00494E46"/>
    <w:rsid w:val="004A14AC"/>
    <w:rsid w:val="004A37E8"/>
    <w:rsid w:val="004D353A"/>
    <w:rsid w:val="004F3977"/>
    <w:rsid w:val="004F5BEB"/>
    <w:rsid w:val="00517CED"/>
    <w:rsid w:val="00521370"/>
    <w:rsid w:val="0052447D"/>
    <w:rsid w:val="00541C1C"/>
    <w:rsid w:val="005709D6"/>
    <w:rsid w:val="005858FF"/>
    <w:rsid w:val="005C15F6"/>
    <w:rsid w:val="005E77BD"/>
    <w:rsid w:val="006226B8"/>
    <w:rsid w:val="00623E6C"/>
    <w:rsid w:val="00685C21"/>
    <w:rsid w:val="00690456"/>
    <w:rsid w:val="00694F8D"/>
    <w:rsid w:val="006A2BA3"/>
    <w:rsid w:val="006A487C"/>
    <w:rsid w:val="006A66F7"/>
    <w:rsid w:val="00712199"/>
    <w:rsid w:val="00735C43"/>
    <w:rsid w:val="0076394D"/>
    <w:rsid w:val="0076591F"/>
    <w:rsid w:val="00784F1C"/>
    <w:rsid w:val="0079595D"/>
    <w:rsid w:val="007B18D9"/>
    <w:rsid w:val="007E32EF"/>
    <w:rsid w:val="007F4E32"/>
    <w:rsid w:val="00857ABC"/>
    <w:rsid w:val="008812D2"/>
    <w:rsid w:val="008C5410"/>
    <w:rsid w:val="008E37E5"/>
    <w:rsid w:val="008F2497"/>
    <w:rsid w:val="008F4C72"/>
    <w:rsid w:val="009043DA"/>
    <w:rsid w:val="009240C0"/>
    <w:rsid w:val="009329FE"/>
    <w:rsid w:val="00942624"/>
    <w:rsid w:val="00977575"/>
    <w:rsid w:val="009C762B"/>
    <w:rsid w:val="009D4779"/>
    <w:rsid w:val="009D701C"/>
    <w:rsid w:val="00A357B9"/>
    <w:rsid w:val="00A7675D"/>
    <w:rsid w:val="00A773BF"/>
    <w:rsid w:val="00A92CAA"/>
    <w:rsid w:val="00AC288A"/>
    <w:rsid w:val="00AD377F"/>
    <w:rsid w:val="00AF6AD6"/>
    <w:rsid w:val="00B07A09"/>
    <w:rsid w:val="00B20D17"/>
    <w:rsid w:val="00B44D5B"/>
    <w:rsid w:val="00B47C67"/>
    <w:rsid w:val="00B50323"/>
    <w:rsid w:val="00B71BD9"/>
    <w:rsid w:val="00B74045"/>
    <w:rsid w:val="00B77CFB"/>
    <w:rsid w:val="00BF0507"/>
    <w:rsid w:val="00C60062"/>
    <w:rsid w:val="00C64FD0"/>
    <w:rsid w:val="00C92BE6"/>
    <w:rsid w:val="00CF24C1"/>
    <w:rsid w:val="00CF4A0A"/>
    <w:rsid w:val="00D0300C"/>
    <w:rsid w:val="00D168A1"/>
    <w:rsid w:val="00D43303"/>
    <w:rsid w:val="00D75C14"/>
    <w:rsid w:val="00D81C13"/>
    <w:rsid w:val="00D96F41"/>
    <w:rsid w:val="00DA2642"/>
    <w:rsid w:val="00DB75EB"/>
    <w:rsid w:val="00E02CB0"/>
    <w:rsid w:val="00E51FC8"/>
    <w:rsid w:val="00E63C18"/>
    <w:rsid w:val="00E67AA4"/>
    <w:rsid w:val="00E81253"/>
    <w:rsid w:val="00E934BD"/>
    <w:rsid w:val="00EE1930"/>
    <w:rsid w:val="00F015CC"/>
    <w:rsid w:val="00F15305"/>
    <w:rsid w:val="00F3326A"/>
    <w:rsid w:val="00F9367A"/>
    <w:rsid w:val="00FC5788"/>
    <w:rsid w:val="00FD072A"/>
    <w:rsid w:val="00FE28AC"/>
    <w:rsid w:val="00FF422F"/>
    <w:rsid w:val="0B2006E9"/>
    <w:rsid w:val="1D9242BB"/>
    <w:rsid w:val="2853607A"/>
    <w:rsid w:val="32102FB2"/>
    <w:rsid w:val="34AE4E51"/>
    <w:rsid w:val="370E2376"/>
    <w:rsid w:val="43EA7EB3"/>
    <w:rsid w:val="5FDA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qFormat/>
    <w:uiPriority w:val="0"/>
    <w:pPr>
      <w:jc w:val="left"/>
    </w:pPr>
  </w:style>
  <w:style w:type="paragraph" w:styleId="3">
    <w:name w:val="Balloon Text"/>
    <w:basedOn w:val="1"/>
    <w:link w:val="19"/>
    <w:qFormat/>
    <w:uiPriority w:val="0"/>
    <w:rPr>
      <w:sz w:val="18"/>
      <w:szCs w:val="18"/>
    </w:r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8"/>
    <w:qFormat/>
    <w:uiPriority w:val="0"/>
    <w:rPr>
      <w:b/>
      <w:bCs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annotation reference"/>
    <w:qFormat/>
    <w:uiPriority w:val="0"/>
    <w:rPr>
      <w:sz w:val="21"/>
      <w:szCs w:val="21"/>
    </w:rPr>
  </w:style>
  <w:style w:type="character" w:customStyle="1" w:styleId="12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3">
    <w:name w:val="页脚 Char"/>
    <w:link w:val="4"/>
    <w:qFormat/>
    <w:uiPriority w:val="0"/>
    <w:rPr>
      <w:kern w:val="2"/>
      <w:sz w:val="18"/>
      <w:szCs w:val="18"/>
    </w:rPr>
  </w:style>
  <w:style w:type="paragraph" w:styleId="14">
    <w:name w:val="Quote"/>
    <w:basedOn w:val="1"/>
    <w:next w:val="1"/>
    <w:link w:val="15"/>
    <w:qFormat/>
    <w:uiPriority w:val="29"/>
    <w:rPr>
      <w:i/>
      <w:iCs/>
      <w:color w:val="000000"/>
    </w:rPr>
  </w:style>
  <w:style w:type="character" w:customStyle="1" w:styleId="15">
    <w:name w:val="引用 Char"/>
    <w:link w:val="14"/>
    <w:qFormat/>
    <w:uiPriority w:val="29"/>
    <w:rPr>
      <w:i/>
      <w:iCs/>
      <w:color w:val="000000"/>
      <w:kern w:val="2"/>
      <w:sz w:val="21"/>
      <w:szCs w:val="24"/>
    </w:rPr>
  </w:style>
  <w:style w:type="paragraph" w:styleId="16">
    <w:name w:val="List Paragraph"/>
    <w:basedOn w:val="1"/>
    <w:qFormat/>
    <w:uiPriority w:val="34"/>
    <w:pPr>
      <w:widowControl/>
      <w:spacing w:after="160" w:line="259" w:lineRule="auto"/>
      <w:ind w:firstLine="420" w:firstLineChars="200"/>
      <w:jc w:val="left"/>
    </w:pPr>
    <w:rPr>
      <w:rFonts w:ascii="Calibri" w:hAnsi="Calibri"/>
      <w:kern w:val="0"/>
      <w:sz w:val="22"/>
      <w:szCs w:val="22"/>
      <w:lang w:val="en-GB"/>
    </w:rPr>
  </w:style>
  <w:style w:type="character" w:customStyle="1" w:styleId="17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8">
    <w:name w:val="批注主题 字符"/>
    <w:link w:val="6"/>
    <w:qFormat/>
    <w:uiPriority w:val="0"/>
    <w:rPr>
      <w:b/>
      <w:bCs/>
      <w:kern w:val="2"/>
      <w:sz w:val="21"/>
      <w:szCs w:val="24"/>
    </w:rPr>
  </w:style>
  <w:style w:type="character" w:customStyle="1" w:styleId="19">
    <w:name w:val="批注框文本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1946</Words>
  <Characters>2136</Characters>
  <Lines>1</Lines>
  <Paragraphs>1</Paragraphs>
  <TotalTime>4</TotalTime>
  <ScaleCrop>false</ScaleCrop>
  <LinksUpToDate>false</LinksUpToDate>
  <CharactersWithSpaces>2266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2022-02-21T10:10:00Z</dcterms:created>
  <dc:creator>微软用户</dc:creator>
  <cp:lastModifiedBy> 麟</cp:lastModifiedBy>
  <cp:lastPrinted>2019-11-28T08:49:00Z</cp:lastPrinted>
  <dcterms:modified xsi:type="dcterms:W3CDTF">2026-08-10T08:52:05Z</dcterms:modified>
  <dc:title>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eyJoZGlkIjoiOWYyMzVmZTBjYjExYjUxNTY5YzZhZmIxZjJlZTU5OTgiLCJ1c2VySWQiOiIxNjM4OTk2ODkwIn0=</vt:lpwstr>
  </property>
  <property fmtid="{D5CDD505-2E9C-101B-9397-08002B2CF9AE}" pid="3" name="KSOProductBuildVer">
    <vt:lpwstr>2052-12.1.0.23542</vt:lpwstr>
  </property>
  <property fmtid="{D5CDD505-2E9C-101B-9397-08002B2CF9AE}" pid="4" name="ICV">
    <vt:lpwstr>322956D2A0644BE198AA04647E607CB4_12</vt:lpwstr>
  </property>
</Properties>
</file>