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273F3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i w:val="0"/>
          <w:snapToGrid w:val="0"/>
        </w:rPr>
      </w:pPr>
      <w:bookmarkStart w:id="0" w:name="_GoBack"/>
      <w:bookmarkEnd w:id="0"/>
      <w:r>
        <w:rPr>
          <w:rFonts w:hint="default" w:ascii="Times New Roman" w:hAnsi="Times New Roman" w:cs="Times New Roman"/>
          <w:i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-396240</wp:posOffset>
                </wp:positionV>
                <wp:extent cx="1927860" cy="1188720"/>
                <wp:effectExtent l="0" t="381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786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B49224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海洋科学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</w:t>
                            </w:r>
                          </w:p>
                          <w:p w14:paraId="36C075D3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姓名：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550BF650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213B4660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日期：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2024.12.11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</w:t>
                            </w:r>
                          </w:p>
                          <w:p w14:paraId="52EA3892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地点：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海工楼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34.2pt;margin-top:-31.2pt;height:93.6pt;width:151.8pt;z-index:251659264;mso-width-relative:page;mso-height-relative:page;" fillcolor="#FFFFFF" filled="t" stroked="f" coordsize="21600,21600" o:gfxdata="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MBjcG/YAAAACwEA&#10;AA8AAAAAAAAAAQAgAAAAIgAAAGRycy9kb3ducmV2LnhtbFBLAQIUABQAAAAIAIdO4kCzLNluGgIA&#10;AD4EAAAOAAAAAAAAAAEAIAAAACcBAABkcnMvZTJvRG9jLnhtbFBLBQYAAAAABgAGAFkBAACz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5B49224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专业：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海洋科学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</w:t>
                      </w:r>
                    </w:p>
                    <w:p w14:paraId="36C075D3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姓名：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</w:t>
                      </w:r>
                    </w:p>
                    <w:p w14:paraId="550BF650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学号：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</w:t>
                      </w:r>
                    </w:p>
                    <w:p w14:paraId="213B4660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日期：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2024.12.11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</w:t>
                      </w:r>
                    </w:p>
                    <w:p w14:paraId="52EA3892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地点：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海工楼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i w:val="0"/>
          <w:snapToGrid w:val="0"/>
        </w:rPr>
        <w:t xml:space="preserve">          </w:t>
      </w:r>
      <w:r>
        <w:rPr>
          <w:rFonts w:hint="default" w:ascii="Times New Roman" w:hAnsi="Times New Roman" w:cs="Times New Roman"/>
          <w:i w:val="0"/>
        </w:rPr>
        <w:drawing>
          <wp:inline distT="0" distB="0" distL="0" distR="0">
            <wp:extent cx="1600200" cy="4343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华文楷体" w:cs="Times New Roman"/>
          <w:b/>
          <w:i w:val="0"/>
          <w:snapToGrid w:val="0"/>
          <w:spacing w:val="20"/>
          <w:position w:val="18"/>
          <w:sz w:val="48"/>
        </w:rPr>
        <w:t>实验报告</w:t>
      </w:r>
    </w:p>
    <w:p w14:paraId="09EED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Cs w:val="21"/>
        </w:rPr>
      </w:pPr>
    </w:p>
    <w:p w14:paraId="1BD60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Cs w:val="21"/>
        </w:rPr>
      </w:pPr>
      <w:r>
        <w:rPr>
          <w:rFonts w:hint="default" w:ascii="Times New Roman" w:hAnsi="Times New Roman" w:cs="Times New Roman"/>
          <w:snapToGrid w:val="0"/>
          <w:kern w:val="0"/>
          <w:position w:val="6"/>
          <w:szCs w:val="21"/>
        </w:rPr>
        <w:t>课程名称：</w:t>
      </w:r>
      <w:r>
        <w:rPr>
          <w:rFonts w:hint="default" w:ascii="Times New Roman" w:hAnsi="Times New Roman" w:cs="Times New Roman"/>
          <w:snapToGrid w:val="0"/>
          <w:kern w:val="0"/>
          <w:position w:val="6"/>
          <w:szCs w:val="21"/>
          <w:u w:val="single"/>
        </w:rPr>
        <w:t xml:space="preserve">  </w:t>
      </w:r>
      <w:r>
        <w:rPr>
          <w:rFonts w:hint="default" w:ascii="Times New Roman" w:hAnsi="Times New Roman" w:cs="Times New Roman"/>
          <w:snapToGrid w:val="0"/>
          <w:kern w:val="0"/>
          <w:position w:val="6"/>
          <w:szCs w:val="21"/>
          <w:u w:val="single"/>
          <w:lang w:val="en-US" w:eastAsia="zh-CN"/>
        </w:rPr>
        <w:t>海水分析化学与实验</w:t>
      </w:r>
      <w:r>
        <w:rPr>
          <w:rFonts w:hint="default" w:ascii="Times New Roman" w:hAnsi="Times New Roman" w:cs="Times New Roman"/>
          <w:snapToGrid w:val="0"/>
          <w:kern w:val="0"/>
          <w:position w:val="6"/>
          <w:szCs w:val="21"/>
          <w:u w:val="single"/>
        </w:rPr>
        <w:t xml:space="preserve">             </w:t>
      </w:r>
      <w:r>
        <w:rPr>
          <w:rFonts w:hint="default" w:ascii="Times New Roman" w:hAnsi="Times New Roman" w:cs="Times New Roman"/>
          <w:snapToGrid w:val="0"/>
          <w:kern w:val="0"/>
          <w:position w:val="6"/>
          <w:szCs w:val="21"/>
        </w:rPr>
        <w:t>指导老师：</w:t>
      </w:r>
      <w:r>
        <w:rPr>
          <w:rFonts w:hint="default" w:ascii="Times New Roman" w:hAnsi="Times New Roman" w:cs="Times New Roman"/>
          <w:snapToGrid w:val="0"/>
          <w:kern w:val="0"/>
          <w:position w:val="6"/>
          <w:szCs w:val="21"/>
          <w:u w:val="single"/>
        </w:rPr>
        <w:t xml:space="preserve">  </w:t>
      </w:r>
      <w:r>
        <w:rPr>
          <w:rFonts w:hint="default" w:ascii="Times New Roman" w:hAnsi="Times New Roman" w:cs="Times New Roman"/>
          <w:snapToGrid w:val="0"/>
          <w:kern w:val="0"/>
          <w:position w:val="6"/>
          <w:szCs w:val="21"/>
          <w:u w:val="single"/>
          <w:lang w:val="en-US" w:eastAsia="zh-CN"/>
        </w:rPr>
        <w:t>孙瑜霞</w:t>
      </w:r>
      <w:r>
        <w:rPr>
          <w:rFonts w:hint="default" w:ascii="Times New Roman" w:hAnsi="Times New Roman" w:cs="Times New Roman"/>
          <w:snapToGrid w:val="0"/>
          <w:kern w:val="0"/>
          <w:position w:val="6"/>
          <w:szCs w:val="21"/>
          <w:u w:val="single"/>
        </w:rPr>
        <w:t xml:space="preserve">         </w:t>
      </w:r>
      <w:r>
        <w:rPr>
          <w:rFonts w:hint="default" w:ascii="Times New Roman" w:hAnsi="Times New Roman" w:cs="Times New Roman"/>
          <w:snapToGrid w:val="0"/>
          <w:kern w:val="0"/>
          <w:position w:val="6"/>
          <w:szCs w:val="21"/>
        </w:rPr>
        <w:t>成绩：________________</w:t>
      </w:r>
    </w:p>
    <w:p w14:paraId="3E545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Cs w:val="21"/>
          <w:u w:val="single"/>
        </w:rPr>
      </w:pPr>
      <w:r>
        <w:rPr>
          <w:rFonts w:hint="default" w:ascii="Times New Roman" w:hAnsi="Times New Roman" w:cs="Times New Roman"/>
          <w:snapToGrid w:val="0"/>
          <w:kern w:val="0"/>
          <w:position w:val="6"/>
          <w:szCs w:val="21"/>
        </w:rPr>
        <w:t>实验名称：</w:t>
      </w:r>
      <w:r>
        <w:rPr>
          <w:rFonts w:hint="default" w:ascii="Times New Roman" w:hAnsi="Times New Roman" w:cs="Times New Roman"/>
          <w:snapToGrid w:val="0"/>
          <w:kern w:val="0"/>
          <w:position w:val="6"/>
          <w:szCs w:val="21"/>
          <w:u w:val="single"/>
        </w:rPr>
        <w:t xml:space="preserve">  </w:t>
      </w:r>
      <w:r>
        <w:rPr>
          <w:rFonts w:hint="default" w:ascii="Times New Roman" w:hAnsi="Times New Roman" w:cs="Times New Roman"/>
          <w:snapToGrid w:val="0"/>
          <w:kern w:val="0"/>
          <w:position w:val="6"/>
          <w:szCs w:val="21"/>
          <w:u w:val="single"/>
          <w:lang w:val="en-US" w:eastAsia="zh-CN"/>
        </w:rPr>
        <w:t>海水中总碱度的测定</w:t>
      </w:r>
      <w:r>
        <w:rPr>
          <w:rFonts w:hint="default" w:ascii="Times New Roman" w:hAnsi="Times New Roman" w:cs="Times New Roman"/>
          <w:snapToGrid w:val="0"/>
          <w:kern w:val="0"/>
          <w:position w:val="6"/>
          <w:szCs w:val="21"/>
          <w:u w:val="single"/>
        </w:rPr>
        <w:t xml:space="preserve">                                                           </w:t>
      </w:r>
    </w:p>
    <w:p w14:paraId="22220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Cs w:val="21"/>
          <w:u w:val="single"/>
        </w:rPr>
      </w:pPr>
      <w:r>
        <w:rPr>
          <w:rFonts w:hint="default" w:ascii="Times New Roman" w:hAnsi="Times New Roman" w:cs="Times New Roman"/>
          <w:snapToGrid w:val="0"/>
          <w:kern w:val="0"/>
          <w:position w:val="6"/>
          <w:szCs w:val="21"/>
        </w:rPr>
        <w:t>同组学生姓名：</w:t>
      </w:r>
      <w:r>
        <w:rPr>
          <w:rFonts w:hint="default" w:ascii="Times New Roman" w:hAnsi="Times New Roman" w:cs="Times New Roman"/>
          <w:snapToGrid w:val="0"/>
          <w:kern w:val="0"/>
          <w:position w:val="6"/>
          <w:szCs w:val="21"/>
          <w:u w:val="single"/>
        </w:rPr>
        <w:t xml:space="preserve">  </w:t>
      </w:r>
      <w:r>
        <w:rPr>
          <w:rFonts w:hint="default" w:ascii="Times New Roman" w:hAnsi="Times New Roman" w:cs="Times New Roman"/>
          <w:snapToGrid w:val="0"/>
          <w:kern w:val="0"/>
          <w:position w:val="6"/>
          <w:szCs w:val="21"/>
          <w:u w:val="single"/>
          <w:lang w:val="en-US" w:eastAsia="zh-CN"/>
        </w:rPr>
        <w:t>魏元瀚</w:t>
      </w:r>
      <w:r>
        <w:rPr>
          <w:rFonts w:hint="default" w:ascii="Times New Roman" w:hAnsi="Times New Roman" w:cs="Times New Roman"/>
          <w:snapToGrid w:val="0"/>
          <w:kern w:val="0"/>
          <w:position w:val="6"/>
          <w:szCs w:val="21"/>
          <w:u w:val="single"/>
        </w:rPr>
        <w:t xml:space="preserve">                                                      </w:t>
      </w:r>
    </w:p>
    <w:p w14:paraId="38F04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Cs w:val="21"/>
        </w:rPr>
      </w:pPr>
    </w:p>
    <w:p w14:paraId="09FA0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4"/>
          <w:szCs w:val="21"/>
        </w:rPr>
      </w:pPr>
    </w:p>
    <w:p w14:paraId="0CA1873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snapToGrid w:val="0"/>
          <w:kern w:val="0"/>
          <w:position w:val="6"/>
          <w:sz w:val="24"/>
          <w:szCs w:val="21"/>
          <w:lang w:eastAsia="zh-CN"/>
        </w:rPr>
      </w:pPr>
      <w:r>
        <w:rPr>
          <w:rFonts w:hint="default" w:ascii="Times New Roman" w:hAnsi="Times New Roman" w:cs="Times New Roman"/>
          <w:b/>
          <w:snapToGrid w:val="0"/>
          <w:kern w:val="0"/>
          <w:position w:val="6"/>
          <w:sz w:val="24"/>
          <w:szCs w:val="21"/>
        </w:rPr>
        <w:t>实验目的与要求</w:t>
      </w:r>
    </w:p>
    <w:p w14:paraId="1C105BE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>掌握pH法测定海水总碱度的方法原理和实验条件</w:t>
      </w:r>
    </w:p>
    <w:p w14:paraId="65F26D7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eastAsia="zh-CN"/>
        </w:rPr>
      </w:pP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>掌握海水总碱度的计算方法</w:t>
      </w:r>
    </w:p>
    <w:p w14:paraId="2306A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4"/>
          <w:szCs w:val="21"/>
        </w:rPr>
      </w:pPr>
    </w:p>
    <w:p w14:paraId="353063C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snapToGrid w:val="0"/>
          <w:kern w:val="0"/>
          <w:position w:val="6"/>
          <w:sz w:val="24"/>
          <w:szCs w:val="21"/>
          <w:lang w:eastAsia="zh-CN"/>
        </w:rPr>
      </w:pPr>
      <w:r>
        <w:rPr>
          <w:rFonts w:hint="default" w:ascii="Times New Roman" w:hAnsi="Times New Roman" w:cs="Times New Roman"/>
          <w:b/>
          <w:snapToGrid w:val="0"/>
          <w:kern w:val="0"/>
          <w:position w:val="6"/>
          <w:sz w:val="24"/>
          <w:szCs w:val="21"/>
        </w:rPr>
        <w:t>实验原理与内容</w:t>
      </w:r>
    </w:p>
    <w:p w14:paraId="0CB2E2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eastAsia="zh-CN"/>
        </w:rPr>
      </w:pP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eastAsia="zh-CN"/>
        </w:rPr>
        <w:t>实验采用复合电极法测定海水中的 pH，溶液中的 pH 值与测量电动势之间存在线性关系。通过电极在标准缓冲溶液中测量到的电势对电极进行标定，获得电极的工作曲线，从而通过测量电势获得未知溶液的 pH值。</w:t>
      </w:r>
    </w:p>
    <w:p w14:paraId="375329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eastAsia="zh-CN"/>
        </w:rPr>
      </w:pP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eastAsia="zh-CN"/>
        </w:rPr>
        <w:t>采用 pH 法测定总碱度，即向水样中加入过量的盐酸标准溶液，中和水样中的弱酸根离子。然后用 pH 计测定混合溶液中的 pH 值，由测得值根据公式可以计算出混合溶液中的剩余硫酸量。从加入的盐酸总量中减去此值便可以求出水样中弱酸阴离子的浓度，以 m</w:t>
      </w: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>/</w:t>
      </w: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eastAsia="zh-CN"/>
        </w:rPr>
        <w:t>mol 为单位。</w:t>
      </w:r>
    </w:p>
    <w:p w14:paraId="49EDD0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eastAsia="zh-CN"/>
        </w:rPr>
      </w:pP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eastAsia="zh-CN"/>
        </w:rPr>
        <w:drawing>
          <wp:inline distT="0" distB="0" distL="114300" distR="114300">
            <wp:extent cx="3719195" cy="664845"/>
            <wp:effectExtent l="0" t="0" r="14605" b="5715"/>
            <wp:docPr id="3" name="图片 3" descr="bb68a435c22f1c792694c26ede8bc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b68a435c22f1c792694c26ede8bc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9195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4E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eastAsia="zh-CN"/>
        </w:rPr>
      </w:pP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eastAsia="zh-CN"/>
        </w:rPr>
        <w:t>式中，Va 为外加标准盐酸溶液的体积，Vs为水样体积，Ma为标准盐酸溶液浓度(mol1)，cH+为混合溶液中氢离子浓度，C</w:t>
      </w: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vertAlign w:val="subscript"/>
          <w:lang w:eastAsia="zh-CN"/>
        </w:rPr>
        <w:t>H+</w:t>
      </w: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eastAsia="zh-CN"/>
        </w:rPr>
        <w:t>= c</w:t>
      </w: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vertAlign w:val="subscript"/>
          <w:lang w:eastAsia="zh-CN"/>
        </w:rPr>
        <w:t>H+</w:t>
      </w: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eastAsia="zh-CN"/>
        </w:rPr>
        <w:t>/f</w:t>
      </w: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vertAlign w:val="subscript"/>
          <w:lang w:eastAsia="zh-CN"/>
        </w:rPr>
        <w:t>H+</w:t>
      </w: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eastAsia="zh-CN"/>
        </w:rPr>
        <w:t>可由所测 pH 值求</w:t>
      </w:r>
    </w:p>
    <w:p w14:paraId="1CADE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4"/>
          <w:szCs w:val="21"/>
        </w:rPr>
      </w:pPr>
    </w:p>
    <w:p w14:paraId="2961464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snapToGrid w:val="0"/>
          <w:kern w:val="0"/>
          <w:position w:val="6"/>
          <w:sz w:val="24"/>
          <w:szCs w:val="21"/>
          <w:lang w:eastAsia="zh-CN"/>
        </w:rPr>
      </w:pPr>
      <w:r>
        <w:rPr>
          <w:rFonts w:hint="default" w:ascii="Times New Roman" w:hAnsi="Times New Roman" w:cs="Times New Roman"/>
          <w:b/>
          <w:snapToGrid w:val="0"/>
          <w:kern w:val="0"/>
          <w:position w:val="6"/>
          <w:sz w:val="24"/>
          <w:szCs w:val="21"/>
        </w:rPr>
        <w:t>实验设备与材料</w:t>
      </w:r>
    </w:p>
    <w:p w14:paraId="626D76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Times New Roman" w:hAnsi="Times New Roman" w:cs="Times New Roman"/>
          <w:b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snapToGrid w:val="0"/>
          <w:kern w:val="0"/>
          <w:position w:val="6"/>
          <w:sz w:val="21"/>
          <w:szCs w:val="21"/>
          <w:lang w:val="en-US" w:eastAsia="zh-CN"/>
        </w:rPr>
        <w:t>仪器</w:t>
      </w:r>
    </w:p>
    <w:p w14:paraId="3E8AA7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>1.酸度计:pHs-2C型</w:t>
      </w: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>1个</w:t>
      </w:r>
    </w:p>
    <w:p w14:paraId="3AEEF1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>2.pH 复合电极</w:t>
      </w: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>1支</w:t>
      </w:r>
    </w:p>
    <w:p w14:paraId="2240C0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>3. 烧杯 50 ml</w:t>
      </w: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>6 个</w:t>
      </w:r>
    </w:p>
    <w:p w14:paraId="057E40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>4.移液管 25 ml、10 ml</w:t>
      </w: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>各1支</w:t>
      </w:r>
    </w:p>
    <w:p w14:paraId="631041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>5.洗瓶</w:t>
      </w: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>2 个</w:t>
      </w:r>
    </w:p>
    <w:p w14:paraId="7A7988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Times New Roman" w:hAnsi="Times New Roman" w:cs="Times New Roman"/>
          <w:b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snapToGrid w:val="0"/>
          <w:kern w:val="0"/>
          <w:position w:val="6"/>
          <w:sz w:val="21"/>
          <w:szCs w:val="21"/>
          <w:lang w:val="en-US" w:eastAsia="zh-CN"/>
        </w:rPr>
        <w:t>试剂</w:t>
      </w:r>
    </w:p>
    <w:p w14:paraId="30F62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85" w:firstLineChars="374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  <w:t>1.邻苯二甲酸氢钾缓冲溶液(0.05mol/L):25℃时，pHs=4.008，市售</w:t>
      </w:r>
    </w:p>
    <w:p w14:paraId="45476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85" w:firstLineChars="374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  <w:t>2.混和磷酸盐标准缓冲溶液(0.25mol/L):25℃时，pHs=6.864，市售</w:t>
      </w:r>
    </w:p>
    <w:p w14:paraId="2E49B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85" w:firstLineChars="374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  <w:t>3.硼砂标准缓冲溶液(0.01mol/L):25℃时，pHs=9.182，市售</w:t>
      </w:r>
    </w:p>
    <w:p w14:paraId="05F67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85" w:firstLineChars="374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  <w:t>4. 标准溶液的 pH 值一般可以稳定数月，若要求精密度为 0.01 pH 时，有效期约为1个月。</w:t>
      </w:r>
    </w:p>
    <w:p w14:paraId="7D12A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85" w:firstLineChars="374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  <w:t>5.标准盐酸溶液(0.0067 mol/L):取 8.4ml浓盐酸于 1000ml容量瓶中，加水至1000 ml，另取上述溶液61 ml，于1000 ml容量瓶中，加水至 1000 ml，摇匀，即为盐酸标准溶液。</w:t>
      </w:r>
    </w:p>
    <w:p w14:paraId="4FF0E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85" w:firstLineChars="374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  <w:t>6.碳酸钠标准溶液(0.0050mol/L):准确称量 0.530gNa2CO3(在 285±10℃下烘2小时，置于干燥器中冷却到室温)，于100ml烧杯中，用少量水溶解，转移于 1000 ml容量瓶中稀释到刻度。</w:t>
      </w:r>
    </w:p>
    <w:p w14:paraId="32688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85" w:firstLineChars="374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  <w:t>7.甲基红-次甲基蓝混合指示剂:称取0.32g甲基红溶于80m195%乙醇中，加入6.0 ml 次甲基蓝乙醇溶液(0.01g次甲基蓝溶于100 m195%乙醇中)，混合后加入 1.2mINaOH溶液(pwo= 40.0 g/L),溶液呈暗色，贮存于棕色瓶中。</w:t>
      </w:r>
    </w:p>
    <w:p w14:paraId="7DE96E8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snapToGrid w:val="0"/>
          <w:kern w:val="0"/>
          <w:position w:val="6"/>
          <w:sz w:val="24"/>
          <w:szCs w:val="21"/>
          <w:lang w:eastAsia="zh-CN"/>
        </w:rPr>
      </w:pPr>
      <w:r>
        <w:rPr>
          <w:rFonts w:hint="default" w:ascii="Times New Roman" w:hAnsi="Times New Roman" w:cs="Times New Roman"/>
          <w:b/>
          <w:snapToGrid w:val="0"/>
          <w:kern w:val="0"/>
          <w:position w:val="6"/>
          <w:sz w:val="24"/>
          <w:szCs w:val="21"/>
        </w:rPr>
        <w:t>实验方法与步骤</w:t>
      </w:r>
    </w:p>
    <w:p w14:paraId="41F3F2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>1. 酸度计的定位:</w:t>
      </w:r>
    </w:p>
    <w:p w14:paraId="4AF579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>a)将电极放入中性标准缓冲溶液中，等数值稳定后校正至理论 pH值。</w:t>
      </w:r>
    </w:p>
    <w:p w14:paraId="2DCD74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>b)更换碱性标准缓冲液，用去离子水冲洗电极并吸干水分，待稳定后校正至理论 pH 值。(操作步骤同 pH 测定的实验)</w:t>
      </w:r>
    </w:p>
    <w:p w14:paraId="2F2E0E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>2. 盐酸溶液的标定。</w:t>
      </w:r>
    </w:p>
    <w:p w14:paraId="397D51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>a) 电位滴定法:移取 15 ml的标准碳酸钠溶液于50 ml干燥烧杯中，加入一个搅拌磁子，置于搅拌器上;放入电极加入13ml盐酸溶液，打开搅拌器，测定 pH 值，以后每加一次盐酸溶液(约每次 0.5 ml)，测定一个 pH 值，直到 pH小于3为止(平行测定2份)，用二阶微商方法准确求出盐酸的滴定体积(V)</w:t>
      </w:r>
    </w:p>
    <w:p w14:paraId="4554CA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>b)滴定法:移取 15.00ml标准碳酸钠溶液于 100ml干燥的三角瓶中，加入甲基红-次甲基蓝混合指示剂6滴，用稀盐酸溶液滴定。当溶液由橙色转变为稳定浅紫红色即为终点(V)</w:t>
      </w:r>
    </w:p>
    <w:p w14:paraId="03D8A0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>4.样品的测定:用移液管移取 25.00ml水样于 50ml洗净干燥的烧杯中，加入10.00 ml标准盐酸溶液，加一个搅拌子，置于搅拌器上、打开搅拌器，测定p值，重复测定，直到稳定为止(读数误差小于0.01pH)。平行测定两份，两次误差小于 0.02 pH。</w:t>
      </w:r>
    </w:p>
    <w:p w14:paraId="45887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</w:rPr>
      </w:pPr>
    </w:p>
    <w:p w14:paraId="72F4A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snapToGrid w:val="0"/>
          <w:kern w:val="0"/>
          <w:position w:val="6"/>
          <w:sz w:val="24"/>
          <w:szCs w:val="21"/>
          <w:lang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4789805</wp:posOffset>
            </wp:positionH>
            <wp:positionV relativeFrom="paragraph">
              <wp:posOffset>-238760</wp:posOffset>
            </wp:positionV>
            <wp:extent cx="754380" cy="4579620"/>
            <wp:effectExtent l="0" t="0" r="7620" b="7620"/>
            <wp:wrapSquare wrapText="bothSides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napToGrid w:val="0"/>
          <w:kern w:val="0"/>
          <w:position w:val="6"/>
          <w:sz w:val="24"/>
          <w:szCs w:val="21"/>
        </w:rPr>
        <w:t>五、实验结果与分析</w:t>
      </w:r>
    </w:p>
    <w:p w14:paraId="7DF82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napToGrid w:val="0"/>
          <w:kern w:val="0"/>
          <w:position w:val="6"/>
          <w:sz w:val="24"/>
          <w:szCs w:val="21"/>
          <w:lang w:eastAsia="zh-CN"/>
        </w:rPr>
        <w:t>（</w:t>
      </w: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  <w:t>1）盐酸浓度计算</w:t>
      </w:r>
    </w:p>
    <w:p w14:paraId="6FF708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both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  <w:t>电位滴定法：二阶微分法测定滴定体积</w:t>
      </w:r>
    </w:p>
    <w:p w14:paraId="30507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150" w:firstLineChars="548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610235</wp:posOffset>
            </wp:positionH>
            <wp:positionV relativeFrom="paragraph">
              <wp:posOffset>984250</wp:posOffset>
            </wp:positionV>
            <wp:extent cx="3398520" cy="1935480"/>
            <wp:effectExtent l="0" t="0" r="0" b="0"/>
            <wp:wrapSquare wrapText="bothSides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  <w:t>原始数据和二阶微分图如图，最终测得平均滴定体积为25mL</w:t>
      </w:r>
    </w:p>
    <w:p w14:paraId="5CD05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150" w:firstLineChars="548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1E3E4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150" w:firstLineChars="548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6055A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150" w:firstLineChars="548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2007E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150" w:firstLineChars="548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015C7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150" w:firstLineChars="548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4E8A8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150" w:firstLineChars="548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2E021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150" w:firstLineChars="548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05281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150" w:firstLineChars="548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5D08A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150" w:firstLineChars="548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589A4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150" w:firstLineChars="548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  <w:drawing>
          <wp:inline distT="0" distB="0" distL="114300" distR="114300">
            <wp:extent cx="3928745" cy="977265"/>
            <wp:effectExtent l="0" t="0" r="0" b="0"/>
            <wp:docPr id="6" name="图片 6" descr="d7cfbbfef9f94b301f7e420e2e92c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7cfbbfef9f94b301f7e420e2e92c56"/>
                    <pic:cNvPicPr>
                      <a:picLocks noChangeAspect="1"/>
                    </pic:cNvPicPr>
                  </pic:nvPicPr>
                  <pic:blipFill>
                    <a:blip r:embed="rId8"/>
                    <a:srcRect l="9055" t="23717" r="24802" b="47035"/>
                    <a:stretch>
                      <a:fillRect/>
                    </a:stretch>
                  </pic:blipFill>
                  <pic:spPr>
                    <a:xfrm>
                      <a:off x="0" y="0"/>
                      <a:ext cx="3928745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A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150" w:firstLineChars="548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  <w:t>滴定法：V</w:t>
      </w: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subscript"/>
          <w:lang w:val="en-US" w:eastAsia="zh-CN"/>
        </w:rPr>
        <w:t>HCl</w:t>
      </w: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=25.6mL,同理得</w:t>
      </w: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ab/>
      </w: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C=</w:t>
      </w:r>
      <w:r>
        <w:rPr>
          <w:rFonts w:hint="eastAsia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5.92</w:t>
      </w: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μmol/mL</w:t>
      </w:r>
    </w:p>
    <w:p w14:paraId="741A8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150" w:firstLineChars="548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3A726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150" w:firstLineChars="548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0CA0C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70348FE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  <w:t>绘制Alk对a</w:t>
      </w: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subscript"/>
          <w:lang w:val="en-US" w:eastAsia="zh-CN"/>
        </w:rPr>
        <w:t>H+</w:t>
      </w: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的关系曲线</w:t>
      </w:r>
    </w:p>
    <w:p w14:paraId="3F05F3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both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由公式</w:t>
      </w:r>
    </w:p>
    <w:p w14:paraId="5D4CEE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both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drawing>
          <wp:inline distT="0" distB="0" distL="114300" distR="114300">
            <wp:extent cx="4662170" cy="948055"/>
            <wp:effectExtent l="0" t="0" r="0" b="0"/>
            <wp:docPr id="7" name="图片 7" descr="be45dab4a37f3230c8fd748cf7c52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e45dab4a37f3230c8fd748cf7c52ac"/>
                    <pic:cNvPicPr>
                      <a:picLocks noChangeAspect="1"/>
                    </pic:cNvPicPr>
                  </pic:nvPicPr>
                  <pic:blipFill>
                    <a:blip r:embed="rId9"/>
                    <a:srcRect l="8043" t="9494" r="13433" b="-1541"/>
                    <a:stretch>
                      <a:fillRect/>
                    </a:stretch>
                  </pic:blipFill>
                  <pic:spPr>
                    <a:xfrm>
                      <a:off x="0" y="0"/>
                      <a:ext cx="466217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B1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firstLine="420" w:firstLineChars="0"/>
        <w:jc w:val="both"/>
        <w:textAlignment w:val="auto"/>
        <w:rPr>
          <w:rFonts w:hint="default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计算得：</w:t>
      </w:r>
      <w:r>
        <w:rPr>
          <w:rFonts w:hint="eastAsia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Alk=2.4*10</w:t>
      </w:r>
      <w:r>
        <w:rPr>
          <w:rFonts w:hint="eastAsia" w:cs="Times New Roman"/>
          <w:snapToGrid w:val="0"/>
          <w:kern w:val="0"/>
          <w:position w:val="6"/>
          <w:sz w:val="21"/>
          <w:szCs w:val="21"/>
          <w:vertAlign w:val="superscript"/>
          <w:lang w:val="en-US" w:eastAsia="zh-CN"/>
        </w:rPr>
        <w:t>3</w:t>
      </w:r>
      <w:r>
        <w:rPr>
          <w:rFonts w:hint="eastAsia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-1.87*10</w:t>
      </w:r>
      <w:r>
        <w:rPr>
          <w:rFonts w:hint="eastAsia" w:cs="Times New Roman"/>
          <w:snapToGrid w:val="0"/>
          <w:kern w:val="0"/>
          <w:position w:val="6"/>
          <w:sz w:val="21"/>
          <w:szCs w:val="21"/>
          <w:vertAlign w:val="superscript"/>
          <w:lang w:val="en-US" w:eastAsia="zh-CN"/>
        </w:rPr>
        <w:t>3</w:t>
      </w: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α</w:t>
      </w:r>
      <w:r>
        <w:rPr>
          <w:rFonts w:hint="eastAsia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 xml:space="preserve"> </w:t>
      </w:r>
      <w:r>
        <w:rPr>
          <w:rFonts w:hint="eastAsia" w:cs="Times New Roman"/>
          <w:snapToGrid w:val="0"/>
          <w:kern w:val="0"/>
          <w:position w:val="6"/>
          <w:sz w:val="21"/>
          <w:szCs w:val="21"/>
          <w:vertAlign w:val="subscript"/>
          <w:lang w:val="en-US" w:eastAsia="zh-CN"/>
        </w:rPr>
        <w:t>H+</w:t>
      </w:r>
    </w:p>
    <w:p w14:paraId="21D0FE2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测得样品pH分别为3.101与3.113，平均得3.107，带入pH换算表得</w:t>
      </w: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α</w:t>
      </w:r>
      <w:r>
        <w:rPr>
          <w:rFonts w:hint="eastAsia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 xml:space="preserve"> </w:t>
      </w:r>
      <w:r>
        <w:rPr>
          <w:rFonts w:hint="eastAsia" w:cs="Times New Roman"/>
          <w:snapToGrid w:val="0"/>
          <w:kern w:val="0"/>
          <w:position w:val="6"/>
          <w:sz w:val="21"/>
          <w:szCs w:val="21"/>
          <w:vertAlign w:val="subscript"/>
          <w:lang w:val="en-US" w:eastAsia="zh-CN"/>
        </w:rPr>
        <w:t>H+</w:t>
      </w:r>
      <w:r>
        <w:rPr>
          <w:rFonts w:hint="eastAsia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=0.776</w:t>
      </w:r>
    </w:p>
    <w:p w14:paraId="61A62E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both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带入计算得到Alk=948.8</w:t>
      </w:r>
    </w:p>
    <w:p w14:paraId="6D524A5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思考题</w:t>
      </w:r>
    </w:p>
    <w:p w14:paraId="537B49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1.为什么酸度计的标定可以用NBS buffer溶液？</w:t>
      </w:r>
    </w:p>
    <w:p w14:paraId="57EB39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both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（1）.稳定性和准确性</w:t>
      </w:r>
    </w:p>
    <w:p w14:paraId="1DB3F2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both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稳定性：NBS缓冲溶液在较长时间内保持稳定，不易受环境因素的影响。</w:t>
      </w:r>
    </w:p>
    <w:p w14:paraId="7DE099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both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准确性：NBS缓冲溶液的pH值经过严格测定和校准，具有很高的准确性。</w:t>
      </w:r>
    </w:p>
    <w:p w14:paraId="6ECC2F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both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（2）.可追溯性</w:t>
      </w:r>
    </w:p>
    <w:p w14:paraId="30069E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both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标准可追溯：NBS缓冲溶液的pH值可以追溯到国际标准，确保测量结果的一致性和可靠性。</w:t>
      </w:r>
    </w:p>
    <w:p w14:paraId="59D8DA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both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（3）. 广泛适用性</w:t>
      </w:r>
    </w:p>
    <w:p w14:paraId="2652D2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both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多种pH值：NBS缓冲溶液提供多个不同pH值的标准溶液，适用于不同范围的pH测量需求。</w:t>
      </w:r>
    </w:p>
    <w:p w14:paraId="396E9A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both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常见pH值：常用的NBS缓冲溶液包括pH 4.00、7.00和10.00，这些pH值覆盖了大多数实际应用中的pH范围。</w:t>
      </w:r>
    </w:p>
    <w:p w14:paraId="2CFE62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both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</w:pPr>
    </w:p>
    <w:p w14:paraId="4C4E8C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2.判断在盐酸标定过程中，用二阶微商方法准确求出的盐酸滴定体积和用甲基红-次甲基蓝混合指示剂滴定法得到的盐酸滴定体积是否一致?如果被滴定溶液换成海水，两种方法所获得的盐酸滴定体积会一致吗?为什么?</w:t>
      </w:r>
    </w:p>
    <w:p w14:paraId="35E41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150" w:firstLineChars="548"/>
        <w:textAlignment w:val="auto"/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  <w:t>一致。</w:t>
      </w:r>
    </w:p>
    <w:p w14:paraId="115BF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150" w:firstLineChars="548"/>
        <w:textAlignment w:val="auto"/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  <w:t>不一样：</w:t>
      </w:r>
    </w:p>
    <w:p w14:paraId="3EC52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566" w:firstLineChars="746"/>
        <w:textAlignment w:val="auto"/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  <w:t>（1）差异可能性：由于海水中存在多种离子，可能会对指示剂的颜色变化和滴定曲线</w:t>
      </w:r>
      <w:r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  <w:t>的形状产生影响，因此两种方法得到的盐酸滴定体积可能会有所不同。</w:t>
      </w:r>
    </w:p>
    <w:p w14:paraId="55820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566" w:firstLineChars="746"/>
        <w:textAlignment w:val="auto"/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  <w:t>（2）推荐方法：在滴定海水时，推荐使用二阶微商方法，因为它对复杂溶液的适应性</w:t>
      </w:r>
      <w:r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  <w:t>更强，能够更准确地确定滴定终点。</w:t>
      </w:r>
    </w:p>
    <w:p w14:paraId="70D1A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150" w:firstLineChars="548"/>
        <w:textAlignment w:val="auto"/>
        <w:rPr>
          <w:rFonts w:hint="default" w:cs="Times New Roman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1A202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</w:rPr>
      </w:pPr>
    </w:p>
    <w:p w14:paraId="3E7D7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napToGrid w:val="0"/>
          <w:kern w:val="0"/>
          <w:position w:val="6"/>
          <w:sz w:val="21"/>
          <w:szCs w:val="21"/>
          <w:lang w:val="en-US" w:eastAsia="zh-CN"/>
        </w:rPr>
        <w:t xml:space="preserve"> </w:t>
      </w:r>
    </w:p>
    <w:sectPr>
      <w:pgSz w:w="11906" w:h="16838"/>
      <w:pgMar w:top="1440" w:right="74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8978AA"/>
    <w:multiLevelType w:val="singleLevel"/>
    <w:tmpl w:val="A68978AA"/>
    <w:lvl w:ilvl="0" w:tentative="0">
      <w:start w:val="6"/>
      <w:numFmt w:val="chineseCounting"/>
      <w:suff w:val="nothing"/>
      <w:lvlText w:val="%1，"/>
      <w:lvlJc w:val="left"/>
      <w:rPr>
        <w:rFonts w:hint="eastAsia"/>
      </w:rPr>
    </w:lvl>
  </w:abstractNum>
  <w:abstractNum w:abstractNumId="1">
    <w:nsid w:val="A9FEEA2E"/>
    <w:multiLevelType w:val="singleLevel"/>
    <w:tmpl w:val="A9FEEA2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B3992F3F"/>
    <w:multiLevelType w:val="singleLevel"/>
    <w:tmpl w:val="B3992F3F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D3005878"/>
    <w:multiLevelType w:val="singleLevel"/>
    <w:tmpl w:val="D300587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4BBA8068"/>
    <w:multiLevelType w:val="singleLevel"/>
    <w:tmpl w:val="4BBA8068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IyODdmZjY0Zjg0ZWQ3ZmVhZDA3NDFkNTYwZGEwNjYifQ=="/>
  </w:docVars>
  <w:rsids>
    <w:rsidRoot w:val="00A357B9"/>
    <w:rsid w:val="000A0E2E"/>
    <w:rsid w:val="001031EF"/>
    <w:rsid w:val="001A65BF"/>
    <w:rsid w:val="001D005D"/>
    <w:rsid w:val="001E206A"/>
    <w:rsid w:val="001E7D4E"/>
    <w:rsid w:val="0021389A"/>
    <w:rsid w:val="00230A0A"/>
    <w:rsid w:val="00264666"/>
    <w:rsid w:val="002D05A9"/>
    <w:rsid w:val="002F2047"/>
    <w:rsid w:val="00304048"/>
    <w:rsid w:val="00305AFC"/>
    <w:rsid w:val="00332279"/>
    <w:rsid w:val="00347C2F"/>
    <w:rsid w:val="00375755"/>
    <w:rsid w:val="00394810"/>
    <w:rsid w:val="0039696B"/>
    <w:rsid w:val="003A17E8"/>
    <w:rsid w:val="003A7C69"/>
    <w:rsid w:val="003B6176"/>
    <w:rsid w:val="003C043F"/>
    <w:rsid w:val="003C7976"/>
    <w:rsid w:val="003D11EE"/>
    <w:rsid w:val="003D14FC"/>
    <w:rsid w:val="003F2092"/>
    <w:rsid w:val="003F253B"/>
    <w:rsid w:val="00415A2A"/>
    <w:rsid w:val="00432FA7"/>
    <w:rsid w:val="00485C6A"/>
    <w:rsid w:val="00494E46"/>
    <w:rsid w:val="004A14AC"/>
    <w:rsid w:val="004A37E8"/>
    <w:rsid w:val="004D353A"/>
    <w:rsid w:val="004F3977"/>
    <w:rsid w:val="004F5BEB"/>
    <w:rsid w:val="00517CED"/>
    <w:rsid w:val="00521370"/>
    <w:rsid w:val="0052447D"/>
    <w:rsid w:val="00541C1C"/>
    <w:rsid w:val="005709D6"/>
    <w:rsid w:val="005858FF"/>
    <w:rsid w:val="005C15F6"/>
    <w:rsid w:val="005E77BD"/>
    <w:rsid w:val="006226B8"/>
    <w:rsid w:val="00623E6C"/>
    <w:rsid w:val="00685C21"/>
    <w:rsid w:val="00690456"/>
    <w:rsid w:val="00694F8D"/>
    <w:rsid w:val="006A2BA3"/>
    <w:rsid w:val="006A487C"/>
    <w:rsid w:val="006A66F7"/>
    <w:rsid w:val="00712199"/>
    <w:rsid w:val="00735C43"/>
    <w:rsid w:val="0076394D"/>
    <w:rsid w:val="0076591F"/>
    <w:rsid w:val="00784F1C"/>
    <w:rsid w:val="0079595D"/>
    <w:rsid w:val="007B18D9"/>
    <w:rsid w:val="007E32EF"/>
    <w:rsid w:val="007F4E32"/>
    <w:rsid w:val="00857ABC"/>
    <w:rsid w:val="008812D2"/>
    <w:rsid w:val="008C5410"/>
    <w:rsid w:val="008E37E5"/>
    <w:rsid w:val="008F2497"/>
    <w:rsid w:val="008F4C72"/>
    <w:rsid w:val="009043DA"/>
    <w:rsid w:val="009240C0"/>
    <w:rsid w:val="009329FE"/>
    <w:rsid w:val="00942624"/>
    <w:rsid w:val="00977575"/>
    <w:rsid w:val="009C762B"/>
    <w:rsid w:val="009D4779"/>
    <w:rsid w:val="009D701C"/>
    <w:rsid w:val="00A357B9"/>
    <w:rsid w:val="00A7675D"/>
    <w:rsid w:val="00A773BF"/>
    <w:rsid w:val="00A92CAA"/>
    <w:rsid w:val="00AC288A"/>
    <w:rsid w:val="00AD377F"/>
    <w:rsid w:val="00AF6AD6"/>
    <w:rsid w:val="00B07A09"/>
    <w:rsid w:val="00B20D17"/>
    <w:rsid w:val="00B44D5B"/>
    <w:rsid w:val="00B47C67"/>
    <w:rsid w:val="00B50323"/>
    <w:rsid w:val="00B71BD9"/>
    <w:rsid w:val="00B74045"/>
    <w:rsid w:val="00B77CFB"/>
    <w:rsid w:val="00BF0507"/>
    <w:rsid w:val="00C60062"/>
    <w:rsid w:val="00C64FD0"/>
    <w:rsid w:val="00C92BE6"/>
    <w:rsid w:val="00CF24C1"/>
    <w:rsid w:val="00CF4A0A"/>
    <w:rsid w:val="00D0300C"/>
    <w:rsid w:val="00D168A1"/>
    <w:rsid w:val="00D43303"/>
    <w:rsid w:val="00D75C14"/>
    <w:rsid w:val="00D81C13"/>
    <w:rsid w:val="00D96F41"/>
    <w:rsid w:val="00DA2642"/>
    <w:rsid w:val="00DB75EB"/>
    <w:rsid w:val="00E02CB0"/>
    <w:rsid w:val="00E51FC8"/>
    <w:rsid w:val="00E63C18"/>
    <w:rsid w:val="00E67AA4"/>
    <w:rsid w:val="00E81253"/>
    <w:rsid w:val="00E934BD"/>
    <w:rsid w:val="00EE1930"/>
    <w:rsid w:val="00F015CC"/>
    <w:rsid w:val="00F15305"/>
    <w:rsid w:val="00F3326A"/>
    <w:rsid w:val="00F9367A"/>
    <w:rsid w:val="00FC5788"/>
    <w:rsid w:val="00FD072A"/>
    <w:rsid w:val="00FE28AC"/>
    <w:rsid w:val="00FF422F"/>
    <w:rsid w:val="03D015F1"/>
    <w:rsid w:val="10F61427"/>
    <w:rsid w:val="17493CBF"/>
    <w:rsid w:val="24C90A34"/>
    <w:rsid w:val="3EB073EA"/>
    <w:rsid w:val="49F566BD"/>
    <w:rsid w:val="52457F3E"/>
    <w:rsid w:val="5C6A7000"/>
    <w:rsid w:val="7FD8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8"/>
    <w:qFormat/>
    <w:uiPriority w:val="0"/>
    <w:pPr>
      <w:jc w:val="left"/>
    </w:pPr>
  </w:style>
  <w:style w:type="paragraph" w:styleId="4">
    <w:name w:val="Balloon Text"/>
    <w:basedOn w:val="1"/>
    <w:link w:val="20"/>
    <w:qFormat/>
    <w:uiPriority w:val="0"/>
    <w:rPr>
      <w:sz w:val="18"/>
      <w:szCs w:val="18"/>
    </w:rPr>
  </w:style>
  <w:style w:type="paragraph" w:styleId="5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8">
    <w:name w:val="annotation subject"/>
    <w:basedOn w:val="3"/>
    <w:next w:val="3"/>
    <w:link w:val="19"/>
    <w:uiPriority w:val="0"/>
    <w:rPr>
      <w:b/>
      <w:bCs/>
    </w:rPr>
  </w:style>
  <w:style w:type="table" w:styleId="10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annotation reference"/>
    <w:qFormat/>
    <w:uiPriority w:val="0"/>
    <w:rPr>
      <w:sz w:val="21"/>
      <w:szCs w:val="21"/>
    </w:rPr>
  </w:style>
  <w:style w:type="character" w:customStyle="1" w:styleId="13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14">
    <w:name w:val="页脚 Char"/>
    <w:link w:val="5"/>
    <w:qFormat/>
    <w:uiPriority w:val="0"/>
    <w:rPr>
      <w:kern w:val="2"/>
      <w:sz w:val="18"/>
      <w:szCs w:val="18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/>
    </w:rPr>
  </w:style>
  <w:style w:type="character" w:customStyle="1" w:styleId="16">
    <w:name w:val="引用 Char"/>
    <w:link w:val="15"/>
    <w:qFormat/>
    <w:uiPriority w:val="29"/>
    <w:rPr>
      <w:i/>
      <w:iCs/>
      <w:color w:val="000000"/>
      <w:kern w:val="2"/>
      <w:sz w:val="21"/>
      <w:szCs w:val="24"/>
    </w:rPr>
  </w:style>
  <w:style w:type="paragraph" w:styleId="17">
    <w:name w:val="List Paragraph"/>
    <w:basedOn w:val="1"/>
    <w:qFormat/>
    <w:uiPriority w:val="34"/>
    <w:pPr>
      <w:widowControl/>
      <w:spacing w:after="160" w:line="259" w:lineRule="auto"/>
      <w:ind w:firstLine="420" w:firstLineChars="200"/>
      <w:jc w:val="left"/>
    </w:pPr>
    <w:rPr>
      <w:rFonts w:ascii="Calibri" w:hAnsi="Calibri"/>
      <w:kern w:val="0"/>
      <w:sz w:val="22"/>
      <w:szCs w:val="22"/>
      <w:lang w:val="en-GB"/>
    </w:rPr>
  </w:style>
  <w:style w:type="character" w:customStyle="1" w:styleId="18">
    <w:name w:val="批注文字 字符"/>
    <w:link w:val="3"/>
    <w:uiPriority w:val="0"/>
    <w:rPr>
      <w:kern w:val="2"/>
      <w:sz w:val="21"/>
      <w:szCs w:val="24"/>
    </w:rPr>
  </w:style>
  <w:style w:type="character" w:customStyle="1" w:styleId="19">
    <w:name w:val="批注主题 字符"/>
    <w:link w:val="8"/>
    <w:qFormat/>
    <w:uiPriority w:val="0"/>
    <w:rPr>
      <w:b/>
      <w:bCs/>
      <w:kern w:val="2"/>
      <w:sz w:val="21"/>
      <w:szCs w:val="24"/>
    </w:rPr>
  </w:style>
  <w:style w:type="character" w:customStyle="1" w:styleId="20">
    <w:name w:val="批注框文本 字符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1693</Words>
  <Characters>2133</Characters>
  <Lines>1</Lines>
  <Paragraphs>1</Paragraphs>
  <TotalTime>21</TotalTime>
  <ScaleCrop>false</ScaleCrop>
  <LinksUpToDate>false</LinksUpToDate>
  <CharactersWithSpaces>2390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2022-02-21T10:10:00Z</dcterms:created>
  <dc:creator>微软用户</dc:creator>
  <cp:lastModifiedBy> 麟</cp:lastModifiedBy>
  <cp:lastPrinted>2019-11-28T08:49:00Z</cp:lastPrinted>
  <dcterms:modified xsi:type="dcterms:W3CDTF">2026-08-10T09:39:34Z</dcterms:modified>
  <dc:title>实验报告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3D9548E5DCB44B9790252F0237F1D9CE_12</vt:lpwstr>
  </property>
  <property fmtid="{D5CDD505-2E9C-101B-9397-08002B2CF9AE}" pid="4" name="KSOTemplateDocerSaveRecord">
    <vt:lpwstr>eyJoZGlkIjoiOWYyMzVmZTBjYjExYjUxNTY5YzZhZmIxZjJlZTU5OTgiLCJ1c2VySWQiOiIxNjM4OTk2ODkwIn0=</vt:lpwstr>
  </property>
</Properties>
</file>