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2BC76">
      <w:pPr>
        <w:pStyle w:val="15"/>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i w:val="0"/>
          <w:snapToGrid w:val="0"/>
        </w:rPr>
      </w:pPr>
      <w:bookmarkStart w:id="0" w:name="_GoBack"/>
      <w:bookmarkEnd w:id="0"/>
      <w:r>
        <w:rPr>
          <w:rFonts w:hint="eastAsia"/>
          <w:i w:val="0"/>
        </w:rPr>
        <mc:AlternateContent>
          <mc:Choice Requires="wps">
            <w:drawing>
              <wp:anchor distT="0" distB="0" distL="114300" distR="114300" simplePos="0" relativeHeight="251659264" behindDoc="0" locked="0" layoutInCell="1" allowOverlap="1">
                <wp:simplePos x="0" y="0"/>
                <wp:positionH relativeFrom="column">
                  <wp:posOffset>4244340</wp:posOffset>
                </wp:positionH>
                <wp:positionV relativeFrom="paragraph">
                  <wp:posOffset>-396240</wp:posOffset>
                </wp:positionV>
                <wp:extent cx="1927860" cy="1188720"/>
                <wp:effectExtent l="0" t="381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27860" cy="1188720"/>
                        </a:xfrm>
                        <a:prstGeom prst="rect">
                          <a:avLst/>
                        </a:prstGeom>
                        <a:solidFill>
                          <a:srgbClr val="FFFFFF"/>
                        </a:solidFill>
                        <a:ln>
                          <a:noFill/>
                        </a:ln>
                      </wps:spPr>
                      <wps:txbx>
                        <w:txbxContent>
                          <w:p w14:paraId="2B4AB465">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 xml:space="preserve">海洋科学   </w:t>
                            </w:r>
                            <w:r>
                              <w:rPr>
                                <w:rFonts w:hint="eastAsia"/>
                                <w:u w:val="single"/>
                              </w:rPr>
                              <w:t xml:space="preserve">            </w:t>
                            </w:r>
                          </w:p>
                          <w:p w14:paraId="74676986">
                            <w:pPr>
                              <w:adjustRightInd w:val="0"/>
                              <w:snapToGrid w:val="0"/>
                              <w:spacing w:line="300" w:lineRule="auto"/>
                              <w:rPr>
                                <w:rFonts w:hint="eastAsia"/>
                                <w:u w:val="single"/>
                              </w:rPr>
                            </w:pPr>
                            <w:r>
                              <w:rPr>
                                <w:rFonts w:hint="eastAsia"/>
                              </w:rPr>
                              <w:t>姓名：</w:t>
                            </w:r>
                            <w:r>
                              <w:rPr>
                                <w:rFonts w:hint="eastAsia"/>
                                <w:u w:val="single"/>
                              </w:rPr>
                              <w:t xml:space="preserve">   </w:t>
                            </w:r>
                            <w:r>
                              <w:rPr>
                                <w:u w:val="single"/>
                              </w:rPr>
                              <w:t xml:space="preserve"> </w:t>
                            </w:r>
                            <w:r>
                              <w:rPr>
                                <w:rFonts w:hint="eastAsia"/>
                                <w:u w:val="single"/>
                              </w:rPr>
                              <w:t xml:space="preserve">              </w:t>
                            </w:r>
                          </w:p>
                          <w:p w14:paraId="63F9D2C2">
                            <w:pPr>
                              <w:adjustRightInd w:val="0"/>
                              <w:snapToGrid w:val="0"/>
                              <w:spacing w:line="300" w:lineRule="auto"/>
                              <w:rPr>
                                <w:rFonts w:hint="eastAsia"/>
                              </w:rPr>
                            </w:pPr>
                            <w:r>
                              <w:rPr>
                                <w:rFonts w:hint="eastAsia"/>
                              </w:rPr>
                              <w:t>学号：</w:t>
                            </w:r>
                            <w:r>
                              <w:rPr>
                                <w:rFonts w:hint="eastAsia"/>
                                <w:u w:val="single"/>
                              </w:rPr>
                              <w:t xml:space="preserve">                 </w:t>
                            </w:r>
                          </w:p>
                          <w:p w14:paraId="0E30E29F">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2024.11.11</w:t>
                            </w:r>
                            <w:r>
                              <w:rPr>
                                <w:rFonts w:hint="eastAsia"/>
                                <w:u w:val="single"/>
                              </w:rPr>
                              <w:t xml:space="preserve">               </w:t>
                            </w:r>
                          </w:p>
                          <w:p w14:paraId="6EC8C47D">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海科楼</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34.2pt;margin-top:-31.2pt;height:93.6pt;width:151.8pt;z-index:251659264;mso-width-relative:page;mso-height-relative:page;" fillcolor="#FFFFFF" filled="t" stroked="f" coordsize="21600,21600" o:gfxdata="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BjcG/YAAAACwEA&#10;AA8AAAAAAAAAAQAgAAAAIgAAAGRycy9kb3ducmV2LnhtbFBLAQIUABQAAAAIAIdO4kCzLNluGgIA&#10;AD4EAAAOAAAAAAAAAAEAIAAAACcBAABkcnMvZTJvRG9jLnhtbFBLBQYAAAAABgAGAFkBAACzBQAA&#10;AAA=&#10;">
                <v:fill on="t" focussize="0,0"/>
                <v:stroke on="f"/>
                <v:imagedata o:title=""/>
                <o:lock v:ext="edit" aspectratio="f"/>
                <v:textbox>
                  <w:txbxContent>
                    <w:p w14:paraId="2B4AB465">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 xml:space="preserve">海洋科学   </w:t>
                      </w:r>
                      <w:r>
                        <w:rPr>
                          <w:rFonts w:hint="eastAsia"/>
                          <w:u w:val="single"/>
                        </w:rPr>
                        <w:t xml:space="preserve">            </w:t>
                      </w:r>
                    </w:p>
                    <w:p w14:paraId="74676986">
                      <w:pPr>
                        <w:adjustRightInd w:val="0"/>
                        <w:snapToGrid w:val="0"/>
                        <w:spacing w:line="300" w:lineRule="auto"/>
                        <w:rPr>
                          <w:rFonts w:hint="eastAsia"/>
                          <w:u w:val="single"/>
                        </w:rPr>
                      </w:pPr>
                      <w:r>
                        <w:rPr>
                          <w:rFonts w:hint="eastAsia"/>
                        </w:rPr>
                        <w:t>姓名：</w:t>
                      </w:r>
                      <w:r>
                        <w:rPr>
                          <w:rFonts w:hint="eastAsia"/>
                          <w:u w:val="single"/>
                        </w:rPr>
                        <w:t xml:space="preserve">   </w:t>
                      </w:r>
                      <w:r>
                        <w:rPr>
                          <w:u w:val="single"/>
                        </w:rPr>
                        <w:t xml:space="preserve"> </w:t>
                      </w:r>
                      <w:r>
                        <w:rPr>
                          <w:rFonts w:hint="eastAsia"/>
                          <w:u w:val="single"/>
                        </w:rPr>
                        <w:t xml:space="preserve">              </w:t>
                      </w:r>
                    </w:p>
                    <w:p w14:paraId="63F9D2C2">
                      <w:pPr>
                        <w:adjustRightInd w:val="0"/>
                        <w:snapToGrid w:val="0"/>
                        <w:spacing w:line="300" w:lineRule="auto"/>
                        <w:rPr>
                          <w:rFonts w:hint="eastAsia"/>
                        </w:rPr>
                      </w:pPr>
                      <w:r>
                        <w:rPr>
                          <w:rFonts w:hint="eastAsia"/>
                        </w:rPr>
                        <w:t>学号：</w:t>
                      </w:r>
                      <w:r>
                        <w:rPr>
                          <w:rFonts w:hint="eastAsia"/>
                          <w:u w:val="single"/>
                        </w:rPr>
                        <w:t xml:space="preserve">                 </w:t>
                      </w:r>
                    </w:p>
                    <w:p w14:paraId="0E30E29F">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2024.11.11</w:t>
                      </w:r>
                      <w:r>
                        <w:rPr>
                          <w:rFonts w:hint="eastAsia"/>
                          <w:u w:val="single"/>
                        </w:rPr>
                        <w:t xml:space="preserve">               </w:t>
                      </w:r>
                    </w:p>
                    <w:p w14:paraId="6EC8C47D">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海科楼</w:t>
                      </w:r>
                      <w:r>
                        <w:rPr>
                          <w:rFonts w:hint="eastAsia"/>
                          <w:u w:val="single"/>
                        </w:rPr>
                        <w:t xml:space="preserve">               </w:t>
                      </w:r>
                    </w:p>
                  </w:txbxContent>
                </v:textbox>
              </v:shape>
            </w:pict>
          </mc:Fallback>
        </mc:AlternateContent>
      </w:r>
      <w:r>
        <w:rPr>
          <w:rFonts w:hint="eastAsia"/>
          <w:i w:val="0"/>
          <w:snapToGrid w:val="0"/>
        </w:rPr>
        <w:t xml:space="preserve">          </w:t>
      </w:r>
      <w:r>
        <w:rPr>
          <w:rFonts w:hint="eastAsia"/>
          <w:i w:val="0"/>
        </w:rPr>
        <w:drawing>
          <wp:inline distT="0" distB="0" distL="0" distR="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eastAsia" w:ascii="华文楷体" w:hAnsi="华文楷体" w:eastAsia="华文楷体"/>
          <w:b/>
          <w:i w:val="0"/>
          <w:snapToGrid w:val="0"/>
          <w:spacing w:val="20"/>
          <w:position w:val="18"/>
          <w:sz w:val="48"/>
        </w:rPr>
        <w:t>实验报告</w:t>
      </w:r>
    </w:p>
    <w:p w14:paraId="7904FA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p>
    <w:p w14:paraId="62466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海水分析化学实验</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Pr>
          <w:rFonts w:hint="eastAsia"/>
          <w:snapToGrid w:val="0"/>
          <w:kern w:val="0"/>
          <w:position w:val="6"/>
          <w:szCs w:val="21"/>
          <w:u w:val="single"/>
          <w:lang w:val="en-US" w:eastAsia="zh-CN"/>
        </w:rPr>
        <w:t>孙晓霞</w:t>
      </w:r>
      <w:r>
        <w:rPr>
          <w:rFonts w:hint="eastAsia"/>
          <w:snapToGrid w:val="0"/>
          <w:kern w:val="0"/>
          <w:position w:val="6"/>
          <w:szCs w:val="21"/>
          <w:u w:val="single"/>
        </w:rPr>
        <w:t xml:space="preserve">         </w:t>
      </w:r>
      <w:r>
        <w:rPr>
          <w:rFonts w:hint="eastAsia"/>
          <w:snapToGrid w:val="0"/>
          <w:kern w:val="0"/>
          <w:position w:val="6"/>
          <w:szCs w:val="21"/>
        </w:rPr>
        <w:t>成绩：________________</w:t>
      </w:r>
    </w:p>
    <w:p w14:paraId="7073FBFF">
      <w:pPr>
        <w:keepNext w:val="0"/>
        <w:keepLines w:val="0"/>
        <w:pageBreakBefore w:val="0"/>
        <w:widowControl w:val="0"/>
        <w:kinsoku/>
        <w:wordWrap/>
        <w:overflowPunct/>
        <w:topLinePunct w:val="0"/>
        <w:autoSpaceDE/>
        <w:autoSpaceDN/>
        <w:bidi w:val="0"/>
        <w:adjustRightInd/>
        <w:snapToGrid/>
        <w:spacing w:line="360" w:lineRule="auto"/>
        <w:textAlignment w:val="auto"/>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海水中氯度和盐度的测定</w:t>
      </w:r>
      <w:r>
        <w:rPr>
          <w:rFonts w:hint="eastAsia"/>
          <w:snapToGrid w:val="0"/>
          <w:kern w:val="0"/>
          <w:position w:val="6"/>
          <w:szCs w:val="21"/>
          <w:u w:val="single"/>
        </w:rPr>
        <w:t xml:space="preserve">  </w:t>
      </w:r>
    </w:p>
    <w:p w14:paraId="547142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single"/>
        </w:rPr>
      </w:pPr>
      <w:r>
        <w:rPr>
          <w:rFonts w:hint="eastAsia"/>
          <w:snapToGrid w:val="0"/>
          <w:kern w:val="0"/>
          <w:position w:val="6"/>
          <w:szCs w:val="21"/>
        </w:rPr>
        <w:t>同组学生姓名：</w:t>
      </w:r>
      <w:r>
        <w:rPr>
          <w:rFonts w:hint="eastAsia"/>
          <w:snapToGrid w:val="0"/>
          <w:kern w:val="0"/>
          <w:position w:val="6"/>
          <w:szCs w:val="21"/>
          <w:u w:val="single"/>
        </w:rPr>
        <w:t xml:space="preserve">    </w:t>
      </w:r>
      <w:r>
        <w:rPr>
          <w:rFonts w:hint="eastAsia"/>
          <w:snapToGrid w:val="0"/>
          <w:kern w:val="0"/>
          <w:position w:val="6"/>
          <w:szCs w:val="21"/>
          <w:u w:val="single"/>
          <w:lang w:val="en-US" w:eastAsia="zh-CN"/>
        </w:rPr>
        <w:t>魏元瀚</w:t>
      </w:r>
      <w:r>
        <w:rPr>
          <w:rFonts w:hint="eastAsia"/>
          <w:snapToGrid w:val="0"/>
          <w:kern w:val="0"/>
          <w:position w:val="6"/>
          <w:szCs w:val="21"/>
          <w:u w:val="single"/>
        </w:rPr>
        <w:t xml:space="preserve">    </w:t>
      </w:r>
    </w:p>
    <w:p w14:paraId="2387E6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p>
    <w:p w14:paraId="03C74D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napToGrid w:val="0"/>
          <w:kern w:val="0"/>
          <w:position w:val="6"/>
          <w:sz w:val="24"/>
          <w:szCs w:val="21"/>
        </w:rPr>
      </w:pPr>
    </w:p>
    <w:p w14:paraId="52321E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一、实验目的与要求</w:t>
      </w:r>
    </w:p>
    <w:p w14:paraId="193F81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1. 掌握荧光黄法测定海水中氯度以及电导盐度计测量海水盐度的方法原理及实验条件;</w:t>
      </w:r>
    </w:p>
    <w:p w14:paraId="7FFE81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2.掌握荧光黄法测定海水氯度的操作，掌握电导盐度的计算方法，并获得可靠实验结果。</w:t>
      </w:r>
    </w:p>
    <w:p w14:paraId="1517BE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3. 对比两种方法获得海水盐度的差异及难易程度</w:t>
      </w:r>
    </w:p>
    <w:p w14:paraId="2AF69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二、实验原理与内容</w:t>
      </w:r>
    </w:p>
    <w:p w14:paraId="3CC110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氯度,相当于沉淀海水样品中全部卤素所需的原子量银的质量与海水质量之比的 0.3285234 倍，用符号 C1表示，无量纲单位为 1x10</w:t>
      </w:r>
      <w:r>
        <w:rPr>
          <w:rFonts w:hint="eastAsia" w:ascii="宋体" w:hAnsi="宋体"/>
          <w:snapToGrid w:val="0"/>
          <w:kern w:val="0"/>
          <w:position w:val="6"/>
          <w:sz w:val="21"/>
          <w:szCs w:val="21"/>
          <w:lang w:val="en-US" w:eastAsia="zh-CN"/>
        </w:rPr>
        <w:t>^-3</w:t>
      </w:r>
      <w:r>
        <w:rPr>
          <w:rFonts w:hint="eastAsia" w:ascii="宋体" w:hAnsi="宋体"/>
          <w:snapToGrid w:val="0"/>
          <w:kern w:val="0"/>
          <w:position w:val="6"/>
          <w:sz w:val="21"/>
          <w:szCs w:val="21"/>
        </w:rPr>
        <w:t>。在一定量的水样中加入荧光黄钠盐作为指示剂，用标准硝酸银溶液进行滴定，反应产生 AgX 的表面能吸附带电荷的粒子，在等当点之前，沉淀表面吸附 C1而带负电荷。在等当点之后沉淀的表面吸附溶剂中的 Ag离子，变成带正电荷的沉淀微粒。荧光黄钠盐是一个弱酸盐。它的阴离子被吸附在带正电荷的沉淀表面上，使沉淀由黄绿色变为浅玫瑰红色，指示终点到达。</w:t>
      </w:r>
    </w:p>
    <w:p w14:paraId="12A04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b/>
          <w:bCs/>
          <w:snapToGrid w:val="0"/>
          <w:kern w:val="0"/>
          <w:position w:val="6"/>
          <w:sz w:val="21"/>
          <w:szCs w:val="21"/>
          <w:lang w:val="en-US" w:eastAsia="zh-CN"/>
        </w:rPr>
      </w:pPr>
      <w:r>
        <w:rPr>
          <w:rFonts w:hint="eastAsia" w:ascii="宋体" w:hAnsi="宋体"/>
          <w:snapToGrid w:val="0"/>
          <w:kern w:val="0"/>
          <w:position w:val="6"/>
          <w:sz w:val="21"/>
          <w:szCs w:val="21"/>
        </w:rPr>
        <w:t>通过该原理,滴定海水中的氯度,并通过 Cox 提出的氯度和盐度之间的计算公式，计算出海水的盐度值</w:t>
      </w:r>
      <w:r>
        <w:rPr>
          <w:rFonts w:hint="eastAsia" w:ascii="宋体" w:hAnsi="宋体"/>
          <w:snapToGrid w:val="0"/>
          <w:kern w:val="0"/>
          <w:position w:val="6"/>
          <w:sz w:val="21"/>
          <w:szCs w:val="21"/>
          <w:lang w:val="en-US" w:eastAsia="zh-CN"/>
        </w:rPr>
        <w:t>.</w:t>
      </w:r>
    </w:p>
    <w:p w14:paraId="5AE9D67F">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center"/>
        <w:textAlignment w:val="auto"/>
        <w:rPr>
          <w:rFonts w:hint="eastAsia" w:ascii="宋体" w:hAnsi="宋体"/>
          <w:b/>
          <w:bCs/>
          <w:snapToGrid w:val="0"/>
          <w:kern w:val="0"/>
          <w:position w:val="6"/>
          <w:sz w:val="21"/>
          <w:szCs w:val="21"/>
          <w:lang w:val="en-US" w:eastAsia="zh-CN"/>
        </w:rPr>
      </w:pPr>
      <w:r>
        <w:rPr>
          <w:rFonts w:hint="eastAsia" w:ascii="宋体" w:hAnsi="宋体"/>
          <w:b/>
          <w:bCs/>
          <w:snapToGrid w:val="0"/>
          <w:kern w:val="0"/>
          <w:position w:val="6"/>
          <w:sz w:val="21"/>
          <w:szCs w:val="21"/>
          <w:lang w:val="en-US" w:eastAsia="zh-CN"/>
        </w:rPr>
        <w:t>S‰=1.80655 Cl‰</w:t>
      </w:r>
    </w:p>
    <w:p w14:paraId="064C4B1C">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海水电导盐度计是根据海水电导盐度的测定原理,通过测量海水的相对电导来确定海水盐度的精密电子仪器。根据实用盐度标准，在15℃下，海水的盐度与相对电导比之间存在以下关系</w:t>
      </w:r>
    </w:p>
    <w:p w14:paraId="4B015CE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drawing>
          <wp:anchor distT="0" distB="0" distL="114300" distR="114300" simplePos="0" relativeHeight="251660288" behindDoc="0" locked="0" layoutInCell="1" allowOverlap="1">
            <wp:simplePos x="0" y="0"/>
            <wp:positionH relativeFrom="column">
              <wp:posOffset>1454150</wp:posOffset>
            </wp:positionH>
            <wp:positionV relativeFrom="paragraph">
              <wp:posOffset>38100</wp:posOffset>
            </wp:positionV>
            <wp:extent cx="3013075" cy="633730"/>
            <wp:effectExtent l="0" t="0" r="4445" b="6350"/>
            <wp:wrapTopAndBottom/>
            <wp:docPr id="3" name="图片 3" descr="975dba370bfb4a10aad729400a39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5dba370bfb4a10aad729400a39adb"/>
                    <pic:cNvPicPr>
                      <a:picLocks noChangeAspect="1"/>
                    </pic:cNvPicPr>
                  </pic:nvPicPr>
                  <pic:blipFill>
                    <a:blip r:embed="rId5"/>
                    <a:stretch>
                      <a:fillRect/>
                    </a:stretch>
                  </pic:blipFill>
                  <pic:spPr>
                    <a:xfrm>
                      <a:off x="0" y="0"/>
                      <a:ext cx="3013075" cy="633730"/>
                    </a:xfrm>
                    <a:prstGeom prst="rect">
                      <a:avLst/>
                    </a:prstGeom>
                  </pic:spPr>
                </pic:pic>
              </a:graphicData>
            </a:graphic>
          </wp:anchor>
        </w:drawing>
      </w:r>
    </w:p>
    <w:p w14:paraId="04D0F96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其中,a=0.0080,a:=-0.1692,a2=25.3851,a=14.0941,a=-7.0261,a=2.7081K15 为相对电导率，即在 15℃和一个大气压下，水样的电导率和质量比为32.4356*10°的 KCI 溶液的电导率之比。</w:t>
      </w:r>
    </w:p>
    <w:p w14:paraId="4585EBA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当温度为t时，需要对计算值进行修正:</w:t>
      </w:r>
    </w:p>
    <w:p w14:paraId="260204E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其中A=0.0162,b0=0.0005,b1=-0.0056,b2=-0.0066,b3=-0.0375b4=0.0636,b5=-0.0144</w:t>
      </w:r>
    </w:p>
    <w:p w14:paraId="6700EE2B">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电导比除了与海水盐度有关外，也与海水的温度与压力有管。因此，海水盐度与点倒闭的关系必须规定温度和压力。压力影响很小，在室内测量可不考虑温度影响较大，点倒闭的温度系数已经精确测定，为便于查算，编有国际海洋常用表。次表分为|表和川表,|表是由 R获得S**,Ⅱ表是由t获得AS，二者相加即为所测定的盐度值。</w:t>
      </w:r>
      <w:r>
        <w:rPr>
          <w:rFonts w:hint="eastAsia" w:ascii="宋体" w:hAnsi="宋体"/>
          <w:snapToGrid w:val="0"/>
          <w:kern w:val="0"/>
          <w:position w:val="6"/>
          <w:sz w:val="21"/>
          <w:szCs w:val="21"/>
          <w:lang w:val="en-US" w:eastAsia="zh-CN"/>
        </w:rPr>
        <w:drawing>
          <wp:anchor distT="0" distB="0" distL="114300" distR="114300" simplePos="0" relativeHeight="251661312" behindDoc="0" locked="0" layoutInCell="1" allowOverlap="1">
            <wp:simplePos x="0" y="0"/>
            <wp:positionH relativeFrom="column">
              <wp:posOffset>2423795</wp:posOffset>
            </wp:positionH>
            <wp:positionV relativeFrom="paragraph">
              <wp:posOffset>-1144905</wp:posOffset>
            </wp:positionV>
            <wp:extent cx="1117600" cy="3312160"/>
            <wp:effectExtent l="0" t="0" r="10160" b="10160"/>
            <wp:wrapTopAndBottom/>
            <wp:docPr id="5" name="图片 5" descr="e9c725ef966e2f1a6d25a82c1f69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9c725ef966e2f1a6d25a82c1f6970d"/>
                    <pic:cNvPicPr>
                      <a:picLocks noChangeAspect="1"/>
                    </pic:cNvPicPr>
                  </pic:nvPicPr>
                  <pic:blipFill>
                    <a:blip r:embed="rId6"/>
                    <a:stretch>
                      <a:fillRect/>
                    </a:stretch>
                  </pic:blipFill>
                  <pic:spPr>
                    <a:xfrm rot="16200000">
                      <a:off x="0" y="0"/>
                      <a:ext cx="1117600" cy="3312160"/>
                    </a:xfrm>
                    <a:prstGeom prst="rect">
                      <a:avLst/>
                    </a:prstGeom>
                  </pic:spPr>
                </pic:pic>
              </a:graphicData>
            </a:graphic>
          </wp:anchor>
        </w:drawing>
      </w:r>
    </w:p>
    <w:p w14:paraId="7CD0EACD">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实验设备与材料</w:t>
      </w:r>
    </w:p>
    <w:p w14:paraId="61ED5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b/>
          <w:snapToGrid w:val="0"/>
          <w:kern w:val="0"/>
          <w:position w:val="6"/>
          <w:sz w:val="21"/>
          <w:szCs w:val="21"/>
          <w:lang w:val="en-US" w:eastAsia="zh-CN"/>
        </w:rPr>
      </w:pPr>
      <w:r>
        <w:rPr>
          <w:rFonts w:hint="eastAsia" w:ascii="宋体" w:hAnsi="宋体"/>
          <w:b/>
          <w:snapToGrid w:val="0"/>
          <w:kern w:val="0"/>
          <w:position w:val="6"/>
          <w:sz w:val="21"/>
          <w:szCs w:val="21"/>
          <w:lang w:val="en-US" w:eastAsia="zh-CN"/>
        </w:rPr>
        <w:t>实验设备</w:t>
      </w:r>
    </w:p>
    <w:p w14:paraId="5F11AA1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海水移液管：15ml</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1支</w:t>
      </w:r>
    </w:p>
    <w:p w14:paraId="7A5BD07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氯度滴定瓶</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1支</w:t>
      </w:r>
    </w:p>
    <w:p w14:paraId="60BA715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烧杯：150ml</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3个</w:t>
      </w:r>
    </w:p>
    <w:p w14:paraId="6DD0B87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容量瓶：500ml</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1只</w:t>
      </w:r>
    </w:p>
    <w:p w14:paraId="0DFEA2C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海水样品瓶：200ml</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1个</w:t>
      </w:r>
    </w:p>
    <w:p w14:paraId="0119030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棕色试剂瓶：500ml</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1只</w:t>
      </w:r>
    </w:p>
    <w:p w14:paraId="316981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eastAsia" w:ascii="宋体" w:hAnsi="宋体"/>
          <w:b w:val="0"/>
          <w:bCs/>
          <w:snapToGrid w:val="0"/>
          <w:kern w:val="0"/>
          <w:position w:val="6"/>
          <w:sz w:val="21"/>
          <w:szCs w:val="21"/>
          <w:lang w:val="en-US" w:eastAsia="zh-CN"/>
        </w:rPr>
        <w:t>盐度传感器</w:t>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ab/>
      </w:r>
      <w:r>
        <w:rPr>
          <w:rFonts w:hint="eastAsia" w:ascii="宋体" w:hAnsi="宋体"/>
          <w:b w:val="0"/>
          <w:bCs/>
          <w:snapToGrid w:val="0"/>
          <w:kern w:val="0"/>
          <w:position w:val="6"/>
          <w:sz w:val="21"/>
          <w:szCs w:val="21"/>
          <w:lang w:val="en-US" w:eastAsia="zh-CN"/>
        </w:rPr>
        <w:t>1</w:t>
      </w:r>
    </w:p>
    <w:p w14:paraId="7CBD01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b/>
          <w:bCs w:val="0"/>
          <w:snapToGrid w:val="0"/>
          <w:kern w:val="0"/>
          <w:position w:val="6"/>
          <w:sz w:val="21"/>
          <w:szCs w:val="21"/>
          <w:lang w:val="en-US" w:eastAsia="zh-CN"/>
        </w:rPr>
      </w:pPr>
      <w:r>
        <w:rPr>
          <w:rFonts w:hint="eastAsia" w:ascii="宋体" w:hAnsi="宋体"/>
          <w:b/>
          <w:bCs w:val="0"/>
          <w:snapToGrid w:val="0"/>
          <w:kern w:val="0"/>
          <w:position w:val="6"/>
          <w:sz w:val="21"/>
          <w:szCs w:val="21"/>
          <w:lang w:val="en-US" w:eastAsia="zh-CN"/>
        </w:rPr>
        <w:t>实验试剂</w:t>
      </w:r>
    </w:p>
    <w:p w14:paraId="3A068E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1. 硝酸银标准溶液</w:t>
      </w:r>
    </w:p>
    <w:p w14:paraId="4BC8FD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1)硝酸银标准溶液:称取 18.5gAgNO:(A.R)于 500ml烧杯中，加入 400 ml去离子水溶解，转移到棕色试剂瓶中。</w:t>
      </w:r>
    </w:p>
    <w:p w14:paraId="33AE0A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2.荧光黄钠盐指示剂</w:t>
      </w:r>
    </w:p>
    <w:p w14:paraId="73974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1)0.1% 荧光黄钠盐溶液:称取 0.1g荧光黄溶于 10 ml 0.1 molL NaOH 溶液中，然后用稀硝酸(约 0.1moL)中和，再用去离子水稀释到 100ml，贮存于</w:t>
      </w:r>
    </w:p>
    <w:p w14:paraId="73EDD3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棕色试剂瓶中。</w:t>
      </w:r>
    </w:p>
    <w:p w14:paraId="2CC5EB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2)1%淀粉溶液:称取 2.5g可溶性淀粉(A.R)，先用少量去离子水调成糊状</w:t>
      </w:r>
    </w:p>
    <w:p w14:paraId="307F1D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导入 250 ml 沸水中，冷却至室温。</w:t>
      </w:r>
    </w:p>
    <w:p w14:paraId="7A0A68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3)取 12.5 ml 0.1 %荧光黄钠盐溶液和 250 ml1%淀粉溶液混合，加入 0.25 g</w:t>
      </w:r>
    </w:p>
    <w:p w14:paraId="0D1A97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snapToGrid w:val="0"/>
          <w:kern w:val="0"/>
          <w:position w:val="6"/>
          <w:sz w:val="21"/>
          <w:szCs w:val="21"/>
          <w:lang w:val="en-US" w:eastAsia="zh-CN"/>
        </w:rPr>
      </w:pPr>
      <w:r>
        <w:rPr>
          <w:rFonts w:hint="default" w:ascii="宋体" w:hAnsi="宋体"/>
          <w:b w:val="0"/>
          <w:bCs/>
          <w:snapToGrid w:val="0"/>
          <w:kern w:val="0"/>
          <w:position w:val="6"/>
          <w:sz w:val="21"/>
          <w:szCs w:val="21"/>
          <w:lang w:val="en-US" w:eastAsia="zh-CN"/>
        </w:rPr>
        <w:t>苯甲酸钠，防止受霉菌的作用而腐败，此溶液一般可稳定1个月。</w:t>
      </w:r>
    </w:p>
    <w:p w14:paraId="7044F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四、实验方法与步骤</w:t>
      </w:r>
    </w:p>
    <w:p w14:paraId="280CA5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(1)盐度计测量盐度</w:t>
      </w:r>
    </w:p>
    <w:p w14:paraId="6265E1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1、测量的标准 KCI溶液必须在恒温水域(15℃)中放置超过1小时2.利用盐度计测量标准 KC)盐度和温度。检验盐度计的准确性。3.利用盐度计测量样品溶液的盐度，记录下温度和盐度数据。注意温度对盐</w:t>
      </w:r>
    </w:p>
    <w:p w14:paraId="1F8E87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的校正功能。</w:t>
      </w:r>
    </w:p>
    <w:p w14:paraId="120EDC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(2)氯度的测量</w:t>
      </w:r>
    </w:p>
    <w:p w14:paraId="3A1691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1.硝酸银溶液的标定: 用海水移液管平行移取标准 KCI溶液3份(各 15 ml)于150m1烧杯中，加入2ml荧光黄指示剂，用AgNO</w:t>
      </w:r>
      <w:r>
        <w:rPr>
          <w:rFonts w:hint="eastAsia" w:ascii="宋体" w:hAnsi="宋体"/>
          <w:snapToGrid w:val="0"/>
          <w:kern w:val="0"/>
          <w:position w:val="6"/>
          <w:sz w:val="21"/>
          <w:szCs w:val="21"/>
          <w:lang w:val="en-US" w:eastAsia="zh-CN"/>
        </w:rPr>
        <w:t>3</w:t>
      </w:r>
      <w:r>
        <w:rPr>
          <w:rFonts w:hint="eastAsia" w:ascii="宋体" w:hAnsi="宋体"/>
          <w:snapToGrid w:val="0"/>
          <w:kern w:val="0"/>
          <w:position w:val="6"/>
          <w:sz w:val="21"/>
          <w:szCs w:val="21"/>
        </w:rPr>
        <w:t>溶液滴定。加入搅拌子之于磁力搅拌器上。开始可以快速滴入 AgNO</w:t>
      </w:r>
      <w:r>
        <w:rPr>
          <w:rFonts w:hint="eastAsia" w:ascii="宋体" w:hAnsi="宋体"/>
          <w:snapToGrid w:val="0"/>
          <w:kern w:val="0"/>
          <w:position w:val="6"/>
          <w:sz w:val="21"/>
          <w:szCs w:val="21"/>
          <w:lang w:val="en-US" w:eastAsia="zh-CN"/>
        </w:rPr>
        <w:t>3</w:t>
      </w:r>
      <w:r>
        <w:rPr>
          <w:rFonts w:hint="eastAsia" w:ascii="宋体" w:hAnsi="宋体"/>
          <w:snapToGrid w:val="0"/>
          <w:kern w:val="0"/>
          <w:position w:val="6"/>
          <w:sz w:val="21"/>
          <w:szCs w:val="21"/>
        </w:rPr>
        <w:t>溶液，当水样局部呈现乳红色时减慢滴定速度，待褪色后再加两滴指示剂，接近终点时，用去离子水冲洗烧杯内壁，继续滴定到出现浅玫瑰红色，即指示终点到达，记下滴定刻度 A。平行滴定结果不应该大于 0.02个刻度(0.04 ml)。</w:t>
      </w:r>
    </w:p>
    <w:p w14:paraId="22DDE1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2.水样测定:样品采集后，应该在实验室内平衡温度，取样前应充分摇动海水样品瓶。用海水移液管平行移取海水样品3份(各5ml)于150ml烧杯中，按AgNO,溶液的标定步骤进行滴定，记下滴定读数 a。</w:t>
      </w:r>
    </w:p>
    <w:p w14:paraId="6C19FD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五、实验结果与分析</w:t>
      </w:r>
    </w:p>
    <w:p w14:paraId="53921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1.计算硝酸银溶液的浓度、海水样品的氯度及盐度值，并分析准确度和精确度。</w:t>
      </w:r>
    </w:p>
    <w:p w14:paraId="3EDEFA9C">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测得数据如下表</w:t>
      </w:r>
    </w:p>
    <w:p w14:paraId="111846E1">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eastAsia"/>
          <w:lang w:val="en-US" w:eastAsia="zh-CN"/>
        </w:rPr>
      </w:pPr>
      <w:r>
        <w:drawing>
          <wp:inline distT="0" distB="0" distL="114300" distR="114300">
            <wp:extent cx="4693920" cy="57912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stretch>
                      <a:fillRect/>
                    </a:stretch>
                  </pic:blipFill>
                  <pic:spPr>
                    <a:xfrm>
                      <a:off x="0" y="0"/>
                      <a:ext cx="4693920" cy="579120"/>
                    </a:xfrm>
                    <a:prstGeom prst="rect">
                      <a:avLst/>
                    </a:prstGeom>
                    <a:noFill/>
                    <a:ln>
                      <a:noFill/>
                    </a:ln>
                  </pic:spPr>
                </pic:pic>
              </a:graphicData>
            </a:graphic>
          </wp:inline>
        </w:drawing>
      </w:r>
      <w:r>
        <w:rPr>
          <w:rFonts w:hint="eastAsia"/>
          <w:lang w:val="en-US" w:eastAsia="zh-CN"/>
        </w:rPr>
        <w:t xml:space="preserve"> </w:t>
      </w:r>
    </w:p>
    <w:p w14:paraId="748BCC62">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eastAsia"/>
          <w:lang w:val="en-US" w:eastAsia="zh-CN"/>
        </w:rPr>
      </w:pPr>
      <w:r>
        <w:rPr>
          <w:rFonts w:hint="eastAsia"/>
          <w:lang w:val="en-US" w:eastAsia="zh-CN"/>
        </w:rPr>
        <w:drawing>
          <wp:inline distT="0" distB="0" distL="114300" distR="114300">
            <wp:extent cx="2104390" cy="4350385"/>
            <wp:effectExtent l="0" t="0" r="8255" b="13970"/>
            <wp:docPr id="6" name="图片 6" descr="9d2ae7196d94b343484ed73e248a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d2ae7196d94b343484ed73e248a77b"/>
                    <pic:cNvPicPr>
                      <a:picLocks noChangeAspect="1"/>
                    </pic:cNvPicPr>
                  </pic:nvPicPr>
                  <pic:blipFill>
                    <a:blip r:embed="rId8"/>
                    <a:srcRect l="296" r="-296"/>
                    <a:stretch>
                      <a:fillRect/>
                    </a:stretch>
                  </pic:blipFill>
                  <pic:spPr>
                    <a:xfrm rot="16200000">
                      <a:off x="0" y="0"/>
                      <a:ext cx="2104390" cy="4350385"/>
                    </a:xfrm>
                    <a:prstGeom prst="rect">
                      <a:avLst/>
                    </a:prstGeom>
                  </pic:spPr>
                </pic:pic>
              </a:graphicData>
            </a:graphic>
          </wp:inline>
        </w:drawing>
      </w:r>
    </w:p>
    <w:p w14:paraId="4560BD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准确度：不高</w:t>
      </w:r>
    </w:p>
    <w:p w14:paraId="1BC0F8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精确度：较高</w:t>
      </w:r>
    </w:p>
    <w:p w14:paraId="3856FE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snapToGrid w:val="0"/>
          <w:kern w:val="0"/>
          <w:position w:val="6"/>
          <w:sz w:val="21"/>
          <w:szCs w:val="21"/>
          <w:lang w:val="en-US" w:eastAsia="zh-CN"/>
        </w:rPr>
      </w:pPr>
    </w:p>
    <w:p w14:paraId="5C4A55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bCs/>
          <w:snapToGrid w:val="0"/>
          <w:kern w:val="0"/>
          <w:position w:val="6"/>
          <w:sz w:val="24"/>
          <w:szCs w:val="21"/>
          <w:lang w:val="en-US" w:eastAsia="zh-CN"/>
        </w:rPr>
      </w:pPr>
      <w:r>
        <w:rPr>
          <w:rFonts w:hint="eastAsia" w:ascii="宋体" w:hAnsi="宋体"/>
          <w:b/>
          <w:bCs/>
          <w:snapToGrid w:val="0"/>
          <w:kern w:val="0"/>
          <w:position w:val="6"/>
          <w:sz w:val="24"/>
          <w:szCs w:val="21"/>
          <w:lang w:val="en-US" w:eastAsia="zh-CN"/>
        </w:rPr>
        <w:t>六．思考</w:t>
      </w:r>
    </w:p>
    <w:p w14:paraId="19C558C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1.为什么当水样局部呈现乳红色时，需要减慢滴定速度，待褪色后再加两滴指示剂？</w:t>
      </w:r>
    </w:p>
    <w:p w14:paraId="29AAE90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（1）避免过滴</w:t>
      </w:r>
    </w:p>
    <w:p w14:paraId="040829B9">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①当水样局部呈现乳红色时，说明该区域的反应已经较为剧烈，接近滴定终点。如果继续快速滴定，可能会导致过滴，即加入过多的滴定剂，使得整个水样超过终点，从而影响结果的准确性。</w:t>
      </w:r>
    </w:p>
    <w:p w14:paraId="1AA6813A">
      <w:pPr>
        <w:keepNext w:val="0"/>
        <w:keepLines w:val="0"/>
        <w:pageBreakBefore w:val="0"/>
        <w:widowControl w:val="0"/>
        <w:kinsoku/>
        <w:wordWrap/>
        <w:overflowPunct/>
        <w:topLinePunct w:val="0"/>
        <w:autoSpaceDE/>
        <w:autoSpaceDN/>
        <w:bidi w:val="0"/>
        <w:adjustRightInd/>
        <w:snapToGrid/>
        <w:spacing w:line="360" w:lineRule="auto"/>
        <w:ind w:left="84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②减慢滴定速度可以更好地控制反应速率，确保每次加入的滴定剂都能充分与水样中的离子反应，避免局部过量。</w:t>
      </w:r>
    </w:p>
    <w:p w14:paraId="22A23CDE">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（2）确保指示剂的均匀分布</w:t>
      </w:r>
    </w:p>
    <w:p w14:paraId="10BA46A0">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在水样局部呈现乳红色并褪色后，再加两滴指示剂，可以确保指示剂在水样中均匀分布。这是因为局部反应可能消耗了一部分指示剂，重新添加可以确保指示剂的浓度足够，以便准确显示终点。且重新添加指示剂可以提高颜色变化的灵敏度，使终点更容易被观察到。</w:t>
      </w:r>
    </w:p>
    <w:p w14:paraId="35336AE6">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b w:val="0"/>
          <w:bCs w:val="0"/>
          <w:snapToGrid w:val="0"/>
          <w:kern w:val="0"/>
          <w:position w:val="6"/>
          <w:sz w:val="21"/>
          <w:szCs w:val="21"/>
          <w:lang w:val="en-US" w:eastAsia="zh-CN"/>
        </w:rPr>
      </w:pPr>
    </w:p>
    <w:p w14:paraId="11883E9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为什么一开始要在水样中滴定荧光黄指示剂？可以不加吗？</w:t>
      </w:r>
    </w:p>
    <w:p w14:paraId="0B04A7CB">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default" w:ascii="宋体" w:hAnsi="宋体"/>
          <w:snapToGrid w:val="0"/>
          <w:kern w:val="0"/>
          <w:position w:val="6"/>
          <w:sz w:val="21"/>
          <w:szCs w:val="21"/>
          <w:lang w:val="en-US" w:eastAsia="zh-CN"/>
        </w:rPr>
      </w:pPr>
      <w:r>
        <w:rPr>
          <w:rFonts w:hint="eastAsia" w:ascii="宋体" w:hAnsi="宋体"/>
          <w:snapToGrid w:val="0"/>
          <w:kern w:val="0"/>
          <w:position w:val="6"/>
          <w:sz w:val="21"/>
          <w:szCs w:val="21"/>
          <w:lang w:val="en-US" w:eastAsia="zh-CN"/>
        </w:rPr>
        <w:t>因为</w:t>
      </w:r>
      <w:r>
        <w:rPr>
          <w:rFonts w:hint="eastAsia" w:ascii="宋体" w:hAnsi="宋体"/>
          <w:snapToGrid w:val="0"/>
          <w:kern w:val="0"/>
          <w:position w:val="6"/>
          <w:sz w:val="21"/>
          <w:szCs w:val="21"/>
        </w:rPr>
        <w:t>反应产生 AgX 的表面能吸附带电荷的粒子，在等</w:t>
      </w:r>
      <w:r>
        <w:rPr>
          <w:rFonts w:hint="eastAsia" w:ascii="宋体" w:hAnsi="宋体"/>
          <w:snapToGrid w:val="0"/>
          <w:kern w:val="0"/>
          <w:position w:val="6"/>
          <w:sz w:val="21"/>
          <w:szCs w:val="21"/>
          <w:lang w:val="en-US" w:eastAsia="zh-CN"/>
        </w:rPr>
        <w:t>电</w:t>
      </w:r>
      <w:r>
        <w:rPr>
          <w:rFonts w:hint="eastAsia" w:ascii="宋体" w:hAnsi="宋体"/>
          <w:snapToGrid w:val="0"/>
          <w:kern w:val="0"/>
          <w:position w:val="6"/>
          <w:sz w:val="21"/>
          <w:szCs w:val="21"/>
        </w:rPr>
        <w:t>点之前，沉淀表面吸附 C1而带负电荷。在等当点之后沉淀的表面吸附溶剂中的 Ag离子，变成带正电荷的沉淀微粒。荧光黄钠盐是一个弱酸盐。它的阴离子被吸附在带正电荷的沉淀表面上，使沉淀由黄绿色变为浅玫瑰红色，指示终点到达。</w:t>
      </w:r>
      <w:r>
        <w:rPr>
          <w:rFonts w:hint="eastAsia" w:ascii="宋体" w:hAnsi="宋体"/>
          <w:snapToGrid w:val="0"/>
          <w:kern w:val="0"/>
          <w:position w:val="6"/>
          <w:sz w:val="21"/>
          <w:szCs w:val="21"/>
          <w:lang w:val="en-US" w:eastAsia="zh-CN"/>
        </w:rPr>
        <w:t>所以一开始就要加，避免吸附不充分，也因此不能不加</w:t>
      </w:r>
    </w:p>
    <w:p w14:paraId="7640EF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leftChars="0"/>
        <w:textAlignment w:val="auto"/>
        <w:rPr>
          <w:rFonts w:hint="eastAsia" w:ascii="宋体" w:hAnsi="宋体"/>
          <w:b w:val="0"/>
          <w:bCs w:val="0"/>
          <w:snapToGrid w:val="0"/>
          <w:kern w:val="0"/>
          <w:position w:val="6"/>
          <w:sz w:val="21"/>
          <w:szCs w:val="21"/>
          <w:lang w:val="en-US" w:eastAsia="zh-CN"/>
        </w:rPr>
      </w:pPr>
    </w:p>
    <w:p w14:paraId="2CF3E14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b w:val="0"/>
          <w:bCs w:val="0"/>
          <w:snapToGrid w:val="0"/>
          <w:kern w:val="0"/>
          <w:position w:val="6"/>
          <w:sz w:val="21"/>
          <w:szCs w:val="21"/>
          <w:lang w:val="en-US" w:eastAsia="zh-CN"/>
        </w:rPr>
      </w:pPr>
      <w:r>
        <w:rPr>
          <w:rFonts w:hint="eastAsia" w:ascii="宋体" w:hAnsi="宋体"/>
          <w:b w:val="0"/>
          <w:bCs w:val="0"/>
          <w:snapToGrid w:val="0"/>
          <w:kern w:val="0"/>
          <w:position w:val="6"/>
          <w:sz w:val="21"/>
          <w:szCs w:val="21"/>
          <w:lang w:val="en-US" w:eastAsia="zh-CN"/>
        </w:rPr>
        <w:t>3.两种测盐度方法不同点。</w:t>
      </w:r>
    </w:p>
    <w:p w14:paraId="486A94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p>
    <w:p w14:paraId="51B004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电导法：操作简单快捷，适用于现场快速测量，广泛用于海洋学研究和水质监测。现代电导率仪具有高精度和自动校正功能，但受温度和压力影响较大。</w:t>
      </w:r>
    </w:p>
    <w:p w14:paraId="50A15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1"/>
          <w:szCs w:val="21"/>
        </w:rPr>
      </w:pPr>
      <w:r>
        <w:rPr>
          <w:rFonts w:hint="eastAsia" w:ascii="宋体" w:hAnsi="宋体"/>
          <w:snapToGrid w:val="0"/>
          <w:kern w:val="0"/>
          <w:position w:val="6"/>
          <w:sz w:val="21"/>
          <w:szCs w:val="21"/>
        </w:rPr>
        <w:t>荧光黄法：操作相对复杂，但可以在实验室条件下获得非常高的准确性，适用于精确测量和科学研究。受操作者经验和条件影响较大，需要专门的设备和试剂。</w:t>
      </w:r>
    </w:p>
    <w:p w14:paraId="18E91E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p>
    <w:p w14:paraId="6EDA03A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snapToGrid w:val="0"/>
          <w:kern w:val="0"/>
          <w:position w:val="6"/>
          <w:sz w:val="24"/>
          <w:szCs w:val="21"/>
          <w:lang w:val="en-US" w:eastAsia="zh-CN"/>
        </w:rPr>
      </w:pPr>
    </w:p>
    <w:p w14:paraId="4A808D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p>
    <w:p w14:paraId="399FD1A3">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snapToGrid w:val="0"/>
          <w:kern w:val="0"/>
          <w:position w:val="6"/>
          <w:sz w:val="22"/>
          <w:szCs w:val="21"/>
        </w:rPr>
      </w:pPr>
    </w:p>
    <w:sectPr>
      <w:pgSz w:w="11906" w:h="16838"/>
      <w:pgMar w:top="1440" w:right="74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AA332E"/>
    <w:multiLevelType w:val="singleLevel"/>
    <w:tmpl w:val="F8AA332E"/>
    <w:lvl w:ilvl="0" w:tentative="0">
      <w:start w:val="2"/>
      <w:numFmt w:val="decimal"/>
      <w:lvlText w:val="%1."/>
      <w:lvlJc w:val="left"/>
      <w:pPr>
        <w:tabs>
          <w:tab w:val="left" w:pos="312"/>
        </w:tabs>
      </w:pPr>
    </w:lvl>
  </w:abstractNum>
  <w:abstractNum w:abstractNumId="1">
    <w:nsid w:val="05DCB61C"/>
    <w:multiLevelType w:val="multilevel"/>
    <w:tmpl w:val="05DCB61C"/>
    <w:lvl w:ilvl="0" w:tentative="0">
      <w:start w:val="1"/>
      <w:numFmt w:val="decimal"/>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B7129C1"/>
    <w:multiLevelType w:val="singleLevel"/>
    <w:tmpl w:val="0B7129C1"/>
    <w:lvl w:ilvl="0" w:tentative="0">
      <w:start w:val="3"/>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A357B9"/>
    <w:rsid w:val="000A0E2E"/>
    <w:rsid w:val="001031EF"/>
    <w:rsid w:val="001A65BF"/>
    <w:rsid w:val="001D005D"/>
    <w:rsid w:val="001E206A"/>
    <w:rsid w:val="001E7D4E"/>
    <w:rsid w:val="0021389A"/>
    <w:rsid w:val="00230A0A"/>
    <w:rsid w:val="00264666"/>
    <w:rsid w:val="002D05A9"/>
    <w:rsid w:val="002F2047"/>
    <w:rsid w:val="00304048"/>
    <w:rsid w:val="00305AFC"/>
    <w:rsid w:val="00332279"/>
    <w:rsid w:val="00347C2F"/>
    <w:rsid w:val="00375755"/>
    <w:rsid w:val="00394810"/>
    <w:rsid w:val="0039696B"/>
    <w:rsid w:val="003A17E8"/>
    <w:rsid w:val="003A7C69"/>
    <w:rsid w:val="003B6176"/>
    <w:rsid w:val="003C043F"/>
    <w:rsid w:val="003C7976"/>
    <w:rsid w:val="003D11EE"/>
    <w:rsid w:val="003D14FC"/>
    <w:rsid w:val="003F2092"/>
    <w:rsid w:val="003F253B"/>
    <w:rsid w:val="00415A2A"/>
    <w:rsid w:val="00432FA7"/>
    <w:rsid w:val="00485C6A"/>
    <w:rsid w:val="00494E46"/>
    <w:rsid w:val="004A14AC"/>
    <w:rsid w:val="004A37E8"/>
    <w:rsid w:val="004D353A"/>
    <w:rsid w:val="004F3977"/>
    <w:rsid w:val="004F5BEB"/>
    <w:rsid w:val="00517CED"/>
    <w:rsid w:val="00521370"/>
    <w:rsid w:val="0052447D"/>
    <w:rsid w:val="00541C1C"/>
    <w:rsid w:val="005709D6"/>
    <w:rsid w:val="005858FF"/>
    <w:rsid w:val="005C15F6"/>
    <w:rsid w:val="005E77BD"/>
    <w:rsid w:val="006226B8"/>
    <w:rsid w:val="00623E6C"/>
    <w:rsid w:val="00685C21"/>
    <w:rsid w:val="00690456"/>
    <w:rsid w:val="00694F8D"/>
    <w:rsid w:val="006A2BA3"/>
    <w:rsid w:val="006A487C"/>
    <w:rsid w:val="006A66F7"/>
    <w:rsid w:val="00712199"/>
    <w:rsid w:val="00735C43"/>
    <w:rsid w:val="0076394D"/>
    <w:rsid w:val="0076591F"/>
    <w:rsid w:val="00784F1C"/>
    <w:rsid w:val="0079595D"/>
    <w:rsid w:val="007B18D9"/>
    <w:rsid w:val="007E32EF"/>
    <w:rsid w:val="007F4E32"/>
    <w:rsid w:val="00857ABC"/>
    <w:rsid w:val="008812D2"/>
    <w:rsid w:val="008C5410"/>
    <w:rsid w:val="008E37E5"/>
    <w:rsid w:val="008F2497"/>
    <w:rsid w:val="008F4C72"/>
    <w:rsid w:val="009043DA"/>
    <w:rsid w:val="009240C0"/>
    <w:rsid w:val="009329FE"/>
    <w:rsid w:val="00942624"/>
    <w:rsid w:val="00977575"/>
    <w:rsid w:val="009C762B"/>
    <w:rsid w:val="009D4779"/>
    <w:rsid w:val="009D701C"/>
    <w:rsid w:val="00A357B9"/>
    <w:rsid w:val="00A7675D"/>
    <w:rsid w:val="00A773BF"/>
    <w:rsid w:val="00A92CAA"/>
    <w:rsid w:val="00AC288A"/>
    <w:rsid w:val="00AD377F"/>
    <w:rsid w:val="00AF6AD6"/>
    <w:rsid w:val="00B07A09"/>
    <w:rsid w:val="00B20D17"/>
    <w:rsid w:val="00B44D5B"/>
    <w:rsid w:val="00B47C67"/>
    <w:rsid w:val="00B50323"/>
    <w:rsid w:val="00B71BD9"/>
    <w:rsid w:val="00B74045"/>
    <w:rsid w:val="00B77CFB"/>
    <w:rsid w:val="00BF0507"/>
    <w:rsid w:val="00C60062"/>
    <w:rsid w:val="00C64FD0"/>
    <w:rsid w:val="00C92BE6"/>
    <w:rsid w:val="00CF24C1"/>
    <w:rsid w:val="00CF4A0A"/>
    <w:rsid w:val="00D0300C"/>
    <w:rsid w:val="00D168A1"/>
    <w:rsid w:val="00D43303"/>
    <w:rsid w:val="00D75C14"/>
    <w:rsid w:val="00D81C13"/>
    <w:rsid w:val="00D96F41"/>
    <w:rsid w:val="00DA2642"/>
    <w:rsid w:val="00DB75EB"/>
    <w:rsid w:val="00E02CB0"/>
    <w:rsid w:val="00E51FC8"/>
    <w:rsid w:val="00E63C18"/>
    <w:rsid w:val="00E67AA4"/>
    <w:rsid w:val="00E81253"/>
    <w:rsid w:val="00E934BD"/>
    <w:rsid w:val="00EE1930"/>
    <w:rsid w:val="00F015CC"/>
    <w:rsid w:val="00F15305"/>
    <w:rsid w:val="00F3326A"/>
    <w:rsid w:val="00F9367A"/>
    <w:rsid w:val="00FC5788"/>
    <w:rsid w:val="00FD072A"/>
    <w:rsid w:val="00FE28AC"/>
    <w:rsid w:val="00FF422F"/>
    <w:rsid w:val="1C8B1343"/>
    <w:rsid w:val="35015BD0"/>
    <w:rsid w:val="364D08A1"/>
    <w:rsid w:val="3B187CF8"/>
    <w:rsid w:val="40B93A2D"/>
    <w:rsid w:val="5FA13309"/>
    <w:rsid w:val="66C473FC"/>
    <w:rsid w:val="7D946E84"/>
    <w:rsid w:val="7DD26D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annotation text"/>
    <w:basedOn w:val="1"/>
    <w:link w:val="18"/>
    <w:uiPriority w:val="0"/>
    <w:pPr>
      <w:jc w:val="left"/>
    </w:pPr>
  </w:style>
  <w:style w:type="paragraph" w:styleId="4">
    <w:name w:val="Balloon Text"/>
    <w:basedOn w:val="1"/>
    <w:link w:val="20"/>
    <w:qFormat/>
    <w:uiPriority w:val="0"/>
    <w:rPr>
      <w:sz w:val="18"/>
      <w:szCs w:val="18"/>
    </w:rPr>
  </w:style>
  <w:style w:type="paragraph" w:styleId="5">
    <w:name w:val="footer"/>
    <w:basedOn w:val="1"/>
    <w:link w:val="14"/>
    <w:uiPriority w:val="0"/>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annotation subject"/>
    <w:basedOn w:val="3"/>
    <w:next w:val="3"/>
    <w:link w:val="19"/>
    <w:qFormat/>
    <w:uiPriority w:val="0"/>
    <w:rPr>
      <w:b/>
      <w:bCs/>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qFormat/>
    <w:uiPriority w:val="0"/>
    <w:rPr>
      <w:sz w:val="21"/>
      <w:szCs w:val="21"/>
    </w:rPr>
  </w:style>
  <w:style w:type="character" w:customStyle="1" w:styleId="13">
    <w:name w:val="页眉 Char"/>
    <w:link w:val="6"/>
    <w:qFormat/>
    <w:uiPriority w:val="0"/>
    <w:rPr>
      <w:kern w:val="2"/>
      <w:sz w:val="18"/>
      <w:szCs w:val="18"/>
    </w:rPr>
  </w:style>
  <w:style w:type="character" w:customStyle="1" w:styleId="14">
    <w:name w:val="页脚 Char"/>
    <w:link w:val="5"/>
    <w:qFormat/>
    <w:uiPriority w:val="0"/>
    <w:rPr>
      <w:kern w:val="2"/>
      <w:sz w:val="18"/>
      <w:szCs w:val="18"/>
    </w:rPr>
  </w:style>
  <w:style w:type="paragraph" w:styleId="15">
    <w:name w:val="Quote"/>
    <w:basedOn w:val="1"/>
    <w:next w:val="1"/>
    <w:link w:val="16"/>
    <w:qFormat/>
    <w:uiPriority w:val="29"/>
    <w:rPr>
      <w:i/>
      <w:iCs/>
      <w:color w:val="000000"/>
    </w:rPr>
  </w:style>
  <w:style w:type="character" w:customStyle="1" w:styleId="16">
    <w:name w:val="引用 Char"/>
    <w:link w:val="15"/>
    <w:qFormat/>
    <w:uiPriority w:val="29"/>
    <w:rPr>
      <w:i/>
      <w:iCs/>
      <w:color w:val="000000"/>
      <w:kern w:val="2"/>
      <w:sz w:val="21"/>
      <w:szCs w:val="24"/>
    </w:rPr>
  </w:style>
  <w:style w:type="paragraph" w:styleId="17">
    <w:name w:val="List Paragraph"/>
    <w:basedOn w:val="1"/>
    <w:qFormat/>
    <w:uiPriority w:val="34"/>
    <w:pPr>
      <w:widowControl/>
      <w:spacing w:after="160" w:line="259" w:lineRule="auto"/>
      <w:ind w:firstLine="420" w:firstLineChars="200"/>
      <w:jc w:val="left"/>
    </w:pPr>
    <w:rPr>
      <w:rFonts w:ascii="Calibri" w:hAnsi="Calibri"/>
      <w:kern w:val="0"/>
      <w:sz w:val="22"/>
      <w:szCs w:val="22"/>
      <w:lang w:val="en-GB"/>
    </w:rPr>
  </w:style>
  <w:style w:type="character" w:customStyle="1" w:styleId="18">
    <w:name w:val="批注文字 字符"/>
    <w:link w:val="3"/>
    <w:qFormat/>
    <w:uiPriority w:val="0"/>
    <w:rPr>
      <w:kern w:val="2"/>
      <w:sz w:val="21"/>
      <w:szCs w:val="24"/>
    </w:rPr>
  </w:style>
  <w:style w:type="character" w:customStyle="1" w:styleId="19">
    <w:name w:val="批注主题 字符"/>
    <w:link w:val="8"/>
    <w:qFormat/>
    <w:uiPriority w:val="0"/>
    <w:rPr>
      <w:b/>
      <w:bCs/>
      <w:kern w:val="2"/>
      <w:sz w:val="21"/>
      <w:szCs w:val="24"/>
    </w:rPr>
  </w:style>
  <w:style w:type="character" w:customStyle="1" w:styleId="20">
    <w:name w:val="批注框文本 字符"/>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2084</Words>
  <Characters>2441</Characters>
  <Lines>1</Lines>
  <Paragraphs>1</Paragraphs>
  <TotalTime>17</TotalTime>
  <ScaleCrop>false</ScaleCrop>
  <LinksUpToDate>false</LinksUpToDate>
  <CharactersWithSpaces>2566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2022-02-21T10:10:00Z</dcterms:created>
  <dc:creator>微软用户</dc:creator>
  <cp:lastModifiedBy> 麟</cp:lastModifiedBy>
  <cp:lastPrinted>2019-11-28T08:49:00Z</cp:lastPrinted>
  <dcterms:modified xsi:type="dcterms:W3CDTF">2026-08-10T09:37:07Z</dcterms:modified>
  <dc:title>实验报告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652887D7E11B4DCEA3F5DBEA70EBEC2F_12</vt:lpwstr>
  </property>
  <property fmtid="{D5CDD505-2E9C-101B-9397-08002B2CF9AE}" pid="4" name="KSOTemplateDocerSaveRecord">
    <vt:lpwstr>eyJoZGlkIjoiOWYyMzVmZTBjYjExYjUxNTY5YzZhZmIxZjJlZTU5OTgiLCJ1c2VySWQiOiIxNjM4OTk2ODkwIn0=</vt:lpwstr>
  </property>
</Properties>
</file>