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96A9D">
      <w:pPr>
        <w:pStyle w:val="14"/>
        <w:rPr>
          <w:rFonts w:hint="eastAsia"/>
          <w:i w:val="0"/>
          <w:snapToGrid w:val="0"/>
        </w:rPr>
      </w:pPr>
      <w:bookmarkStart w:id="0" w:name="_GoBack"/>
      <w:bookmarkEnd w:id="0"/>
      <w:r>
        <w:rPr>
          <w:rFonts w:hint="eastAsia"/>
          <w:i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-396240</wp:posOffset>
                </wp:positionV>
                <wp:extent cx="1927860" cy="1188720"/>
                <wp:effectExtent l="0" t="0" r="762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8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F62B01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海洋科学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</w:t>
                            </w:r>
                          </w:p>
                          <w:p w14:paraId="15EA654A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41E3A26B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</w:t>
                            </w:r>
                          </w:p>
                          <w:p w14:paraId="1ECF313B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2024.11.10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</w:t>
                            </w:r>
                          </w:p>
                          <w:p w14:paraId="075E9393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海工楼230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34.2pt;margin-top:-31.2pt;height:93.6pt;width:151.8pt;z-index:251659264;mso-width-relative:page;mso-height-relative:page;" fillcolor="#FFFFFF" filled="t" stroked="f" coordsize="21600,21600" o:gfxdata="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BjcG/YAAAACwEA&#10;AA8AAAAAAAAAAQAgAAAAIgAAAGRycy9kb3ducmV2LnhtbFBLAQIUABQAAAAIAIdO4kCzLNluGgIA&#10;AD4EAAAOAAAAAAAAAAEAIAAAACc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9F62B01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海洋科学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</w:t>
                      </w:r>
                    </w:p>
                    <w:p w14:paraId="15EA654A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  <w:p w14:paraId="41E3A26B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</w:t>
                      </w:r>
                    </w:p>
                    <w:p w14:paraId="1ECF313B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2024.11.10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</w:t>
                      </w:r>
                    </w:p>
                    <w:p w14:paraId="075E9393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海工楼230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i w:val="0"/>
          <w:snapToGrid w:val="0"/>
        </w:rPr>
        <w:t xml:space="preserve">          </w:t>
      </w:r>
      <w:r>
        <w:rPr>
          <w:rFonts w:hint="eastAsia"/>
          <w:i w:val="0"/>
        </w:rPr>
        <w:drawing>
          <wp:inline distT="0" distB="0" distL="0" distR="0">
            <wp:extent cx="1600200" cy="4343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/>
          <w:b/>
          <w:i w:val="0"/>
          <w:snapToGrid w:val="0"/>
          <w:spacing w:val="20"/>
          <w:position w:val="18"/>
          <w:sz w:val="48"/>
        </w:rPr>
        <w:t>实验报告</w:t>
      </w:r>
    </w:p>
    <w:p w14:paraId="6D3AEE0D">
      <w:pPr>
        <w:rPr>
          <w:rFonts w:hint="eastAsia"/>
          <w:snapToGrid w:val="0"/>
          <w:kern w:val="0"/>
          <w:position w:val="6"/>
          <w:szCs w:val="21"/>
        </w:rPr>
      </w:pPr>
    </w:p>
    <w:p w14:paraId="01FACA4D">
      <w:pPr>
        <w:rPr>
          <w:rFonts w:hint="eastAsia" w:ascii="宋体" w:hAnsi="宋体" w:eastAsia="宋体" w:cs="宋体"/>
          <w:snapToGrid w:val="0"/>
          <w:kern w:val="0"/>
          <w:position w:val="6"/>
          <w:szCs w:val="21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Cs w:val="21"/>
        </w:rPr>
        <w:t>课程名称：</w:t>
      </w:r>
      <w:r>
        <w:rPr>
          <w:rFonts w:hint="eastAsia" w:ascii="宋体" w:hAnsi="宋体" w:eastAsia="宋体" w:cs="宋体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position w:val="6"/>
          <w:szCs w:val="21"/>
          <w:u w:val="single"/>
          <w:lang w:val="en-US" w:eastAsia="zh-CN"/>
        </w:rPr>
        <w:t>海水分析化学</w:t>
      </w:r>
      <w:r>
        <w:rPr>
          <w:rFonts w:hint="eastAsia" w:ascii="宋体" w:hAnsi="宋体" w:eastAsia="宋体" w:cs="宋体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position w:val="6"/>
          <w:szCs w:val="21"/>
        </w:rPr>
        <w:t>指导老师：</w:t>
      </w:r>
      <w:r>
        <w:rPr>
          <w:rFonts w:hint="eastAsia" w:ascii="宋体" w:hAnsi="宋体" w:eastAsia="宋体" w:cs="宋体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kern w:val="0"/>
          <w:position w:val="6"/>
          <w:szCs w:val="21"/>
          <w:u w:val="single"/>
          <w:lang w:val="en-US" w:eastAsia="zh-CN"/>
        </w:rPr>
        <w:t>孙瑜霞</w:t>
      </w:r>
      <w:r>
        <w:rPr>
          <w:rFonts w:hint="eastAsia" w:ascii="宋体" w:hAnsi="宋体" w:eastAsia="宋体" w:cs="宋体"/>
          <w:snapToGrid w:val="0"/>
          <w:kern w:val="0"/>
          <w:position w:val="6"/>
          <w:szCs w:val="21"/>
          <w:u w:val="single"/>
        </w:rPr>
        <w:t xml:space="preserve">             </w:t>
      </w:r>
      <w:r>
        <w:rPr>
          <w:rFonts w:hint="eastAsia" w:ascii="宋体" w:hAnsi="宋体" w:eastAsia="宋体" w:cs="宋体"/>
          <w:snapToGrid w:val="0"/>
          <w:kern w:val="0"/>
          <w:position w:val="6"/>
          <w:szCs w:val="21"/>
        </w:rPr>
        <w:t>成绩：________________</w:t>
      </w:r>
    </w:p>
    <w:p w14:paraId="7EDB966C">
      <w:pPr>
        <w:rPr>
          <w:rFonts w:hint="eastAsia" w:ascii="宋体" w:hAnsi="宋体" w:eastAsia="宋体" w:cs="宋体"/>
          <w:snapToGrid w:val="0"/>
          <w:kern w:val="0"/>
          <w:position w:val="6"/>
          <w:szCs w:val="21"/>
          <w:u w:val="single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Cs w:val="21"/>
        </w:rPr>
        <w:t>实验名称：</w:t>
      </w:r>
      <w:r>
        <w:rPr>
          <w:rFonts w:hint="eastAsia" w:ascii="宋体" w:hAnsi="宋体" w:eastAsia="宋体" w:cs="宋体"/>
          <w:snapToGrid w:val="0"/>
          <w:kern w:val="0"/>
          <w:position w:val="6"/>
          <w:szCs w:val="21"/>
          <w:u w:val="single"/>
        </w:rPr>
        <w:t xml:space="preserve">         </w:t>
      </w:r>
      <w:r>
        <w:rPr>
          <w:rFonts w:hint="eastAsia" w:ascii="宋体" w:hAnsi="宋体" w:cs="宋体"/>
          <w:snapToGrid w:val="0"/>
          <w:kern w:val="0"/>
          <w:position w:val="6"/>
          <w:szCs w:val="21"/>
          <w:u w:val="single"/>
          <w:lang w:val="en-US" w:eastAsia="zh-CN"/>
        </w:rPr>
        <w:t>海水中亚硝酸盐和硝酸盐的测定</w:t>
      </w:r>
      <w:r>
        <w:rPr>
          <w:rFonts w:hint="eastAsia" w:ascii="宋体" w:hAnsi="宋体" w:eastAsia="宋体" w:cs="宋体"/>
          <w:snapToGrid w:val="0"/>
          <w:kern w:val="0"/>
          <w:position w:val="6"/>
          <w:szCs w:val="21"/>
          <w:u w:val="single"/>
        </w:rPr>
        <w:t xml:space="preserve">             </w:t>
      </w:r>
    </w:p>
    <w:p w14:paraId="0BB7BDB0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Cs w:val="21"/>
        </w:rPr>
        <w:t>同组学生姓名：</w:t>
      </w:r>
      <w:r>
        <w:rPr>
          <w:rFonts w:hint="eastAsia" w:ascii="宋体" w:hAnsi="宋体" w:eastAsia="宋体" w:cs="宋体"/>
          <w:snapToGrid w:val="0"/>
          <w:kern w:val="0"/>
          <w:position w:val="6"/>
          <w:szCs w:val="21"/>
          <w:u w:val="single"/>
        </w:rPr>
        <w:t xml:space="preserve">           </w:t>
      </w:r>
      <w:r>
        <w:rPr>
          <w:rFonts w:hint="eastAsia" w:ascii="宋体" w:hAnsi="宋体" w:eastAsia="宋体" w:cs="宋体"/>
          <w:snapToGrid w:val="0"/>
          <w:kern w:val="0"/>
          <w:position w:val="6"/>
          <w:szCs w:val="21"/>
          <w:u w:val="single"/>
          <w:lang w:val="en-US" w:eastAsia="zh-CN"/>
        </w:rPr>
        <w:t>魏元瀚</w:t>
      </w:r>
      <w:r>
        <w:rPr>
          <w:rFonts w:hint="eastAsia" w:ascii="宋体" w:hAnsi="宋体" w:eastAsia="宋体" w:cs="宋体"/>
          <w:snapToGrid w:val="0"/>
          <w:kern w:val="0"/>
          <w:position w:val="6"/>
          <w:szCs w:val="21"/>
          <w:u w:val="single"/>
        </w:rPr>
        <w:t xml:space="preserve">       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    </w:t>
      </w:r>
    </w:p>
    <w:p w14:paraId="5AE70FAD">
      <w:pPr>
        <w:rPr>
          <w:rFonts w:hint="eastAsia"/>
          <w:snapToGrid w:val="0"/>
          <w:kern w:val="0"/>
          <w:position w:val="6"/>
          <w:szCs w:val="21"/>
        </w:rPr>
      </w:pPr>
    </w:p>
    <w:p w14:paraId="40F723B0">
      <w:pPr>
        <w:spacing w:line="360" w:lineRule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41D37720">
      <w:pPr>
        <w:spacing w:line="360" w:lineRule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一、实验目的与要求</w:t>
      </w:r>
    </w:p>
    <w:p w14:paraId="5F53492A">
      <w:pPr>
        <w:spacing w:line="360" w:lineRule="auto"/>
        <w:rPr>
          <w:rFonts w:hint="eastAsia" w:ascii="宋体" w:hAnsi="宋体" w:eastAsia="宋体" w:cs="宋体"/>
          <w:i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sz w:val="21"/>
          <w:szCs w:val="21"/>
        </w:rPr>
        <w:t>掌握海水中亚硝酸盐的测定方法，得到可靠实验数据1.</w:t>
      </w:r>
    </w:p>
    <w:p w14:paraId="3321C35B">
      <w:pPr>
        <w:spacing w:line="360" w:lineRule="auto"/>
        <w:rPr>
          <w:rFonts w:hint="eastAsia" w:ascii="宋体" w:hAnsi="宋体" w:eastAsia="宋体" w:cs="宋体"/>
          <w:i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sz w:val="21"/>
          <w:szCs w:val="21"/>
        </w:rPr>
        <w:t>2.了解测定海水中硝酸盐的测量方法原理，并掌握铜镉还原法的实验条件</w:t>
      </w:r>
    </w:p>
    <w:p w14:paraId="441995BB">
      <w:pPr>
        <w:spacing w:line="360" w:lineRule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二、实验原理与内容</w:t>
      </w:r>
    </w:p>
    <w:p w14:paraId="0708674D">
      <w:pPr>
        <w:spacing w:line="360" w:lineRule="auto"/>
        <w:ind w:firstLine="480" w:firstLineChars="200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亚硝酸盐:</w:t>
      </w:r>
    </w:p>
    <w:p w14:paraId="136FF008">
      <w:pPr>
        <w:spacing w:line="360" w:lineRule="auto"/>
        <w:ind w:firstLine="480" w:firstLineChars="200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在酸性条件下，水样中的亚硝酸氮与磺胺反应，形成重氮化合物，继而再与α-萘乙二胺偶联,形成重氮-偶氮化合物(红色染料),其最大吸收波长为 540nm。</w:t>
      </w:r>
    </w:p>
    <w:p w14:paraId="7A371CD5">
      <w:pPr>
        <w:spacing w:line="360" w:lineRule="auto"/>
        <w:ind w:firstLine="480" w:firstLineChars="200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硝酸盐:</w:t>
      </w:r>
    </w:p>
    <w:p w14:paraId="32FF2C05">
      <w:pPr>
        <w:spacing w:line="360" w:lineRule="auto"/>
        <w:ind w:firstLine="480" w:firstLineChars="200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</w:rPr>
        <w:t>在中性或弱碱性条件下,海水中硝酸氮盐被镉-铜还原剂还原为亚硝酸氮盐再按照亚硝酸盐氮重氮-偶氮法进行比色测定，扣除海水中原有的亚硝酸氮的含量，获得海水中硝酸氮盐的含量。</w:t>
      </w:r>
    </w:p>
    <w:p w14:paraId="248DA8A7">
      <w:pPr>
        <w:spacing w:line="360" w:lineRule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三、实验设备与材料</w:t>
      </w:r>
    </w:p>
    <w:p w14:paraId="0E4639ED">
      <w:pPr>
        <w:spacing w:line="360" w:lineRule="auto"/>
        <w:ind w:firstLine="482" w:firstLineChars="200"/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1"/>
          <w:lang w:val="en-US" w:eastAsia="zh-CN"/>
        </w:rPr>
        <w:t>实验仪器</w:t>
      </w:r>
    </w:p>
    <w:p w14:paraId="7CA89BA2">
      <w:pPr>
        <w:spacing w:line="360" w:lineRule="auto"/>
        <w:ind w:left="420" w:leftChars="0" w:firstLine="420" w:firstLineChars="200"/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1.紫外分光光度计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1台</w:t>
      </w:r>
    </w:p>
    <w:p w14:paraId="25A705C2">
      <w:pPr>
        <w:spacing w:line="360" w:lineRule="auto"/>
        <w:ind w:left="420" w:leftChars="0" w:firstLine="420" w:firstLineChars="0"/>
        <w:jc w:val="both"/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2.5 cm 比色皿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4个</w:t>
      </w:r>
    </w:p>
    <w:p w14:paraId="07122317">
      <w:pPr>
        <w:spacing w:line="360" w:lineRule="auto"/>
        <w:ind w:left="420" w:leftChars="0" w:firstLine="420" w:firstLineChars="0"/>
        <w:jc w:val="both"/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3.100 ml容量瓶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亚硝酸盐和硝酸盐各1只</w:t>
      </w:r>
    </w:p>
    <w:p w14:paraId="4C6377F3">
      <w:pPr>
        <w:spacing w:line="360" w:lineRule="auto"/>
        <w:ind w:left="420" w:leftChars="0" w:firstLine="420" w:firstLineChars="0"/>
        <w:jc w:val="both"/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4.50 ml 比色管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亚硝酸盐和硝酸盐各 8只</w:t>
      </w:r>
    </w:p>
    <w:p w14:paraId="51AC0DB9">
      <w:pPr>
        <w:spacing w:line="360" w:lineRule="auto"/>
        <w:ind w:left="420" w:leftChars="0" w:firstLine="420" w:firstLineChars="0"/>
        <w:jc w:val="both"/>
        <w:rPr>
          <w:rFonts w:hint="default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5.1ml移液管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亚硝酸盐和硝酸盐各1 只</w:t>
      </w:r>
    </w:p>
    <w:p w14:paraId="10A579C9">
      <w:pPr>
        <w:numPr>
          <w:ilvl w:val="0"/>
          <w:numId w:val="0"/>
        </w:numPr>
        <w:tabs>
          <w:tab w:val="left" w:pos="831"/>
        </w:tabs>
        <w:spacing w:line="360" w:lineRule="auto"/>
        <w:jc w:val="both"/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6.2ml移液管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1 只</w:t>
      </w:r>
    </w:p>
    <w:p w14:paraId="4B4CD7B4">
      <w:pPr>
        <w:spacing w:line="360" w:lineRule="auto"/>
        <w:ind w:left="420" w:leftChars="0" w:firstLine="420" w:firstLineChars="0"/>
        <w:jc w:val="both"/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7.洗耳球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1只</w:t>
      </w:r>
    </w:p>
    <w:p w14:paraId="535B9C3D">
      <w:pPr>
        <w:spacing w:line="360" w:lineRule="auto"/>
        <w:ind w:left="420" w:leftChars="0" w:firstLine="420" w:firstLineChars="0"/>
        <w:jc w:val="both"/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8. 洗瓶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1只</w:t>
      </w:r>
    </w:p>
    <w:p w14:paraId="330D112A">
      <w:pPr>
        <w:spacing w:line="360" w:lineRule="auto"/>
        <w:ind w:left="420" w:leftChars="0" w:firstLine="420" w:firstLineChars="0"/>
        <w:jc w:val="both"/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9.镉-铜还原器1个</w:t>
      </w:r>
    </w:p>
    <w:p w14:paraId="0A780C1A">
      <w:pPr>
        <w:spacing w:line="360" w:lineRule="auto"/>
        <w:ind w:firstLine="897" w:firstLineChars="374"/>
        <w:jc w:val="both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</w:p>
    <w:p w14:paraId="114B3895">
      <w:pPr>
        <w:spacing w:line="360" w:lineRule="auto"/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1"/>
          <w:lang w:val="en-US" w:eastAsia="zh-CN"/>
        </w:rPr>
        <w:t>实验试剂</w:t>
      </w:r>
    </w:p>
    <w:p w14:paraId="7D8C006B">
      <w:pPr>
        <w:spacing w:line="360" w:lineRule="auto"/>
        <w:ind w:firstLine="785" w:firstLineChars="374"/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亚硝酸盐：磺胺溶液（1%），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α-萘乙二胺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溶液（0.1%），亚硝酸盐标准贮备溶液</w:t>
      </w:r>
    </w:p>
    <w:p w14:paraId="67CE7A3B">
      <w:pPr>
        <w:spacing w:line="360" w:lineRule="auto"/>
        <w:ind w:left="420" w:leftChars="0" w:firstLine="420" w:firstLineChars="0"/>
        <w:rPr>
          <w:rFonts w:hint="default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硝酸盐：磺胺溶液（1%），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α-萘乙二胺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溶液（0.1%），氨性缓冲溶液，硫酸铜溶液，盐酸（2mol/L），硝酸盐标准贮备溶液。</w:t>
      </w:r>
    </w:p>
    <w:p w14:paraId="196AFBE5">
      <w:pPr>
        <w:spacing w:line="360" w:lineRule="auto"/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1"/>
          <w:lang w:val="en-US" w:eastAsia="zh-CN"/>
        </w:rPr>
        <w:t>还原柱的制备：</w:t>
      </w:r>
    </w:p>
    <w:p w14:paraId="20162A53">
      <w:pPr>
        <w:spacing w:line="360" w:lineRule="auto"/>
        <w:ind w:firstLine="785" w:firstLineChars="374"/>
        <w:rPr>
          <w:rFonts w:hint="default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1)镉粒:7~14 目</w:t>
      </w:r>
    </w:p>
    <w:p w14:paraId="4A3D1C82">
      <w:pPr>
        <w:spacing w:line="360" w:lineRule="auto"/>
        <w:ind w:firstLine="785" w:firstLineChars="374"/>
        <w:rPr>
          <w:rFonts w:hint="default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2)取 35~40g镉粒于250ml带塞三角瓶中,用2mol/L盐酸洗涤镉粒,除去表面氧化层，再用去离子水洗涤至中性，加100ml硫酸铜溶液，摇动3分钟左右。此时，镉粒表面堵上硫酸铜层，弃去溶液层，用去离子水洗涤(注意不可猛烈摇动)直到水中不含胶体铜为止。</w:t>
      </w:r>
    </w:p>
    <w:p w14:paraId="27441CAA">
      <w:pPr>
        <w:spacing w:line="360" w:lineRule="auto"/>
        <w:ind w:firstLine="785" w:firstLineChars="374"/>
        <w:rPr>
          <w:rFonts w:hint="default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3) 在还原柱底部铺上干净的玻璃毛，注满去离子水，加入 Cd-Cu 还原剂，上面覆盖上玻璃毛。然后，用去离子水洗涤，再用氨行缓冲溶液洗涤浸泡</w:t>
      </w:r>
    </w:p>
    <w:p w14:paraId="2AD5008A">
      <w:pPr>
        <w:spacing w:line="360" w:lineRule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四、实验方法与步骤</w:t>
      </w:r>
    </w:p>
    <w:p w14:paraId="5F1CEA3D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eastAsia="宋体"/>
          <w:b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  <w:t>亚硝酸盐</w:t>
      </w:r>
    </w:p>
    <w:p w14:paraId="12D81A78">
      <w:pPr>
        <w:spacing w:line="360" w:lineRule="auto"/>
        <w:ind w:firstLine="420" w:firstLineChars="200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1.配制标准使用溶液:准确移取贮备的标准溶液0.50m1于100ml 容量瓶中用去离子水稀释到刻度，混匀，浓度为 0.050 μmol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/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ml。</w:t>
      </w:r>
    </w:p>
    <w:p w14:paraId="186E029F">
      <w:pPr>
        <w:spacing w:line="360" w:lineRule="auto"/>
        <w:ind w:firstLine="420" w:firstLineChars="200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2.标准系列:分别移取标准使用溶液0.00ml,0.50ml,1.00 ml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eastAsia="zh-CN"/>
        </w:rPr>
        <w:t>，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1.50 ml，2.00m1,3.00ml于 50ml比色管中,加去离子水至 50 m,依次加入1ml 磺胺溶液,混匀。1 min后加1 ml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 xml:space="preserve"> α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-萘乙二胺溶液，混匀，15 min 后以去离子水为参比液(5 cm 比色皿)，测定各个溶液的吸光度。</w:t>
      </w:r>
    </w:p>
    <w:p w14:paraId="02136A8A">
      <w:pPr>
        <w:spacing w:line="360" w:lineRule="auto"/>
        <w:ind w:firstLine="420" w:firstLineChars="200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3.水样测定(双样):取 50ml水样于 50ml比色管中，加1ml磺胺，混匀。1min 后，加1mla-萘乙二胺溶液，15 min后，以去离子水做参比液，测定溶液的吸光度(A~)。</w:t>
      </w:r>
    </w:p>
    <w:p w14:paraId="44DB02DE">
      <w:pPr>
        <w:spacing w:line="360" w:lineRule="auto"/>
        <w:ind w:firstLine="420" w:firstLineChars="200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4. 液槽校正(A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c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):同磷酸盐测定。</w:t>
      </w:r>
    </w:p>
    <w:p w14:paraId="13C0D9C6">
      <w:pPr>
        <w:spacing w:line="360" w:lineRule="auto"/>
        <w:ind w:firstLine="480" w:firstLineChars="200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5E085C09">
      <w:pPr>
        <w:spacing w:line="360" w:lineRule="auto"/>
        <w:ind w:firstLine="482" w:firstLineChars="200"/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1"/>
        </w:rPr>
        <w:t>硝酸盐:</w:t>
      </w:r>
    </w:p>
    <w:p w14:paraId="0C34FA96">
      <w:pPr>
        <w:spacing w:line="360" w:lineRule="auto"/>
        <w:ind w:firstLine="420" w:firstLineChars="200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1. 配置硝酸盐标注使用溶液:移取贮备标准溶液1.00ml于100 ml容量瓶中用去离子水定容至 100 ml，混匀，浓度为 0.1000 umol/ml。2、</w:t>
      </w:r>
    </w:p>
    <w:p w14:paraId="7F18C691">
      <w:pPr>
        <w:spacing w:line="360" w:lineRule="auto"/>
        <w:ind w:firstLine="420" w:firstLineChars="200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2.标准系列:分别移取使用标准溶液000ml,00e0 ml,1.00 ml,1.50 ml,2.00 ml3.00 ml于 100 ml 比色管中，加去离子水至 50 ml，加氨行缓冲溶液至 100 ml混匀。</w:t>
      </w:r>
    </w:p>
    <w:p w14:paraId="55CC5E29">
      <w:pPr>
        <w:spacing w:line="360" w:lineRule="auto"/>
        <w:ind w:firstLine="420" w:firstLineChars="200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3. 样品测定(双样):取 50ml样品于 100 ml 比色管中，加氨行缓冲溶液至 100ml，混匀。</w:t>
      </w:r>
    </w:p>
    <w:p w14:paraId="0362E91A">
      <w:pPr>
        <w:spacing w:line="360" w:lineRule="auto"/>
        <w:ind w:firstLine="420" w:firstLineChars="200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4.过柱还原:将上述溶液分别过柱还原，先用约40ml溶液洗涤还原柱，截取后 50 ml溶液于 50 ml 比色管中。</w:t>
      </w:r>
    </w:p>
    <w:p w14:paraId="7D66EB8B">
      <w:pPr>
        <w:spacing w:line="360" w:lineRule="auto"/>
        <w:ind w:firstLine="420" w:firstLineChars="200"/>
        <w:rPr>
          <w:rFonts w:hint="eastAsia" w:ascii="宋体" w:hAnsi="宋体"/>
          <w:snapToGrid w:val="0"/>
          <w:kern w:val="0"/>
          <w:position w:val="6"/>
          <w:sz w:val="21"/>
          <w:szCs w:val="21"/>
          <w:lang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</w:rPr>
        <w:t>5. 将还原后的溶液，分别加入1ml磺胺溶液，混匀。1分钟后，加入1mla-萘乙二胺溶液，混匀。15分钟后，以去离子水为参比溶液，进行比色测定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eastAsia="zh-CN"/>
        </w:rPr>
        <w:t>。</w:t>
      </w:r>
    </w:p>
    <w:p w14:paraId="2D51FE30">
      <w:pPr>
        <w:spacing w:line="360" w:lineRule="auto"/>
        <w:ind w:firstLine="420" w:firstLineChars="200"/>
        <w:rPr>
          <w:rFonts w:hint="default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8.水样空白的测定（Ac）：直接截取50ml经过还原的氨行缓冲溶液，显色测定其吸光度</w:t>
      </w:r>
    </w:p>
    <w:p w14:paraId="3383C939">
      <w:pPr>
        <w:numPr>
          <w:ilvl w:val="0"/>
          <w:numId w:val="1"/>
        </w:numPr>
        <w:spacing w:line="360" w:lineRule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实验结果与分析</w:t>
      </w:r>
    </w:p>
    <w:p w14:paraId="451FF5E8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eastAsia="宋体"/>
          <w:b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  <w:t>亚硝酸盐：</w:t>
      </w:r>
    </w:p>
    <w:p w14:paraId="5C0D84F6">
      <w:pPr>
        <w:spacing w:line="360" w:lineRule="auto"/>
        <w:ind w:left="420" w:leftChars="0" w:firstLine="420" w:firstLineChars="200"/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  <w:t>1.经实验数据制得如图亚硝酸盐标准曲线，其中横坐标为吸光度，纵坐标为一百毫升溶液所含标准溶液量</w:t>
      </w:r>
    </w:p>
    <w:p w14:paraId="4D11BC0D">
      <w:pPr>
        <w:spacing w:line="360" w:lineRule="auto"/>
        <w:ind w:left="420" w:leftChars="0" w:firstLine="420" w:firstLineChars="200"/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233045</wp:posOffset>
            </wp:positionH>
            <wp:positionV relativeFrom="paragraph">
              <wp:posOffset>209550</wp:posOffset>
            </wp:positionV>
            <wp:extent cx="5151755" cy="2646680"/>
            <wp:effectExtent l="4445" t="4445" r="10160" b="15875"/>
            <wp:wrapNone/>
            <wp:docPr id="4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 w14:paraId="7947F54A">
      <w:pPr>
        <w:spacing w:line="360" w:lineRule="auto"/>
        <w:ind w:left="420" w:leftChars="0" w:firstLine="420" w:firstLineChars="200"/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20544635">
      <w:pPr>
        <w:spacing w:line="360" w:lineRule="auto"/>
        <w:ind w:left="420" w:leftChars="0" w:firstLine="420" w:firstLineChars="200"/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64899305">
      <w:pPr>
        <w:spacing w:line="360" w:lineRule="auto"/>
        <w:ind w:left="420" w:leftChars="0" w:firstLine="420" w:firstLineChars="200"/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3DE11F3B">
      <w:pPr>
        <w:spacing w:line="360" w:lineRule="auto"/>
        <w:ind w:left="420" w:leftChars="0" w:firstLine="420" w:firstLineChars="200"/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14724070">
      <w:pPr>
        <w:spacing w:line="360" w:lineRule="auto"/>
        <w:ind w:left="420" w:leftChars="0" w:firstLine="420" w:firstLineChars="200"/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6267D1A9">
      <w:pPr>
        <w:spacing w:line="360" w:lineRule="auto"/>
        <w:ind w:left="420" w:leftChars="0" w:firstLine="420" w:firstLineChars="200"/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077EF962">
      <w:pPr>
        <w:spacing w:line="360" w:lineRule="auto"/>
        <w:ind w:left="420" w:leftChars="0" w:firstLine="420" w:firstLineChars="200"/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3AB66FFC">
      <w:pPr>
        <w:spacing w:line="360" w:lineRule="auto"/>
        <w:ind w:left="420" w:leftChars="0" w:firstLine="420" w:firstLineChars="200"/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37E39B5E">
      <w:pPr>
        <w:spacing w:line="360" w:lineRule="auto"/>
        <w:ind w:left="420" w:leftChars="0" w:firstLine="420" w:firstLineChars="200"/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15A45C6D">
      <w:pPr>
        <w:spacing w:line="360" w:lineRule="auto"/>
        <w:ind w:left="420" w:leftChars="0" w:firstLine="420" w:firstLineChars="200"/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7D6B7769">
      <w:pPr>
        <w:spacing w:line="360" w:lineRule="auto"/>
        <w:ind w:left="420" w:leftChars="0" w:firstLine="420" w:firstLineChars="20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  <w:t>2.实验测的样品吸光度为0.048和0.045（两组平行样），平均得为0.465，代入吸光度标准曲线得7.751，换算为亚硝酸盐浓度为775.1μmol/L</w:t>
      </w:r>
    </w:p>
    <w:p w14:paraId="7D7CC30E">
      <w:pPr>
        <w:spacing w:line="360" w:lineRule="auto"/>
        <w:ind w:firstLine="420" w:firstLineChars="0"/>
        <w:rPr>
          <w:rFonts w:hint="default"/>
          <w:b/>
          <w:bCs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/>
          <w:b/>
          <w:bCs/>
          <w:snapToGrid w:val="0"/>
          <w:kern w:val="0"/>
          <w:position w:val="6"/>
          <w:sz w:val="24"/>
          <w:szCs w:val="24"/>
          <w:lang w:val="en-US" w:eastAsia="zh-CN"/>
        </w:rPr>
        <w:t>硝酸盐：</w:t>
      </w:r>
    </w:p>
    <w:p w14:paraId="0100C0E6">
      <w:pPr>
        <w:numPr>
          <w:ilvl w:val="0"/>
          <w:numId w:val="2"/>
        </w:numPr>
        <w:spacing w:line="360" w:lineRule="auto"/>
        <w:ind w:left="420" w:leftChars="0" w:firstLine="420" w:firstLineChars="20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  <w:t>计算回收率</w:t>
      </w:r>
    </w:p>
    <w:p w14:paraId="7814809B">
      <w:pPr>
        <w:numPr>
          <w:ilvl w:val="0"/>
          <w:numId w:val="0"/>
        </w:numPr>
        <w:spacing w:line="360" w:lineRule="auto"/>
        <w:ind w:left="420" w:leftChars="200" w:firstLine="420" w:firstLine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526415</wp:posOffset>
            </wp:positionH>
            <wp:positionV relativeFrom="paragraph">
              <wp:posOffset>92075</wp:posOffset>
            </wp:positionV>
            <wp:extent cx="4780915" cy="811530"/>
            <wp:effectExtent l="0" t="0" r="4445" b="11430"/>
            <wp:wrapSquare wrapText="bothSides"/>
            <wp:docPr id="6" name="图片 6" descr="4ed2e3b84877c37753c06a827fb1f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ed2e3b84877c37753c06a827fb1f89"/>
                    <pic:cNvPicPr>
                      <a:picLocks noChangeAspect="1"/>
                    </pic:cNvPicPr>
                  </pic:nvPicPr>
                  <pic:blipFill>
                    <a:blip r:embed="rId6"/>
                    <a:srcRect l="13203" t="30312" r="6307" b="45401"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58659">
      <w:pPr>
        <w:numPr>
          <w:ilvl w:val="0"/>
          <w:numId w:val="0"/>
        </w:numPr>
        <w:spacing w:line="360" w:lineRule="auto"/>
        <w:ind w:left="420" w:leftChars="200" w:firstLine="420" w:firstLine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7D4AEF30">
      <w:pPr>
        <w:numPr>
          <w:ilvl w:val="0"/>
          <w:numId w:val="2"/>
        </w:numPr>
        <w:spacing w:line="360" w:lineRule="auto"/>
        <w:ind w:left="420" w:leftChars="0" w:firstLine="420" w:firstLineChars="20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  <w:t>计算并绘制标准曲线</w:t>
      </w:r>
    </w:p>
    <w:p w14:paraId="1306E09D">
      <w:pPr>
        <w:numPr>
          <w:ilvl w:val="0"/>
          <w:numId w:val="0"/>
        </w:numPr>
        <w:spacing w:line="360" w:lineRule="auto"/>
        <w:ind w:leftChars="20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7CFE078A">
      <w:pPr>
        <w:spacing w:line="360" w:lineRule="auto"/>
        <w:ind w:left="420" w:leftChars="0" w:firstLine="420" w:firstLineChars="20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509FD45B">
      <w:pPr>
        <w:spacing w:line="360" w:lineRule="auto"/>
        <w:ind w:left="420" w:leftChars="0" w:firstLine="420" w:firstLineChars="20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4604478A">
      <w:pPr>
        <w:spacing w:line="360" w:lineRule="auto"/>
        <w:ind w:left="420" w:leftChars="0" w:firstLine="420" w:firstLineChars="20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422910</wp:posOffset>
            </wp:positionH>
            <wp:positionV relativeFrom="paragraph">
              <wp:posOffset>-29210</wp:posOffset>
            </wp:positionV>
            <wp:extent cx="4826000" cy="2743200"/>
            <wp:effectExtent l="4445" t="4445" r="15875" b="10795"/>
            <wp:wrapNone/>
            <wp:docPr id="5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14:paraId="3AAD8602">
      <w:pPr>
        <w:spacing w:line="360" w:lineRule="auto"/>
        <w:ind w:left="420" w:leftChars="0" w:firstLine="420" w:firstLineChars="20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2199F505">
      <w:pPr>
        <w:spacing w:line="360" w:lineRule="auto"/>
        <w:ind w:left="420" w:leftChars="0" w:firstLine="420" w:firstLineChars="20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0065D900">
      <w:pPr>
        <w:spacing w:line="360" w:lineRule="auto"/>
        <w:ind w:left="420" w:leftChars="0" w:firstLine="420" w:firstLineChars="20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0BBEC3FB">
      <w:pPr>
        <w:spacing w:line="360" w:lineRule="auto"/>
        <w:ind w:left="420" w:leftChars="0" w:firstLine="420" w:firstLineChars="20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4598FCC8">
      <w:pPr>
        <w:spacing w:line="360" w:lineRule="auto"/>
        <w:ind w:left="420" w:leftChars="0" w:firstLine="420" w:firstLineChars="20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1BC68A1A">
      <w:pPr>
        <w:spacing w:line="360" w:lineRule="auto"/>
        <w:ind w:left="420" w:leftChars="0" w:firstLine="420" w:firstLineChars="20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77F3F090">
      <w:pPr>
        <w:spacing w:line="360" w:lineRule="auto"/>
        <w:ind w:left="420" w:leftChars="0" w:firstLine="420" w:firstLineChars="20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38FBCD65">
      <w:pPr>
        <w:spacing w:line="360" w:lineRule="auto"/>
        <w:ind w:left="420" w:leftChars="0" w:firstLine="420" w:firstLineChars="20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2038BE0A">
      <w:pPr>
        <w:spacing w:line="360" w:lineRule="auto"/>
        <w:ind w:left="420" w:leftChars="0" w:firstLine="420" w:firstLineChars="20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046676CB">
      <w:pPr>
        <w:spacing w:line="360" w:lineRule="auto"/>
        <w:ind w:left="420" w:leftChars="0" w:firstLine="420" w:firstLineChars="20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  <w:t>样品吸光度0.465带入标准曲线得8.82，换算为总浓度为882μmol/L</w:t>
      </w:r>
    </w:p>
    <w:p w14:paraId="4269A56E">
      <w:pPr>
        <w:spacing w:line="360" w:lineRule="auto"/>
        <w:ind w:left="420" w:leftChars="0" w:firstLine="420" w:firstLineChars="20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  <w:t>4.样品含量计算</w:t>
      </w:r>
    </w:p>
    <w:p w14:paraId="79A70236">
      <w:pPr>
        <w:spacing w:line="360" w:lineRule="auto"/>
        <w:ind w:left="420" w:leftChars="0" w:firstLine="420" w:firstLineChars="200"/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  <w:t>CNO3=882-775.1=106.9μmol/L</w:t>
      </w:r>
    </w:p>
    <w:p w14:paraId="13D8F429">
      <w:pPr>
        <w:spacing w:line="360" w:lineRule="auto"/>
        <w:ind w:left="420" w:leftChars="0" w:firstLine="420" w:firstLineChars="200"/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0AA8B5F7">
      <w:pPr>
        <w:numPr>
          <w:ilvl w:val="0"/>
          <w:numId w:val="3"/>
        </w:numPr>
        <w:spacing w:line="360" w:lineRule="auto"/>
        <w:ind w:left="420" w:leftChars="0" w:firstLine="420" w:firstLineChars="200"/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  <w:t>思考题</w:t>
      </w:r>
    </w:p>
    <w:p w14:paraId="6FD29562">
      <w:pPr>
        <w:numPr>
          <w:ilvl w:val="0"/>
          <w:numId w:val="4"/>
        </w:numPr>
        <w:spacing w:line="360" w:lineRule="auto"/>
        <w:ind w:left="840" w:leftChars="400" w:firstLine="420" w:firstLine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  <w:t>影响硝酸盐定量还原为亚硝酸盐的因素是什么？</w:t>
      </w:r>
    </w:p>
    <w:p w14:paraId="0DAB1AD3">
      <w:pPr>
        <w:numPr>
          <w:ilvl w:val="0"/>
          <w:numId w:val="0"/>
        </w:numPr>
        <w:spacing w:line="360" w:lineRule="auto"/>
        <w:ind w:left="1680" w:left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7A7861E7">
      <w:pPr>
        <w:numPr>
          <w:ilvl w:val="0"/>
          <w:numId w:val="0"/>
        </w:numPr>
        <w:spacing w:line="360" w:lineRule="auto"/>
        <w:ind w:left="1680" w:left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  <w:t>pH值：pH值对还原反应的速率有显著影响。通常，酸性条件有利于还原反应的进行。</w:t>
      </w:r>
    </w:p>
    <w:p w14:paraId="0072BB47">
      <w:pPr>
        <w:numPr>
          <w:ilvl w:val="0"/>
          <w:numId w:val="0"/>
        </w:numPr>
        <w:spacing w:line="360" w:lineRule="auto"/>
        <w:ind w:left="1680" w:left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  <w:t>温度：温度升高可以增加反应速率，但过高的温度可能会导致副反应的发生。</w:t>
      </w:r>
    </w:p>
    <w:p w14:paraId="1A6CE2F1">
      <w:pPr>
        <w:numPr>
          <w:ilvl w:val="0"/>
          <w:numId w:val="0"/>
        </w:numPr>
        <w:spacing w:line="360" w:lineRule="auto"/>
        <w:ind w:left="1680" w:left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  <w:t>还原剂的选择和浓度：不同的还原剂（如锌粉、镉粉等）对反应速率和选择性有不同的影响。还原剂的浓度也会影响反应的完全性和速率。</w:t>
      </w:r>
    </w:p>
    <w:p w14:paraId="0F5F2400">
      <w:pPr>
        <w:numPr>
          <w:ilvl w:val="0"/>
          <w:numId w:val="0"/>
        </w:numPr>
        <w:spacing w:line="360" w:lineRule="auto"/>
        <w:ind w:left="1680" w:left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  <w:t>反应时间：反应时间的长短直接影响还原的完全性。时间过短可能导致还原不完全，时间过长可能引起副反应。</w:t>
      </w:r>
    </w:p>
    <w:p w14:paraId="298D31A2">
      <w:pPr>
        <w:numPr>
          <w:ilvl w:val="0"/>
          <w:numId w:val="0"/>
        </w:numPr>
        <w:spacing w:line="360" w:lineRule="auto"/>
        <w:ind w:left="1680" w:left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  <w:t>催化剂的存在：某些催化剂可以加速还原反应，提高反应的选择性和效率。</w:t>
      </w:r>
    </w:p>
    <w:p w14:paraId="7EA9D293">
      <w:pPr>
        <w:numPr>
          <w:ilvl w:val="0"/>
          <w:numId w:val="0"/>
        </w:numPr>
        <w:spacing w:line="360" w:lineRule="auto"/>
        <w:ind w:left="1680" w:left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  <w:t>离子强度：溶液中的离子强度可能影响反应的动力学和平衡。</w:t>
      </w:r>
    </w:p>
    <w:p w14:paraId="26B39635">
      <w:pPr>
        <w:numPr>
          <w:ilvl w:val="0"/>
          <w:numId w:val="0"/>
        </w:numPr>
        <w:spacing w:line="360" w:lineRule="auto"/>
        <w:ind w:left="1680" w:left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  <w:t>干扰物质：溶液中其他离子或化合物的存在可能干扰还原反应，影响结果的准确性。</w:t>
      </w:r>
    </w:p>
    <w:p w14:paraId="652BC885">
      <w:pPr>
        <w:numPr>
          <w:ilvl w:val="0"/>
          <w:numId w:val="0"/>
        </w:numPr>
        <w:spacing w:line="360" w:lineRule="auto"/>
        <w:ind w:left="1680" w:left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319A855D">
      <w:pPr>
        <w:numPr>
          <w:ilvl w:val="0"/>
          <w:numId w:val="4"/>
        </w:numPr>
        <w:spacing w:line="360" w:lineRule="auto"/>
        <w:ind w:left="840" w:leftChars="400" w:firstLine="420" w:firstLine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 w:val="21"/>
          <w:szCs w:val="21"/>
          <w:lang w:val="en-US" w:eastAsia="zh-CN"/>
        </w:rPr>
        <w:t>决定亚硝酸盐的测量量程的因素是什么？</w:t>
      </w:r>
    </w:p>
    <w:p w14:paraId="0762B03D">
      <w:pPr>
        <w:numPr>
          <w:ilvl w:val="0"/>
          <w:numId w:val="0"/>
        </w:numPr>
        <w:spacing w:line="360" w:lineRule="auto"/>
        <w:ind w:left="1260" w:leftChars="600" w:firstLine="420" w:firstLine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37206CD4">
      <w:pPr>
        <w:numPr>
          <w:ilvl w:val="0"/>
          <w:numId w:val="0"/>
        </w:numPr>
        <w:spacing w:line="360" w:lineRule="auto"/>
        <w:ind w:left="1260" w:leftChars="600" w:firstLine="420" w:firstLine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  <w:t>检测方法：不同的检测方法（如分光光度法、电化学法、离子色谱法等）有不同的检测范围和灵敏度。</w:t>
      </w:r>
    </w:p>
    <w:p w14:paraId="0F7422C2">
      <w:pPr>
        <w:numPr>
          <w:ilvl w:val="0"/>
          <w:numId w:val="0"/>
        </w:numPr>
        <w:spacing w:line="360" w:lineRule="auto"/>
        <w:ind w:left="1260" w:leftChars="600" w:firstLine="420" w:firstLine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  <w:t>仪器性能：仪器的精度、线性范围和稳定性决定了测量的量程。</w:t>
      </w:r>
    </w:p>
    <w:p w14:paraId="14BBB08E">
      <w:pPr>
        <w:numPr>
          <w:ilvl w:val="0"/>
          <w:numId w:val="0"/>
        </w:numPr>
        <w:spacing w:line="360" w:lineRule="auto"/>
        <w:ind w:left="1260" w:leftChars="600" w:firstLine="420" w:firstLine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  <w:t>标准曲线的线性范围：标准曲线的线性范围决定了可以准确测量的浓度范围。超出线性范围的浓度可能导致结果不准确。</w:t>
      </w:r>
    </w:p>
    <w:p w14:paraId="14D26174">
      <w:pPr>
        <w:numPr>
          <w:ilvl w:val="0"/>
          <w:numId w:val="0"/>
        </w:numPr>
        <w:spacing w:line="360" w:lineRule="auto"/>
        <w:ind w:left="1260" w:leftChars="600" w:firstLine="420" w:firstLine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  <w:t>样品预处理：样品的预处理步骤（如稀释、浓缩、过滤等）会影响最终的测量结果。</w:t>
      </w:r>
    </w:p>
    <w:p w14:paraId="24B402A6">
      <w:pPr>
        <w:numPr>
          <w:ilvl w:val="0"/>
          <w:numId w:val="0"/>
        </w:numPr>
        <w:spacing w:line="360" w:lineRule="auto"/>
        <w:ind w:left="1260" w:leftChars="600" w:firstLine="420" w:firstLine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  <w:t>试剂的纯度和稳定性：试剂的质量和稳定性直接影响测量的准确性和可靠性。</w:t>
      </w:r>
    </w:p>
    <w:p w14:paraId="340C3A41">
      <w:pPr>
        <w:numPr>
          <w:ilvl w:val="0"/>
          <w:numId w:val="0"/>
        </w:numPr>
        <w:spacing w:line="360" w:lineRule="auto"/>
        <w:ind w:left="1260" w:leftChars="600" w:firstLine="420" w:firstLine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  <w:t>环境条件：温度、湿度等环境条件可能影响测量的稳定性和准确性。</w:t>
      </w:r>
    </w:p>
    <w:p w14:paraId="7B58D431">
      <w:pPr>
        <w:numPr>
          <w:ilvl w:val="0"/>
          <w:numId w:val="0"/>
        </w:numPr>
        <w:spacing w:line="360" w:lineRule="auto"/>
        <w:ind w:left="1260" w:leftChars="600" w:firstLine="420" w:firstLineChars="0"/>
        <w:rPr>
          <w:rFonts w:hint="default"/>
          <w:snapToGrid w:val="0"/>
          <w:kern w:val="0"/>
          <w:position w:val="6"/>
          <w:sz w:val="21"/>
          <w:szCs w:val="21"/>
          <w:lang w:val="en-US" w:eastAsia="zh-CN"/>
        </w:rPr>
      </w:pPr>
    </w:p>
    <w:sectPr>
      <w:pgSz w:w="11906" w:h="16838"/>
      <w:pgMar w:top="1440" w:right="74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B261EE"/>
    <w:multiLevelType w:val="singleLevel"/>
    <w:tmpl w:val="A5B261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605B959"/>
    <w:multiLevelType w:val="multilevel"/>
    <w:tmpl w:val="C605B959"/>
    <w:lvl w:ilvl="0" w:tentative="0">
      <w:start w:val="6"/>
      <w:numFmt w:val="chineseCounting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2">
    <w:nsid w:val="D572E1E8"/>
    <w:multiLevelType w:val="singleLevel"/>
    <w:tmpl w:val="D572E1E8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4C24E8BA"/>
    <w:multiLevelType w:val="multilevel"/>
    <w:tmpl w:val="4C24E8BA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ODdmZjY0Zjg0ZWQ3ZmVhZDA3NDFkNTYwZGEwNjYifQ=="/>
  </w:docVars>
  <w:rsids>
    <w:rsidRoot w:val="00A357B9"/>
    <w:rsid w:val="000A0E2E"/>
    <w:rsid w:val="001031EF"/>
    <w:rsid w:val="001A65BF"/>
    <w:rsid w:val="001D005D"/>
    <w:rsid w:val="001E206A"/>
    <w:rsid w:val="001E7D4E"/>
    <w:rsid w:val="0021389A"/>
    <w:rsid w:val="00230A0A"/>
    <w:rsid w:val="00264666"/>
    <w:rsid w:val="002D05A9"/>
    <w:rsid w:val="002F2047"/>
    <w:rsid w:val="00304048"/>
    <w:rsid w:val="00305AFC"/>
    <w:rsid w:val="00332279"/>
    <w:rsid w:val="00347C2F"/>
    <w:rsid w:val="00375755"/>
    <w:rsid w:val="00394810"/>
    <w:rsid w:val="0039696B"/>
    <w:rsid w:val="003A17E8"/>
    <w:rsid w:val="003A7C69"/>
    <w:rsid w:val="003B6176"/>
    <w:rsid w:val="003C043F"/>
    <w:rsid w:val="003C7976"/>
    <w:rsid w:val="003D11EE"/>
    <w:rsid w:val="003D14FC"/>
    <w:rsid w:val="003F2092"/>
    <w:rsid w:val="003F253B"/>
    <w:rsid w:val="00415A2A"/>
    <w:rsid w:val="00432FA7"/>
    <w:rsid w:val="00485C6A"/>
    <w:rsid w:val="00494E46"/>
    <w:rsid w:val="004A14AC"/>
    <w:rsid w:val="004A37E8"/>
    <w:rsid w:val="004D353A"/>
    <w:rsid w:val="004F3977"/>
    <w:rsid w:val="004F5BEB"/>
    <w:rsid w:val="00517CED"/>
    <w:rsid w:val="00521370"/>
    <w:rsid w:val="0052447D"/>
    <w:rsid w:val="00541C1C"/>
    <w:rsid w:val="005709D6"/>
    <w:rsid w:val="005858FF"/>
    <w:rsid w:val="005C15F6"/>
    <w:rsid w:val="005E77BD"/>
    <w:rsid w:val="006226B8"/>
    <w:rsid w:val="00623E6C"/>
    <w:rsid w:val="00685C21"/>
    <w:rsid w:val="00690456"/>
    <w:rsid w:val="00694F8D"/>
    <w:rsid w:val="006A2BA3"/>
    <w:rsid w:val="006A487C"/>
    <w:rsid w:val="006A66F7"/>
    <w:rsid w:val="00712199"/>
    <w:rsid w:val="00735C43"/>
    <w:rsid w:val="0076394D"/>
    <w:rsid w:val="0076591F"/>
    <w:rsid w:val="00784F1C"/>
    <w:rsid w:val="0079595D"/>
    <w:rsid w:val="007B18D9"/>
    <w:rsid w:val="007E32EF"/>
    <w:rsid w:val="007F4E32"/>
    <w:rsid w:val="00857ABC"/>
    <w:rsid w:val="008812D2"/>
    <w:rsid w:val="008C5410"/>
    <w:rsid w:val="008E37E5"/>
    <w:rsid w:val="008F2497"/>
    <w:rsid w:val="008F4C72"/>
    <w:rsid w:val="009043DA"/>
    <w:rsid w:val="009240C0"/>
    <w:rsid w:val="009329FE"/>
    <w:rsid w:val="00942624"/>
    <w:rsid w:val="00977575"/>
    <w:rsid w:val="009C762B"/>
    <w:rsid w:val="009D4779"/>
    <w:rsid w:val="009D701C"/>
    <w:rsid w:val="00A357B9"/>
    <w:rsid w:val="00A7675D"/>
    <w:rsid w:val="00A773BF"/>
    <w:rsid w:val="00A92CAA"/>
    <w:rsid w:val="00AC288A"/>
    <w:rsid w:val="00AD377F"/>
    <w:rsid w:val="00AF6AD6"/>
    <w:rsid w:val="00B07A09"/>
    <w:rsid w:val="00B20D17"/>
    <w:rsid w:val="00B44D5B"/>
    <w:rsid w:val="00B47C67"/>
    <w:rsid w:val="00B50323"/>
    <w:rsid w:val="00B71BD9"/>
    <w:rsid w:val="00B74045"/>
    <w:rsid w:val="00B77CFB"/>
    <w:rsid w:val="00BF0507"/>
    <w:rsid w:val="00C60062"/>
    <w:rsid w:val="00C64FD0"/>
    <w:rsid w:val="00C92BE6"/>
    <w:rsid w:val="00CF24C1"/>
    <w:rsid w:val="00CF4A0A"/>
    <w:rsid w:val="00D0300C"/>
    <w:rsid w:val="00D168A1"/>
    <w:rsid w:val="00D43303"/>
    <w:rsid w:val="00D75C14"/>
    <w:rsid w:val="00D81C13"/>
    <w:rsid w:val="00D96F41"/>
    <w:rsid w:val="00DA2642"/>
    <w:rsid w:val="00DB75EB"/>
    <w:rsid w:val="00E02CB0"/>
    <w:rsid w:val="00E51FC8"/>
    <w:rsid w:val="00E63C18"/>
    <w:rsid w:val="00E67AA4"/>
    <w:rsid w:val="00E81253"/>
    <w:rsid w:val="00E934BD"/>
    <w:rsid w:val="00EE1930"/>
    <w:rsid w:val="00F015CC"/>
    <w:rsid w:val="00F15305"/>
    <w:rsid w:val="00F3326A"/>
    <w:rsid w:val="00F9367A"/>
    <w:rsid w:val="00FC5788"/>
    <w:rsid w:val="00FD072A"/>
    <w:rsid w:val="00FE28AC"/>
    <w:rsid w:val="00FF422F"/>
    <w:rsid w:val="07010F3E"/>
    <w:rsid w:val="09DD29FF"/>
    <w:rsid w:val="14077F02"/>
    <w:rsid w:val="1EDD68BF"/>
    <w:rsid w:val="57442617"/>
    <w:rsid w:val="6230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qFormat/>
    <w:uiPriority w:val="0"/>
    <w:pPr>
      <w:jc w:val="left"/>
    </w:pPr>
  </w:style>
  <w:style w:type="paragraph" w:styleId="3">
    <w:name w:val="Balloon Text"/>
    <w:basedOn w:val="1"/>
    <w:link w:val="19"/>
    <w:qFormat/>
    <w:uiPriority w:val="0"/>
    <w:rPr>
      <w:sz w:val="18"/>
      <w:szCs w:val="18"/>
    </w:r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annotation subject"/>
    <w:basedOn w:val="2"/>
    <w:next w:val="2"/>
    <w:link w:val="18"/>
    <w:qFormat/>
    <w:uiPriority w:val="0"/>
    <w:rPr>
      <w:b/>
      <w:bCs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annotation reference"/>
    <w:qFormat/>
    <w:uiPriority w:val="0"/>
    <w:rPr>
      <w:sz w:val="21"/>
      <w:szCs w:val="21"/>
    </w:rPr>
  </w:style>
  <w:style w:type="character" w:customStyle="1" w:styleId="12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3">
    <w:name w:val="页脚 Char"/>
    <w:link w:val="4"/>
    <w:qFormat/>
    <w:uiPriority w:val="0"/>
    <w:rPr>
      <w:kern w:val="2"/>
      <w:sz w:val="18"/>
      <w:szCs w:val="18"/>
    </w:rPr>
  </w:style>
  <w:style w:type="paragraph" w:styleId="14">
    <w:name w:val="Quote"/>
    <w:basedOn w:val="1"/>
    <w:next w:val="1"/>
    <w:link w:val="15"/>
    <w:qFormat/>
    <w:uiPriority w:val="29"/>
    <w:rPr>
      <w:i/>
      <w:iCs/>
      <w:color w:val="000000"/>
    </w:rPr>
  </w:style>
  <w:style w:type="character" w:customStyle="1" w:styleId="15">
    <w:name w:val="引用 Char"/>
    <w:link w:val="14"/>
    <w:qFormat/>
    <w:uiPriority w:val="29"/>
    <w:rPr>
      <w:i/>
      <w:iCs/>
      <w:color w:val="000000"/>
      <w:kern w:val="2"/>
      <w:sz w:val="21"/>
      <w:szCs w:val="24"/>
    </w:rPr>
  </w:style>
  <w:style w:type="paragraph" w:styleId="16">
    <w:name w:val="List Paragraph"/>
    <w:basedOn w:val="1"/>
    <w:qFormat/>
    <w:uiPriority w:val="34"/>
    <w:pPr>
      <w:widowControl/>
      <w:spacing w:after="160" w:line="259" w:lineRule="auto"/>
      <w:ind w:firstLine="420" w:firstLineChars="200"/>
      <w:jc w:val="left"/>
    </w:pPr>
    <w:rPr>
      <w:rFonts w:ascii="Calibri" w:hAnsi="Calibri"/>
      <w:kern w:val="0"/>
      <w:sz w:val="22"/>
      <w:szCs w:val="22"/>
      <w:lang w:val="en-GB"/>
    </w:rPr>
  </w:style>
  <w:style w:type="character" w:customStyle="1" w:styleId="17">
    <w:name w:val="批注文字 字符"/>
    <w:link w:val="2"/>
    <w:qFormat/>
    <w:uiPriority w:val="0"/>
    <w:rPr>
      <w:kern w:val="2"/>
      <w:sz w:val="21"/>
      <w:szCs w:val="24"/>
    </w:rPr>
  </w:style>
  <w:style w:type="character" w:customStyle="1" w:styleId="18">
    <w:name w:val="批注主题 字符"/>
    <w:link w:val="7"/>
    <w:qFormat/>
    <w:uiPriority w:val="0"/>
    <w:rPr>
      <w:b/>
      <w:bCs/>
      <w:kern w:val="2"/>
      <w:sz w:val="21"/>
      <w:szCs w:val="24"/>
    </w:rPr>
  </w:style>
  <w:style w:type="character" w:customStyle="1" w:styleId="19">
    <w:name w:val="批注框文本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chart" Target="charts/chart2.xml"/><Relationship Id="rId6" Type="http://schemas.openxmlformats.org/officeDocument/2006/relationships/image" Target="media/image2.jpeg"/><Relationship Id="rId5" Type="http://schemas.openxmlformats.org/officeDocument/2006/relationships/chart" Target="charts/chart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&#20113;&#35475;\Desktop\study\&#22823;&#19977;&#19978;\&#28023;&#27700;&#20998;&#26512;&#21270;&#23398;&#21450;&#23454;&#39564;\&#23454;&#39564;&#20116;\&#26032;&#24314;%20Microsoft%20Excel%2097-2003%20Worksheet.xls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Users\&#20113;&#35475;\Desktop\study\&#22823;&#19977;&#19978;\&#28023;&#27700;&#20998;&#26512;&#21270;&#23398;&#21450;&#23454;&#39564;\&#23454;&#39564;&#20116;\&#26032;&#24314;%20Microsoft%20Excel%2097-2003%20Worksheet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亚硝酸盐标准曲线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</a:p>
              </c:txPr>
            </c:trendlineLbl>
          </c:trendline>
          <c:xVal>
            <c:numRef>
              <c:f>'[新建 Microsoft Excel 97-2003 Worksheet.xls]Sheet1'!$B$1:$B$6</c:f>
              <c:numCache>
                <c:formatCode>General</c:formatCode>
                <c:ptCount val="6"/>
                <c:pt idx="0">
                  <c:v>0</c:v>
                </c:pt>
                <c:pt idx="1">
                  <c:v>0.028</c:v>
                </c:pt>
                <c:pt idx="2">
                  <c:v>0.062</c:v>
                </c:pt>
                <c:pt idx="3">
                  <c:v>0.092</c:v>
                </c:pt>
                <c:pt idx="4">
                  <c:v>0.122</c:v>
                </c:pt>
                <c:pt idx="5">
                  <c:v>0.178</c:v>
                </c:pt>
              </c:numCache>
            </c:numRef>
          </c:xVal>
          <c:yVal>
            <c:numRef>
              <c:f>'[新建 Microsoft Excel 97-2003 Worksheet.xls]Sheet1'!$C$1:$C$6</c:f>
              <c:numCache>
                <c:formatCode>General</c:formatCode>
                <c:ptCount val="6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43799954"/>
        <c:axId val="14684360"/>
      </c:scatterChart>
      <c:valAx>
        <c:axId val="74379995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吸光度</a:t>
                </a:r>
                <a:r>
                  <a:rPr lang="en-US" altLang="zh-CN"/>
                  <a:t>A</a:t>
                </a:r>
                <a:endParaRPr lang="en-US" altLang="zh-CN"/>
              </a:p>
            </c:rich>
          </c:tx>
          <c:layout>
            <c:manualLayout>
              <c:xMode val="edge"/>
              <c:yMode val="edge"/>
              <c:x val="0.474707259953162"/>
              <c:y val="0.87883877159309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4684360"/>
        <c:crosses val="autoZero"/>
        <c:crossBetween val="midCat"/>
      </c:valAx>
      <c:valAx>
        <c:axId val="146843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43799954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a1a4ed7-1915-4acf-ac44-5557d4d63c7f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标准曲线</a:t>
            </a:r>
          </a:p>
        </c:rich>
      </c:tx>
      <c:layout>
        <c:manualLayout>
          <c:xMode val="edge"/>
          <c:yMode val="edge"/>
          <c:x val="0.438947368421053"/>
          <c:y val="0.0263888888888889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</a:p>
              </c:txPr>
            </c:trendlineLbl>
          </c:trendline>
          <c:xVal>
            <c:numRef>
              <c:f>'[新建 Microsoft Excel 97-2003 Worksheet.xls]Sheet1'!$B$9:$B$14</c:f>
              <c:numCache>
                <c:formatCode>General</c:formatCode>
                <c:ptCount val="6"/>
                <c:pt idx="0">
                  <c:v>0.012</c:v>
                </c:pt>
                <c:pt idx="1">
                  <c:v>0.049</c:v>
                </c:pt>
                <c:pt idx="2">
                  <c:v>0.077</c:v>
                </c:pt>
                <c:pt idx="3">
                  <c:v>0.091</c:v>
                </c:pt>
                <c:pt idx="4">
                  <c:v>0.117</c:v>
                </c:pt>
                <c:pt idx="5">
                  <c:v>0.169</c:v>
                </c:pt>
              </c:numCache>
            </c:numRef>
          </c:xVal>
          <c:yVal>
            <c:numRef>
              <c:f>'[新建 Microsoft Excel 97-2003 Worksheet.xls]Sheet1'!$C$9:$C$14</c:f>
              <c:numCache>
                <c:formatCode>General</c:formatCode>
                <c:ptCount val="6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1708299"/>
        <c:axId val="431097343"/>
      </c:scatterChart>
      <c:valAx>
        <c:axId val="1117082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吸光度</a:t>
                </a:r>
                <a:r>
                  <a:rPr lang="en-US" altLang="zh-CN"/>
                  <a:t>A</a:t>
                </a:r>
                <a:endParaRPr lang="en-US" altLang="zh-CN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31097343"/>
        <c:crosses val="autoZero"/>
        <c:crossBetween val="midCat"/>
      </c:valAx>
      <c:valAx>
        <c:axId val="4310973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zh-CN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11708299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5c5acaa-5caf-412c-91df-ab83a4b519e9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17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noFill/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17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noFill/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5</Pages>
  <Words>1892</Words>
  <Characters>2252</Characters>
  <Lines>1</Lines>
  <Paragraphs>1</Paragraphs>
  <TotalTime>15</TotalTime>
  <ScaleCrop>false</ScaleCrop>
  <LinksUpToDate>false</LinksUpToDate>
  <CharactersWithSpaces>2405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2022-02-21T10:10:00Z</dcterms:created>
  <dc:creator>微软用户</dc:creator>
  <cp:lastModifiedBy> 麟</cp:lastModifiedBy>
  <cp:lastPrinted>2019-11-28T08:49:00Z</cp:lastPrinted>
  <dcterms:modified xsi:type="dcterms:W3CDTF">2026-08-10T09:38:25Z</dcterms:modified>
  <dc:title>实验报告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5ED31867B87E4211A5AB3523BDE23C7E_12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