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074BB">
      <w:pPr>
        <w:pStyle w:val="14"/>
        <w:rPr>
          <w:rFonts w:hint="eastAsia"/>
          <w:i w:val="0"/>
          <w:snapToGrid w:val="0"/>
        </w:rPr>
      </w:pPr>
      <w:bookmarkStart w:id="0" w:name="_GoBack"/>
      <w:bookmarkEnd w:id="0"/>
      <w:r>
        <w:rPr>
          <w:rFonts w:hint="eastAsia"/>
          <w:i w:val="0"/>
        </w:rPr>
        <mc:AlternateContent>
          <mc:Choice Requires="wps">
            <w:drawing>
              <wp:anchor distT="0" distB="0" distL="114300" distR="114300" simplePos="0" relativeHeight="251659264" behindDoc="0" locked="0" layoutInCell="1" allowOverlap="1">
                <wp:simplePos x="0" y="0"/>
                <wp:positionH relativeFrom="column">
                  <wp:posOffset>4244340</wp:posOffset>
                </wp:positionH>
                <wp:positionV relativeFrom="paragraph">
                  <wp:posOffset>-396240</wp:posOffset>
                </wp:positionV>
                <wp:extent cx="1927860" cy="1188720"/>
                <wp:effectExtent l="0" t="3810" r="0" b="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27860" cy="1188720"/>
                        </a:xfrm>
                        <a:prstGeom prst="rect">
                          <a:avLst/>
                        </a:prstGeom>
                        <a:solidFill>
                          <a:srgbClr val="FFFFFF"/>
                        </a:solidFill>
                        <a:ln>
                          <a:noFill/>
                        </a:ln>
                      </wps:spPr>
                      <wps:txbx>
                        <w:txbxContent>
                          <w:p w14:paraId="29F62B01">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海洋科学</w:t>
                            </w:r>
                            <w:r>
                              <w:rPr>
                                <w:rFonts w:hint="eastAsia"/>
                                <w:u w:val="single"/>
                              </w:rPr>
                              <w:t xml:space="preserve">                </w:t>
                            </w:r>
                          </w:p>
                          <w:p w14:paraId="15EA654A">
                            <w:pPr>
                              <w:adjustRightInd w:val="0"/>
                              <w:snapToGrid w:val="0"/>
                              <w:spacing w:line="300" w:lineRule="auto"/>
                              <w:rPr>
                                <w:rFonts w:hint="eastAsia"/>
                                <w:u w:val="single"/>
                              </w:rPr>
                            </w:pPr>
                            <w:r>
                              <w:rPr>
                                <w:rFonts w:hint="eastAsia"/>
                              </w:rPr>
                              <w:t>姓名：</w:t>
                            </w:r>
                            <w:r>
                              <w:rPr>
                                <w:rFonts w:hint="eastAsia"/>
                                <w:u w:val="single"/>
                              </w:rPr>
                              <w:t xml:space="preserve">   </w:t>
                            </w:r>
                            <w:r>
                              <w:rPr>
                                <w:u w:val="single"/>
                              </w:rPr>
                              <w:t xml:space="preserve"> </w:t>
                            </w:r>
                            <w:r>
                              <w:rPr>
                                <w:rFonts w:hint="eastAsia"/>
                                <w:u w:val="single"/>
                              </w:rPr>
                              <w:t xml:space="preserve">              </w:t>
                            </w:r>
                          </w:p>
                          <w:p w14:paraId="41E3A26B">
                            <w:pPr>
                              <w:adjustRightInd w:val="0"/>
                              <w:snapToGrid w:val="0"/>
                              <w:spacing w:line="300" w:lineRule="auto"/>
                              <w:rPr>
                                <w:rFonts w:hint="eastAsia"/>
                              </w:rPr>
                            </w:pPr>
                            <w:r>
                              <w:rPr>
                                <w:rFonts w:hint="eastAsia"/>
                              </w:rPr>
                              <w:t>学号：</w:t>
                            </w:r>
                            <w:r>
                              <w:rPr>
                                <w:rFonts w:hint="eastAsia"/>
                                <w:u w:val="single"/>
                              </w:rPr>
                              <w:t xml:space="preserve">          </w:t>
                            </w:r>
                          </w:p>
                          <w:p w14:paraId="1ECF313B">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2024.10.14</w:t>
                            </w:r>
                            <w:r>
                              <w:rPr>
                                <w:rFonts w:hint="eastAsia"/>
                                <w:u w:val="single"/>
                              </w:rPr>
                              <w:t xml:space="preserve">               </w:t>
                            </w:r>
                          </w:p>
                          <w:p w14:paraId="075E9393">
                            <w:pPr>
                              <w:adjustRightInd w:val="0"/>
                              <w:snapToGrid w:val="0"/>
                              <w:spacing w:line="300" w:lineRule="auto"/>
                              <w:rPr>
                                <w:rFonts w:hint="eastAsia"/>
                                <w:u w:val="single"/>
                              </w:rPr>
                            </w:pPr>
                            <w:r>
                              <w:rPr>
                                <w:rFonts w:hint="eastAsia"/>
                              </w:rPr>
                              <w:t>地点：</w:t>
                            </w:r>
                            <w:r>
                              <w:rPr>
                                <w:rFonts w:hint="eastAsia"/>
                                <w:u w:val="single"/>
                              </w:rPr>
                              <w:t xml:space="preserve">   </w:t>
                            </w:r>
                            <w:r>
                              <w:rPr>
                                <w:rFonts w:hint="eastAsia"/>
                                <w:u w:val="single"/>
                                <w:lang w:val="en-US" w:eastAsia="zh-CN"/>
                              </w:rPr>
                              <w:t>海工楼230</w:t>
                            </w:r>
                            <w:r>
                              <w:rPr>
                                <w:rFonts w:hint="eastAsia"/>
                                <w:u w:val="single"/>
                              </w:rPr>
                              <w:t xml:space="preserve">               </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34.2pt;margin-top:-31.2pt;height:93.6pt;width:151.8pt;z-index:251659264;mso-width-relative:page;mso-height-relative:page;" fillcolor="#FFFFFF" filled="t" stroked="f" coordsize="21600,21600" o:gfxdata="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BjcG/YAAAACwEA&#10;AA8AAAAAAAAAAQAgAAAAIgAAAGRycy9kb3ducmV2LnhtbFBLAQIUABQAAAAIAIdO4kCzLNluGgIA&#10;AD4EAAAOAAAAAAAAAAEAIAAAACcBAABkcnMvZTJvRG9jLnhtbFBLBQYAAAAABgAGAFkBAACzBQAA&#10;AAA=&#10;">
                <v:fill on="t" focussize="0,0"/>
                <v:stroke on="f"/>
                <v:imagedata o:title=""/>
                <o:lock v:ext="edit" aspectratio="f"/>
                <v:textbox>
                  <w:txbxContent>
                    <w:p w14:paraId="29F62B01">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海洋科学</w:t>
                      </w:r>
                      <w:r>
                        <w:rPr>
                          <w:rFonts w:hint="eastAsia"/>
                          <w:u w:val="single"/>
                        </w:rPr>
                        <w:t xml:space="preserve">                </w:t>
                      </w:r>
                    </w:p>
                    <w:p w14:paraId="15EA654A">
                      <w:pPr>
                        <w:adjustRightInd w:val="0"/>
                        <w:snapToGrid w:val="0"/>
                        <w:spacing w:line="300" w:lineRule="auto"/>
                        <w:rPr>
                          <w:rFonts w:hint="eastAsia"/>
                          <w:u w:val="single"/>
                        </w:rPr>
                      </w:pPr>
                      <w:r>
                        <w:rPr>
                          <w:rFonts w:hint="eastAsia"/>
                        </w:rPr>
                        <w:t>姓名：</w:t>
                      </w:r>
                      <w:r>
                        <w:rPr>
                          <w:rFonts w:hint="eastAsia"/>
                          <w:u w:val="single"/>
                        </w:rPr>
                        <w:t xml:space="preserve">   </w:t>
                      </w:r>
                      <w:r>
                        <w:rPr>
                          <w:u w:val="single"/>
                        </w:rPr>
                        <w:t xml:space="preserve"> </w:t>
                      </w:r>
                      <w:r>
                        <w:rPr>
                          <w:rFonts w:hint="eastAsia"/>
                          <w:u w:val="single"/>
                        </w:rPr>
                        <w:t xml:space="preserve">              </w:t>
                      </w:r>
                    </w:p>
                    <w:p w14:paraId="41E3A26B">
                      <w:pPr>
                        <w:adjustRightInd w:val="0"/>
                        <w:snapToGrid w:val="0"/>
                        <w:spacing w:line="300" w:lineRule="auto"/>
                        <w:rPr>
                          <w:rFonts w:hint="eastAsia"/>
                        </w:rPr>
                      </w:pPr>
                      <w:r>
                        <w:rPr>
                          <w:rFonts w:hint="eastAsia"/>
                        </w:rPr>
                        <w:t>学号：</w:t>
                      </w:r>
                      <w:r>
                        <w:rPr>
                          <w:rFonts w:hint="eastAsia"/>
                          <w:u w:val="single"/>
                        </w:rPr>
                        <w:t xml:space="preserve">          </w:t>
                      </w:r>
                    </w:p>
                    <w:p w14:paraId="1ECF313B">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2024.10.14</w:t>
                      </w:r>
                      <w:r>
                        <w:rPr>
                          <w:rFonts w:hint="eastAsia"/>
                          <w:u w:val="single"/>
                        </w:rPr>
                        <w:t xml:space="preserve">               </w:t>
                      </w:r>
                    </w:p>
                    <w:p w14:paraId="075E9393">
                      <w:pPr>
                        <w:adjustRightInd w:val="0"/>
                        <w:snapToGrid w:val="0"/>
                        <w:spacing w:line="300" w:lineRule="auto"/>
                        <w:rPr>
                          <w:rFonts w:hint="eastAsia"/>
                          <w:u w:val="single"/>
                        </w:rPr>
                      </w:pPr>
                      <w:r>
                        <w:rPr>
                          <w:rFonts w:hint="eastAsia"/>
                        </w:rPr>
                        <w:t>地点：</w:t>
                      </w:r>
                      <w:r>
                        <w:rPr>
                          <w:rFonts w:hint="eastAsia"/>
                          <w:u w:val="single"/>
                        </w:rPr>
                        <w:t xml:space="preserve">   </w:t>
                      </w:r>
                      <w:r>
                        <w:rPr>
                          <w:rFonts w:hint="eastAsia"/>
                          <w:u w:val="single"/>
                          <w:lang w:val="en-US" w:eastAsia="zh-CN"/>
                        </w:rPr>
                        <w:t>海工楼230</w:t>
                      </w:r>
                      <w:r>
                        <w:rPr>
                          <w:rFonts w:hint="eastAsia"/>
                          <w:u w:val="single"/>
                        </w:rPr>
                        <w:t xml:space="preserve">               </w:t>
                      </w:r>
                    </w:p>
                  </w:txbxContent>
                </v:textbox>
              </v:shape>
            </w:pict>
          </mc:Fallback>
        </mc:AlternateContent>
      </w:r>
      <w:r>
        <w:rPr>
          <w:rFonts w:hint="eastAsia"/>
          <w:i w:val="0"/>
          <w:snapToGrid w:val="0"/>
        </w:rPr>
        <w:t xml:space="preserve">          </w:t>
      </w:r>
      <w:r>
        <w:rPr>
          <w:rFonts w:hint="eastAsia"/>
          <w:i w:val="0"/>
        </w:rPr>
        <w:drawing>
          <wp:inline distT="0" distB="0" distL="0" distR="0">
            <wp:extent cx="1600200" cy="434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4340"/>
                    </a:xfrm>
                    <a:prstGeom prst="rect">
                      <a:avLst/>
                    </a:prstGeom>
                    <a:noFill/>
                    <a:ln>
                      <a:noFill/>
                    </a:ln>
                  </pic:spPr>
                </pic:pic>
              </a:graphicData>
            </a:graphic>
          </wp:inline>
        </w:drawing>
      </w:r>
      <w:r>
        <w:rPr>
          <w:rFonts w:hint="eastAsia" w:ascii="华文楷体" w:hAnsi="华文楷体" w:eastAsia="华文楷体"/>
          <w:b/>
          <w:i w:val="0"/>
          <w:snapToGrid w:val="0"/>
          <w:spacing w:val="20"/>
          <w:position w:val="18"/>
          <w:sz w:val="48"/>
        </w:rPr>
        <w:t>实验报告</w:t>
      </w:r>
    </w:p>
    <w:p w14:paraId="2A6AE56B">
      <w:pPr>
        <w:rPr>
          <w:rFonts w:hint="eastAsia" w:ascii="宋体" w:hAnsi="宋体" w:eastAsia="宋体" w:cs="宋体"/>
          <w:snapToGrid w:val="0"/>
          <w:kern w:val="0"/>
          <w:position w:val="6"/>
          <w:szCs w:val="21"/>
        </w:rPr>
      </w:pPr>
    </w:p>
    <w:p w14:paraId="01FACA4D">
      <w:pPr>
        <w:rPr>
          <w:rFonts w:hint="eastAsia" w:ascii="宋体" w:hAnsi="宋体" w:eastAsia="宋体" w:cs="宋体"/>
          <w:snapToGrid w:val="0"/>
          <w:kern w:val="0"/>
          <w:position w:val="6"/>
          <w:szCs w:val="21"/>
        </w:rPr>
      </w:pPr>
      <w:r>
        <w:rPr>
          <w:rFonts w:hint="eastAsia" w:ascii="宋体" w:hAnsi="宋体" w:eastAsia="宋体" w:cs="宋体"/>
          <w:snapToGrid w:val="0"/>
          <w:kern w:val="0"/>
          <w:position w:val="6"/>
          <w:szCs w:val="21"/>
        </w:rPr>
        <w:t>课程名称：</w:t>
      </w:r>
      <w:r>
        <w:rPr>
          <w:rFonts w:hint="eastAsia" w:ascii="宋体" w:hAnsi="宋体" w:eastAsia="宋体" w:cs="宋体"/>
          <w:snapToGrid w:val="0"/>
          <w:kern w:val="0"/>
          <w:position w:val="6"/>
          <w:szCs w:val="21"/>
          <w:u w:val="single"/>
        </w:rPr>
        <w:t xml:space="preserve"> </w:t>
      </w:r>
      <w:r>
        <w:rPr>
          <w:rFonts w:hint="eastAsia" w:ascii="宋体" w:hAnsi="宋体" w:eastAsia="宋体" w:cs="宋体"/>
          <w:snapToGrid w:val="0"/>
          <w:kern w:val="0"/>
          <w:position w:val="6"/>
          <w:szCs w:val="21"/>
          <w:u w:val="single"/>
          <w:lang w:val="en-US" w:eastAsia="zh-CN"/>
        </w:rPr>
        <w:t>海水分析化学</w:t>
      </w:r>
      <w:r>
        <w:rPr>
          <w:rFonts w:hint="eastAsia" w:ascii="宋体" w:hAnsi="宋体" w:eastAsia="宋体" w:cs="宋体"/>
          <w:snapToGrid w:val="0"/>
          <w:kern w:val="0"/>
          <w:position w:val="6"/>
          <w:szCs w:val="21"/>
          <w:u w:val="single"/>
        </w:rPr>
        <w:t xml:space="preserve"> </w:t>
      </w:r>
      <w:r>
        <w:rPr>
          <w:rFonts w:hint="eastAsia" w:ascii="宋体" w:hAnsi="宋体" w:eastAsia="宋体" w:cs="宋体"/>
          <w:snapToGrid w:val="0"/>
          <w:kern w:val="0"/>
          <w:position w:val="6"/>
          <w:szCs w:val="21"/>
        </w:rPr>
        <w:t>指导老师：</w:t>
      </w:r>
      <w:r>
        <w:rPr>
          <w:rFonts w:hint="eastAsia" w:ascii="宋体" w:hAnsi="宋体" w:eastAsia="宋体" w:cs="宋体"/>
          <w:snapToGrid w:val="0"/>
          <w:kern w:val="0"/>
          <w:position w:val="6"/>
          <w:szCs w:val="21"/>
          <w:u w:val="single"/>
        </w:rPr>
        <w:t xml:space="preserve"> </w:t>
      </w:r>
      <w:r>
        <w:rPr>
          <w:rFonts w:hint="eastAsia" w:ascii="宋体" w:hAnsi="宋体" w:eastAsia="宋体" w:cs="宋体"/>
          <w:snapToGrid w:val="0"/>
          <w:kern w:val="0"/>
          <w:position w:val="6"/>
          <w:szCs w:val="21"/>
          <w:u w:val="single"/>
          <w:lang w:val="en-US" w:eastAsia="zh-CN"/>
        </w:rPr>
        <w:t>孙瑜霞</w:t>
      </w:r>
      <w:r>
        <w:rPr>
          <w:rFonts w:hint="eastAsia" w:ascii="宋体" w:hAnsi="宋体" w:eastAsia="宋体" w:cs="宋体"/>
          <w:snapToGrid w:val="0"/>
          <w:kern w:val="0"/>
          <w:position w:val="6"/>
          <w:szCs w:val="21"/>
          <w:u w:val="single"/>
        </w:rPr>
        <w:t xml:space="preserve">             </w:t>
      </w:r>
      <w:r>
        <w:rPr>
          <w:rFonts w:hint="eastAsia" w:ascii="宋体" w:hAnsi="宋体" w:eastAsia="宋体" w:cs="宋体"/>
          <w:snapToGrid w:val="0"/>
          <w:kern w:val="0"/>
          <w:position w:val="6"/>
          <w:szCs w:val="21"/>
        </w:rPr>
        <w:t>成绩：________________</w:t>
      </w:r>
    </w:p>
    <w:p w14:paraId="7EDB966C">
      <w:pPr>
        <w:rPr>
          <w:rFonts w:hint="eastAsia" w:ascii="宋体" w:hAnsi="宋体" w:eastAsia="宋体" w:cs="宋体"/>
          <w:snapToGrid w:val="0"/>
          <w:kern w:val="0"/>
          <w:position w:val="6"/>
          <w:szCs w:val="21"/>
          <w:u w:val="single"/>
        </w:rPr>
      </w:pPr>
      <w:r>
        <w:rPr>
          <w:rFonts w:hint="eastAsia" w:ascii="宋体" w:hAnsi="宋体" w:eastAsia="宋体" w:cs="宋体"/>
          <w:snapToGrid w:val="0"/>
          <w:kern w:val="0"/>
          <w:position w:val="6"/>
          <w:szCs w:val="21"/>
        </w:rPr>
        <w:t>实验名称：</w:t>
      </w:r>
      <w:r>
        <w:rPr>
          <w:rFonts w:hint="eastAsia" w:ascii="宋体" w:hAnsi="宋体" w:eastAsia="宋体" w:cs="宋体"/>
          <w:snapToGrid w:val="0"/>
          <w:kern w:val="0"/>
          <w:position w:val="6"/>
          <w:szCs w:val="21"/>
          <w:u w:val="single"/>
        </w:rPr>
        <w:t xml:space="preserve">         </w:t>
      </w:r>
      <w:r>
        <w:rPr>
          <w:rFonts w:hint="eastAsia" w:ascii="宋体" w:hAnsi="宋体" w:eastAsia="宋体" w:cs="宋体"/>
          <w:snapToGrid w:val="0"/>
          <w:kern w:val="0"/>
          <w:position w:val="6"/>
          <w:szCs w:val="21"/>
          <w:u w:val="single"/>
          <w:lang w:val="en-US" w:eastAsia="zh-CN"/>
        </w:rPr>
        <w:t>海水中可溶性磷酸盐的测定</w:t>
      </w:r>
      <w:r>
        <w:rPr>
          <w:rFonts w:hint="eastAsia" w:ascii="宋体" w:hAnsi="宋体" w:eastAsia="宋体" w:cs="宋体"/>
          <w:snapToGrid w:val="0"/>
          <w:kern w:val="0"/>
          <w:position w:val="6"/>
          <w:szCs w:val="21"/>
          <w:u w:val="single"/>
        </w:rPr>
        <w:t xml:space="preserve">                                               </w:t>
      </w:r>
    </w:p>
    <w:p w14:paraId="0BB7BDB0">
      <w:pPr>
        <w:rPr>
          <w:rFonts w:hint="eastAsia"/>
          <w:snapToGrid w:val="0"/>
          <w:kern w:val="0"/>
          <w:position w:val="6"/>
          <w:szCs w:val="21"/>
        </w:rPr>
      </w:pPr>
      <w:r>
        <w:rPr>
          <w:rFonts w:hint="eastAsia" w:ascii="宋体" w:hAnsi="宋体" w:eastAsia="宋体" w:cs="宋体"/>
          <w:snapToGrid w:val="0"/>
          <w:kern w:val="0"/>
          <w:position w:val="6"/>
          <w:szCs w:val="21"/>
        </w:rPr>
        <w:t>同组学生姓名：</w:t>
      </w:r>
      <w:r>
        <w:rPr>
          <w:rFonts w:hint="eastAsia" w:ascii="宋体" w:hAnsi="宋体" w:eastAsia="宋体" w:cs="宋体"/>
          <w:snapToGrid w:val="0"/>
          <w:kern w:val="0"/>
          <w:position w:val="6"/>
          <w:szCs w:val="21"/>
          <w:u w:val="single"/>
        </w:rPr>
        <w:t xml:space="preserve">           </w:t>
      </w:r>
      <w:r>
        <w:rPr>
          <w:rFonts w:hint="eastAsia" w:ascii="宋体" w:hAnsi="宋体" w:eastAsia="宋体" w:cs="宋体"/>
          <w:snapToGrid w:val="0"/>
          <w:kern w:val="0"/>
          <w:position w:val="6"/>
          <w:szCs w:val="21"/>
          <w:u w:val="single"/>
          <w:lang w:val="en-US" w:eastAsia="zh-CN"/>
        </w:rPr>
        <w:t>魏元瀚</w:t>
      </w:r>
      <w:r>
        <w:rPr>
          <w:rFonts w:hint="eastAsia" w:ascii="宋体" w:hAnsi="宋体" w:eastAsia="宋体" w:cs="宋体"/>
          <w:snapToGrid w:val="0"/>
          <w:kern w:val="0"/>
          <w:position w:val="6"/>
          <w:szCs w:val="21"/>
          <w:u w:val="single"/>
        </w:rPr>
        <w:t xml:space="preserve">       </w:t>
      </w:r>
      <w:r>
        <w:rPr>
          <w:rFonts w:hint="eastAsia"/>
          <w:snapToGrid w:val="0"/>
          <w:kern w:val="0"/>
          <w:position w:val="6"/>
          <w:szCs w:val="21"/>
          <w:u w:val="single"/>
        </w:rPr>
        <w:t xml:space="preserve">            </w:t>
      </w:r>
    </w:p>
    <w:p w14:paraId="6411A390">
      <w:pPr>
        <w:spacing w:line="360" w:lineRule="auto"/>
        <w:rPr>
          <w:rFonts w:hint="eastAsia" w:ascii="宋体" w:hAnsi="宋体"/>
          <w:snapToGrid w:val="0"/>
          <w:kern w:val="0"/>
          <w:position w:val="6"/>
          <w:sz w:val="24"/>
          <w:szCs w:val="21"/>
        </w:rPr>
      </w:pPr>
    </w:p>
    <w:p w14:paraId="7C63EDE5">
      <w:pPr>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一、实验目的与要求</w:t>
      </w:r>
    </w:p>
    <w:p w14:paraId="3BF05A78">
      <w:pPr>
        <w:spacing w:line="360" w:lineRule="auto"/>
        <w:ind w:firstLine="480" w:firstLineChars="200"/>
        <w:rPr>
          <w:rFonts w:hint="default" w:ascii="宋体" w:hAnsi="宋体" w:eastAsia="宋体"/>
          <w:snapToGrid w:val="0"/>
          <w:kern w:val="0"/>
          <w:position w:val="6"/>
          <w:sz w:val="24"/>
          <w:szCs w:val="21"/>
          <w:lang w:val="en-US" w:eastAsia="zh-CN"/>
        </w:rPr>
      </w:pPr>
      <w:r>
        <w:rPr>
          <w:rFonts w:hint="eastAsia" w:ascii="宋体" w:hAnsi="宋体"/>
          <w:snapToGrid w:val="0"/>
          <w:kern w:val="0"/>
          <w:position w:val="6"/>
          <w:sz w:val="24"/>
          <w:szCs w:val="21"/>
          <w:lang w:val="en-US" w:eastAsia="zh-CN"/>
        </w:rPr>
        <w:t>掌握用磷钼蓝光度比色法测定海水中可溶性磷酸盐的方法原理以及实验条件，得到可靠的实验数据</w:t>
      </w:r>
    </w:p>
    <w:p w14:paraId="286B494B">
      <w:pPr>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二、实验原理与内容</w:t>
      </w:r>
    </w:p>
    <w:p w14:paraId="24C22940">
      <w:pPr>
        <w:spacing w:line="360" w:lineRule="auto"/>
        <w:ind w:firstLine="480" w:firstLineChars="200"/>
        <w:rPr>
          <w:rFonts w:hint="default" w:ascii="宋体" w:hAnsi="宋体" w:eastAsia="宋体"/>
          <w:snapToGrid w:val="0"/>
          <w:kern w:val="0"/>
          <w:position w:val="6"/>
          <w:sz w:val="24"/>
          <w:szCs w:val="21"/>
          <w:lang w:val="en-US" w:eastAsia="zh-CN"/>
        </w:rPr>
      </w:pPr>
      <w:r>
        <w:rPr>
          <w:rFonts w:hint="eastAsia" w:ascii="宋体" w:hAnsi="宋体"/>
          <w:snapToGrid w:val="0"/>
          <w:kern w:val="0"/>
          <w:position w:val="6"/>
          <w:sz w:val="24"/>
          <w:szCs w:val="21"/>
          <w:lang w:val="en-US" w:eastAsia="zh-CN"/>
        </w:rPr>
        <w:t>本实验采取磷钼蓝法测定海水中的可溶性磷酸盐，即在水样中加入一定量的混合试剂（硫酸-钼酸铵-抗坏血酸-酒石酸锑钾）。水样中可溶性磷酸盐在硫酸介质中先与钼酸铵反应生成磷钼黄杂多酸，然后在酒石酸锑钾存在下被抗坏血酸还原为磷钼蓝。蓝色深度与磷酸盐的含量呈正比。此磷钼蓝络合物的最大吸收波长为882nm，通过分光光度计法测定出可溶性磷酸盐的含量。此方法的盐误差不大于1%，故测定时不必进行盐误差校正。</w:t>
      </w:r>
    </w:p>
    <w:p w14:paraId="320DA9F5">
      <w:pPr>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三、实验设备与材料</w:t>
      </w:r>
    </w:p>
    <w:p w14:paraId="77CE5F6B">
      <w:pPr>
        <w:spacing w:line="360" w:lineRule="auto"/>
        <w:ind w:firstLine="480" w:firstLineChars="200"/>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1.仪器</w:t>
      </w:r>
    </w:p>
    <w:p w14:paraId="64A3528B">
      <w:pPr>
        <w:spacing w:line="360" w:lineRule="auto"/>
        <w:ind w:firstLine="897" w:firstLineChars="374"/>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紫外分光光度计，比色皿，100ml容量瓶，50ml具塞比色管，移液管，洗瓶，洗耳球，移液枪</w:t>
      </w:r>
    </w:p>
    <w:p w14:paraId="1F0BB09A">
      <w:pPr>
        <w:numPr>
          <w:ilvl w:val="0"/>
          <w:numId w:val="1"/>
        </w:numPr>
        <w:spacing w:line="360" w:lineRule="auto"/>
        <w:ind w:firstLine="420" w:firstLineChars="0"/>
        <w:rPr>
          <w:rFonts w:hint="default"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试剂</w:t>
      </w:r>
      <w:r>
        <w:rPr>
          <w:rFonts w:hint="eastAsia" w:ascii="宋体" w:hAnsi="宋体"/>
          <w:snapToGrid w:val="0"/>
          <w:kern w:val="0"/>
          <w:position w:val="6"/>
          <w:sz w:val="24"/>
          <w:szCs w:val="21"/>
          <w:lang w:val="en-US" w:eastAsia="zh-CN"/>
        </w:rPr>
        <w:tab/>
      </w:r>
    </w:p>
    <w:p w14:paraId="22E573FA">
      <w:pPr>
        <w:numPr>
          <w:ilvl w:val="0"/>
          <w:numId w:val="0"/>
        </w:numPr>
        <w:spacing w:line="360" w:lineRule="auto"/>
        <w:ind w:left="420" w:leftChars="0" w:firstLine="420" w:firstLineChars="0"/>
        <w:rPr>
          <w:rFonts w:hint="default"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 xml:space="preserve">硫酸溶液（3mol/L)、抗坏血酸溶液（5.3%）、钼酸铵溶液（3%）、酒石酸锑钾（0.136%）、磷酸盐标准溶液 </w:t>
      </w:r>
      <w:r>
        <w:rPr>
          <w:rFonts w:hint="eastAsia" w:ascii="宋体" w:hAnsi="宋体"/>
          <w:snapToGrid w:val="0"/>
          <w:kern w:val="0"/>
          <w:position w:val="6"/>
          <w:sz w:val="24"/>
          <w:szCs w:val="21"/>
          <w:lang w:val="en-US" w:eastAsia="zh-CN"/>
        </w:rPr>
        <w:tab/>
      </w:r>
    </w:p>
    <w:p w14:paraId="2012B777">
      <w:pPr>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四、实验方法与步骤</w:t>
      </w:r>
    </w:p>
    <w:p w14:paraId="63F89474">
      <w:pPr>
        <w:spacing w:line="360" w:lineRule="auto"/>
        <w:ind w:firstLine="480" w:firstLineChars="200"/>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1.配置混合试剂：50ml硫酸溶液（3mol/L）+20ml钼酸铵溶液（3%）+20ml抗坏血酸（5.4%））+10ml酒石酸锑钾（0.136%）按顺序混合，每加入一种溶剂都需混合均匀（有效期6h）</w:t>
      </w:r>
    </w:p>
    <w:p w14:paraId="4D6F1EF1">
      <w:pPr>
        <w:spacing w:line="360" w:lineRule="auto"/>
        <w:ind w:firstLine="480" w:firstLineChars="200"/>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2.配置磷酸盐标准使用溶液：准确取标准贮备溶液 0.50ml于100ml容量瓶中用蒸馏水稀释到刻度，混匀，浓度为0.040μmol/mL。</w:t>
      </w:r>
    </w:p>
    <w:p w14:paraId="10DD7E51">
      <w:pPr>
        <w:spacing w:line="360" w:lineRule="auto"/>
        <w:ind w:firstLine="480" w:firstLineChars="200"/>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3.标准系列:分别移取磷酸盐标准使用溶液0.0ml，0.50ml，1.00ml，2.00ml，3.00 ml，4.00 ml于 50 ml 比色管中，加去离子水至 50 ml，依次加入5 ml混合试剂，混匀15min后，以去离子水做参比溶液，以5ml比色皿，测定溶液的吸光度</w:t>
      </w:r>
    </w:p>
    <w:p w14:paraId="3C47D52A">
      <w:pPr>
        <w:spacing w:line="360" w:lineRule="auto"/>
        <w:ind w:firstLine="480" w:firstLineChars="200"/>
        <w:rPr>
          <w:rFonts w:hint="default"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4.</w:t>
      </w:r>
      <w:r>
        <w:rPr>
          <w:rFonts w:hint="default" w:ascii="宋体" w:hAnsi="宋体"/>
          <w:snapToGrid w:val="0"/>
          <w:kern w:val="0"/>
          <w:position w:val="6"/>
          <w:sz w:val="24"/>
          <w:szCs w:val="21"/>
          <w:lang w:val="en-US" w:eastAsia="zh-CN"/>
        </w:rPr>
        <w:t xml:space="preserve">水样测定(双样):取 50ml经过滤的海水样品(用0.45 </w:t>
      </w:r>
      <w:r>
        <w:rPr>
          <w:rFonts w:hint="eastAsia" w:ascii="宋体" w:hAnsi="宋体"/>
          <w:snapToGrid w:val="0"/>
          <w:kern w:val="0"/>
          <w:position w:val="6"/>
          <w:sz w:val="24"/>
          <w:szCs w:val="21"/>
          <w:lang w:val="en-US" w:eastAsia="zh-CN"/>
        </w:rPr>
        <w:t>μ</w:t>
      </w:r>
      <w:r>
        <w:rPr>
          <w:rFonts w:hint="default" w:ascii="宋体" w:hAnsi="宋体"/>
          <w:snapToGrid w:val="0"/>
          <w:kern w:val="0"/>
          <w:position w:val="6"/>
          <w:sz w:val="24"/>
          <w:szCs w:val="21"/>
          <w:lang w:val="en-US" w:eastAsia="zh-CN"/>
        </w:rPr>
        <w:t>m的滤纸)，放4.入 50 ml比色管中，加入5mI混合试剂，混匀，15 分钟后，以去离子水做参比溶液。</w:t>
      </w:r>
    </w:p>
    <w:p w14:paraId="7F1EC16A">
      <w:pPr>
        <w:spacing w:line="360" w:lineRule="auto"/>
        <w:ind w:firstLine="480" w:firstLineChars="200"/>
        <w:rPr>
          <w:rFonts w:hint="default" w:ascii="宋体" w:hAnsi="宋体"/>
          <w:snapToGrid w:val="0"/>
          <w:kern w:val="0"/>
          <w:position w:val="6"/>
          <w:sz w:val="24"/>
          <w:szCs w:val="21"/>
          <w:lang w:val="en-US" w:eastAsia="zh-CN"/>
        </w:rPr>
      </w:pPr>
      <w:r>
        <w:rPr>
          <w:rFonts w:hint="default" w:ascii="宋体" w:hAnsi="宋体"/>
          <w:snapToGrid w:val="0"/>
          <w:kern w:val="0"/>
          <w:position w:val="6"/>
          <w:sz w:val="24"/>
          <w:szCs w:val="21"/>
          <w:lang w:val="en-US" w:eastAsia="zh-CN"/>
        </w:rPr>
        <w:t>5.测定溶液的吸光度(A):用紫外分光光度计进行全光谱扫描，确定合适的吸收波长，记录该波长下的溶液吸光度</w:t>
      </w:r>
    </w:p>
    <w:p w14:paraId="52668AF6">
      <w:pPr>
        <w:spacing w:line="360" w:lineRule="auto"/>
        <w:ind w:firstLine="480" w:firstLineChars="200"/>
        <w:rPr>
          <w:rFonts w:hint="default" w:ascii="宋体" w:hAnsi="宋体"/>
          <w:snapToGrid w:val="0"/>
          <w:kern w:val="0"/>
          <w:position w:val="6"/>
          <w:sz w:val="24"/>
          <w:szCs w:val="21"/>
          <w:lang w:val="en-US" w:eastAsia="zh-CN"/>
        </w:rPr>
      </w:pPr>
      <w:r>
        <w:rPr>
          <w:rFonts w:hint="default" w:ascii="宋体" w:hAnsi="宋体"/>
          <w:snapToGrid w:val="0"/>
          <w:kern w:val="0"/>
          <w:position w:val="6"/>
          <w:sz w:val="24"/>
          <w:szCs w:val="21"/>
          <w:lang w:val="en-US" w:eastAsia="zh-CN"/>
        </w:rPr>
        <w:t>6. 液槽校正(A):将4个比色皿注入去离子水，以其中1个为参比溶液，测定其他 3个液槽的吸光度，记录数值，要求 A</w:t>
      </w:r>
      <w:r>
        <w:rPr>
          <w:rFonts w:hint="eastAsia" w:ascii="宋体" w:hAnsi="宋体"/>
          <w:snapToGrid w:val="0"/>
          <w:kern w:val="0"/>
          <w:position w:val="6"/>
          <w:sz w:val="24"/>
          <w:szCs w:val="21"/>
          <w:lang w:val="en-US" w:eastAsia="zh-CN"/>
        </w:rPr>
        <w:t>c</w:t>
      </w:r>
      <w:r>
        <w:rPr>
          <w:rFonts w:hint="default" w:ascii="宋体" w:hAnsi="宋体"/>
          <w:snapToGrid w:val="0"/>
          <w:kern w:val="0"/>
          <w:position w:val="6"/>
          <w:sz w:val="24"/>
          <w:szCs w:val="21"/>
          <w:lang w:val="en-US" w:eastAsia="zh-CN"/>
        </w:rPr>
        <w:t>&lt;0.005。</w:t>
      </w:r>
    </w:p>
    <w:p w14:paraId="5F2103D4">
      <w:pPr>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五、实验结果与分析</w:t>
      </w:r>
    </w:p>
    <w:p w14:paraId="79E3D514">
      <w:pPr>
        <w:spacing w:line="360" w:lineRule="auto"/>
        <w:ind w:firstLine="420" w:firstLineChars="0"/>
        <w:rPr>
          <w:rFonts w:hint="eastAsia" w:ascii="宋体" w:hAnsi="宋体"/>
          <w:b w:val="0"/>
          <w:bCs/>
          <w:snapToGrid w:val="0"/>
          <w:kern w:val="0"/>
          <w:position w:val="6"/>
          <w:sz w:val="24"/>
          <w:szCs w:val="24"/>
          <w:lang w:val="en-US" w:eastAsia="zh-CN"/>
        </w:rPr>
      </w:pPr>
      <w:r>
        <w:rPr>
          <w:rFonts w:hint="eastAsia" w:ascii="宋体" w:hAnsi="宋体"/>
          <w:b w:val="0"/>
          <w:bCs/>
          <w:snapToGrid w:val="0"/>
          <w:kern w:val="0"/>
          <w:position w:val="6"/>
          <w:sz w:val="24"/>
          <w:szCs w:val="24"/>
          <w:lang w:val="en-US" w:eastAsia="zh-CN"/>
        </w:rPr>
        <w:t xml:space="preserve"> 记录得标准曲线原始数据为</w:t>
      </w:r>
    </w:p>
    <w:p w14:paraId="66A794DD">
      <w:pPr>
        <w:spacing w:line="360" w:lineRule="auto"/>
        <w:ind w:firstLine="420" w:firstLineChars="0"/>
      </w:pPr>
      <w:r>
        <w:drawing>
          <wp:inline distT="0" distB="0" distL="114300" distR="114300">
            <wp:extent cx="2049780" cy="1409700"/>
            <wp:effectExtent l="0" t="0" r="762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2049780" cy="1409700"/>
                    </a:xfrm>
                    <a:prstGeom prst="rect">
                      <a:avLst/>
                    </a:prstGeom>
                    <a:noFill/>
                    <a:ln>
                      <a:noFill/>
                    </a:ln>
                  </pic:spPr>
                </pic:pic>
              </a:graphicData>
            </a:graphic>
          </wp:inline>
        </w:drawing>
      </w:r>
    </w:p>
    <w:p w14:paraId="1909A046">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作图得如图标准曲线，波峰为956nm</w:t>
      </w:r>
    </w:p>
    <w:p w14:paraId="5BE44E82">
      <w:pPr>
        <w:spacing w:line="360" w:lineRule="auto"/>
        <w:ind w:firstLine="420" w:firstLineChars="0"/>
      </w:pPr>
      <w:r>
        <w:drawing>
          <wp:inline distT="0" distB="0" distL="114300" distR="114300">
            <wp:extent cx="4815840" cy="275844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4815840" cy="2758440"/>
                    </a:xfrm>
                    <a:prstGeom prst="rect">
                      <a:avLst/>
                    </a:prstGeom>
                    <a:noFill/>
                    <a:ln>
                      <a:noFill/>
                    </a:ln>
                  </pic:spPr>
                </pic:pic>
              </a:graphicData>
            </a:graphic>
          </wp:inline>
        </w:drawing>
      </w:r>
    </w:p>
    <w:p w14:paraId="107C4D45">
      <w:pPr>
        <w:spacing w:line="360" w:lineRule="auto"/>
        <w:ind w:firstLine="420" w:firstLineChars="0"/>
        <w:rPr>
          <w:rFonts w:hint="eastAsia"/>
          <w:lang w:val="en-US" w:eastAsia="zh-CN"/>
        </w:rPr>
      </w:pPr>
      <w:r>
        <w:rPr>
          <w:rFonts w:hint="eastAsia"/>
          <w:lang w:val="en-US" w:eastAsia="zh-CN"/>
        </w:rPr>
        <w:t>其中R^2=0.9992,回归显著。可以认为该标准曲线是可信的</w:t>
      </w:r>
    </w:p>
    <w:p w14:paraId="422C442A">
      <w:pPr>
        <w:spacing w:line="360" w:lineRule="auto"/>
        <w:ind w:firstLine="420" w:firstLineChars="0"/>
        <w:rPr>
          <w:rFonts w:hint="eastAsia"/>
          <w:lang w:val="en-US" w:eastAsia="zh-CN"/>
        </w:rPr>
      </w:pPr>
      <w:r>
        <w:rPr>
          <w:rFonts w:hint="eastAsia"/>
          <w:lang w:val="en-US" w:eastAsia="zh-CN"/>
        </w:rPr>
        <w:t>其方程为y = 0.0756x + 0.0001</w:t>
      </w:r>
    </w:p>
    <w:p w14:paraId="3A843C99">
      <w:pPr>
        <w:spacing w:line="360" w:lineRule="auto"/>
        <w:ind w:firstLine="420" w:firstLineChars="0"/>
        <w:rPr>
          <w:rFonts w:hint="default"/>
          <w:lang w:val="en-US" w:eastAsia="zh-CN"/>
        </w:rPr>
      </w:pPr>
      <w:r>
        <w:rPr>
          <w:rFonts w:hint="eastAsia"/>
          <w:lang w:val="en-US" w:eastAsia="zh-CN"/>
        </w:rPr>
        <w:t>考虑吸光度校正，以一号比色皿为参比，其余比色皿Ac均为0.000，故无需校正</w:t>
      </w:r>
    </w:p>
    <w:p w14:paraId="2415FAFB">
      <w:pPr>
        <w:spacing w:line="360" w:lineRule="auto"/>
        <w:ind w:firstLine="420" w:firstLineChars="0"/>
        <w:rPr>
          <w:rFonts w:hint="eastAsia"/>
          <w:lang w:val="en-US" w:eastAsia="zh-CN"/>
        </w:rPr>
      </w:pPr>
      <w:r>
        <w:rPr>
          <w:rFonts w:hint="eastAsia"/>
          <w:lang w:val="en-US" w:eastAsia="zh-CN"/>
        </w:rPr>
        <w:t>测得双样品吸光度分别为0.158，0.155，平均为0.1565带入方程得磷酸盐溶液体积x=2.07ml 由标准溶液浓度0.05μmod/ml得 样品含0.1035μmol磷酸盐。</w:t>
      </w:r>
    </w:p>
    <w:p w14:paraId="4380805B">
      <w:pPr>
        <w:spacing w:line="360" w:lineRule="auto"/>
        <w:ind w:firstLine="420" w:firstLineChars="0"/>
        <w:rPr>
          <w:rFonts w:hint="eastAsia"/>
          <w:lang w:val="en-US" w:eastAsia="zh-CN"/>
        </w:rPr>
      </w:pPr>
      <w:r>
        <w:rPr>
          <w:rFonts w:hint="eastAsia"/>
          <w:lang w:val="en-US" w:eastAsia="zh-CN"/>
        </w:rPr>
        <w:t>故样品实际浓度c=0.1035μmol/50ml=0.00207μmol/L。</w:t>
      </w:r>
    </w:p>
    <w:p w14:paraId="06636A08">
      <w:pPr>
        <w:spacing w:line="360" w:lineRule="auto"/>
        <w:ind w:firstLine="420" w:firstLineChars="0"/>
        <w:jc w:val="both"/>
        <w:rPr>
          <w:rFonts w:hint="default"/>
          <w:b/>
          <w:bCs/>
          <w:sz w:val="24"/>
          <w:szCs w:val="24"/>
          <w:lang w:val="en-US" w:eastAsia="zh-CN"/>
        </w:rPr>
      </w:pPr>
      <w:r>
        <w:rPr>
          <w:rFonts w:hint="eastAsia"/>
          <w:b/>
          <w:bCs/>
          <w:sz w:val="24"/>
          <w:szCs w:val="24"/>
          <w:lang w:val="en-US" w:eastAsia="zh-CN"/>
        </w:rPr>
        <w:t>六．思考题</w:t>
      </w:r>
    </w:p>
    <w:p w14:paraId="22524E01">
      <w:pPr>
        <w:spacing w:line="360" w:lineRule="auto"/>
        <w:ind w:left="42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1.硫酸浓度与钼酸铵浓度的比值是多少？</w:t>
      </w:r>
    </w:p>
    <w:p w14:paraId="4E204DB6">
      <w:pPr>
        <w:spacing w:line="360" w:lineRule="auto"/>
        <w:ind w:left="420" w:leftChars="0" w:firstLine="420" w:firstLineChars="0"/>
        <w:jc w:val="both"/>
        <w:rPr>
          <w:rFonts w:hint="default" w:ascii="宋体" w:hAnsi="宋体" w:eastAsia="宋体" w:cs="宋体"/>
          <w:lang w:val="en-US" w:eastAsia="zh-CN"/>
        </w:rPr>
      </w:pPr>
      <w:r>
        <w:rPr>
          <w:rFonts w:hint="default" w:ascii="宋体" w:hAnsi="宋体" w:eastAsia="宋体" w:cs="宋体"/>
          <w:lang w:val="en-US" w:eastAsia="zh-CN"/>
        </w:rPr>
        <w:drawing>
          <wp:inline distT="0" distB="0" distL="114300" distR="114300">
            <wp:extent cx="4240530" cy="1619250"/>
            <wp:effectExtent l="0" t="0" r="11430" b="11430"/>
            <wp:docPr id="6" name="图片 6" descr="5bee23f687b2b91250d237796883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bee23f687b2b91250d2377968838d9"/>
                    <pic:cNvPicPr>
                      <a:picLocks noChangeAspect="1"/>
                    </pic:cNvPicPr>
                  </pic:nvPicPr>
                  <pic:blipFill>
                    <a:blip r:embed="rId7"/>
                    <a:stretch>
                      <a:fillRect/>
                    </a:stretch>
                  </pic:blipFill>
                  <pic:spPr>
                    <a:xfrm>
                      <a:off x="0" y="0"/>
                      <a:ext cx="4240530" cy="1619250"/>
                    </a:xfrm>
                    <a:prstGeom prst="rect">
                      <a:avLst/>
                    </a:prstGeom>
                  </pic:spPr>
                </pic:pic>
              </a:graphicData>
            </a:graphic>
          </wp:inline>
        </w:drawing>
      </w:r>
    </w:p>
    <w:p w14:paraId="09A593B4">
      <w:pPr>
        <w:spacing w:line="360" w:lineRule="auto"/>
        <w:ind w:left="42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2.酸度及钼酸铵浓度对实验有什么影响？</w:t>
      </w:r>
    </w:p>
    <w:p w14:paraId="6104456E">
      <w:pPr>
        <w:spacing w:line="360" w:lineRule="auto"/>
        <w:ind w:left="420" w:leftChars="0" w:firstLine="420" w:firstLineChars="0"/>
        <w:jc w:val="both"/>
        <w:rPr>
          <w:rFonts w:hint="eastAsia" w:ascii="宋体" w:hAnsi="宋体" w:eastAsia="宋体" w:cs="宋体"/>
          <w:lang w:val="en-US" w:eastAsia="zh-CN"/>
        </w:rPr>
      </w:pPr>
    </w:p>
    <w:p w14:paraId="79E45C01">
      <w:pPr>
        <w:spacing w:line="360" w:lineRule="auto"/>
        <w:ind w:left="84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（1）.酸度的影响：</w:t>
      </w:r>
    </w:p>
    <w:p w14:paraId="7AD79A68">
      <w:pPr>
        <w:spacing w:line="360" w:lineRule="auto"/>
        <w:ind w:left="126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酸度过高可能会导致钼酸铵与磷酸根离子反应生成的黄色钼蓝化合物不稳定，从而影响吸光度的测量，导致测定结果偏低。</w:t>
      </w:r>
    </w:p>
    <w:p w14:paraId="34E3ED8D">
      <w:pPr>
        <w:spacing w:line="360" w:lineRule="auto"/>
        <w:ind w:left="126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碱性过强则可能会影响钼酸铵的溶解度，使得钼酸铵不能完全溶解，同样会影响反应的进行，导致测定结果不准确。此外，高pH值还可能导致其他干扰物质的形成，进一步影响测定结果。</w:t>
      </w:r>
    </w:p>
    <w:p w14:paraId="08AFFFE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840" w:leftChars="0" w:right="0" w:rightChars="0" w:firstLine="420" w:firstLineChars="0"/>
        <w:textAlignment w:val="auto"/>
        <w:rPr>
          <w:rFonts w:hint="eastAsia" w:ascii="宋体" w:hAnsi="宋体" w:eastAsia="宋体" w:cs="宋体"/>
        </w:rPr>
      </w:pPr>
      <w:r>
        <w:rPr>
          <w:rFonts w:hint="eastAsia" w:ascii="宋体" w:hAnsi="宋体" w:cs="宋体"/>
          <w:lang w:val="en-US" w:eastAsia="zh-CN"/>
        </w:rPr>
        <w:t>(2)</w:t>
      </w:r>
      <w:r>
        <w:rPr>
          <w:rFonts w:hint="eastAsia" w:ascii="宋体" w:hAnsi="宋体" w:eastAsia="宋体" w:cs="宋体"/>
        </w:rPr>
        <w:t>钼酸铵浓度的影响：</w:t>
      </w:r>
    </w:p>
    <w:p w14:paraId="5FD22075">
      <w:pPr>
        <w:keepNext w:val="0"/>
        <w:keepLines w:val="0"/>
        <w:pageBreakBefore w:val="0"/>
        <w:widowControl/>
        <w:numPr>
          <w:ilvl w:val="0"/>
          <w:numId w:val="2"/>
        </w:numPr>
        <w:suppressLineNumbers w:val="0"/>
        <w:tabs>
          <w:tab w:val="left" w:pos="720"/>
          <w:tab w:val="clear" w:pos="1980"/>
        </w:tabs>
        <w:kinsoku/>
        <w:wordWrap/>
        <w:overflowPunct/>
        <w:topLinePunct w:val="0"/>
        <w:autoSpaceDE/>
        <w:autoSpaceDN/>
        <w:bidi w:val="0"/>
        <w:adjustRightInd/>
        <w:snapToGrid/>
        <w:spacing w:before="0" w:beforeAutospacing="0" w:after="0" w:afterAutospacing="0" w:line="360" w:lineRule="auto"/>
        <w:ind w:left="1260" w:leftChars="0" w:right="0" w:firstLine="0"/>
        <w:textAlignment w:val="auto"/>
        <w:rPr>
          <w:rFonts w:hint="eastAsia" w:ascii="宋体" w:hAnsi="宋体" w:eastAsia="宋体" w:cs="宋体"/>
        </w:rPr>
      </w:pPr>
      <w:r>
        <w:rPr>
          <w:rFonts w:hint="eastAsia" w:ascii="宋体" w:hAnsi="宋体" w:eastAsia="宋体" w:cs="宋体"/>
        </w:rPr>
        <w:t>过低的钼酸铵浓度：如果钼酸铵的浓度过低，可能会导致与磷酸根离子反应的钼酸铵不足，无法完全显色，从而导致测定结果偏低。</w:t>
      </w:r>
    </w:p>
    <w:p w14:paraId="71A4C1CC">
      <w:pPr>
        <w:keepNext w:val="0"/>
        <w:keepLines w:val="0"/>
        <w:pageBreakBefore w:val="0"/>
        <w:widowControl/>
        <w:numPr>
          <w:ilvl w:val="0"/>
          <w:numId w:val="2"/>
        </w:numPr>
        <w:suppressLineNumbers w:val="0"/>
        <w:tabs>
          <w:tab w:val="left" w:pos="720"/>
          <w:tab w:val="clear" w:pos="1980"/>
        </w:tabs>
        <w:kinsoku/>
        <w:wordWrap/>
        <w:overflowPunct/>
        <w:topLinePunct w:val="0"/>
        <w:autoSpaceDE/>
        <w:autoSpaceDN/>
        <w:bidi w:val="0"/>
        <w:adjustRightInd/>
        <w:snapToGrid/>
        <w:spacing w:before="0" w:beforeAutospacing="0" w:after="0" w:afterAutospacing="0" w:line="360" w:lineRule="auto"/>
        <w:ind w:left="1260" w:leftChars="0" w:right="0" w:firstLine="0"/>
        <w:textAlignment w:val="auto"/>
        <w:rPr>
          <w:rFonts w:hint="eastAsia" w:ascii="宋体" w:hAnsi="宋体" w:eastAsia="宋体" w:cs="宋体"/>
        </w:rPr>
      </w:pPr>
      <w:r>
        <w:rPr>
          <w:rFonts w:hint="eastAsia" w:ascii="宋体" w:hAnsi="宋体" w:eastAsia="宋体" w:cs="宋体"/>
        </w:rPr>
        <w:t>过高的钼酸铵浓度：如果钼酸铵的浓度过高，可能会导致反应体系中的钼酸铵过剩，形成过多的钼蓝化合物，使得吸光度超出仪器的测量范围，从而导致测定结果不准确。</w:t>
      </w:r>
    </w:p>
    <w:p w14:paraId="651B4313">
      <w:pPr>
        <w:spacing w:line="360" w:lineRule="auto"/>
        <w:ind w:left="420" w:leftChars="0" w:firstLine="420" w:firstLineChars="0"/>
        <w:jc w:val="both"/>
        <w:rPr>
          <w:rFonts w:hint="eastAsia" w:ascii="宋体" w:hAnsi="宋体" w:eastAsia="宋体" w:cs="宋体"/>
          <w:lang w:val="en-US" w:eastAsia="zh-CN"/>
        </w:rPr>
      </w:pPr>
    </w:p>
    <w:p w14:paraId="6150DD60">
      <w:pPr>
        <w:numPr>
          <w:ilvl w:val="0"/>
          <w:numId w:val="0"/>
        </w:numPr>
        <w:spacing w:line="360" w:lineRule="auto"/>
        <w:ind w:left="840" w:leftChars="0"/>
        <w:jc w:val="both"/>
        <w:rPr>
          <w:rFonts w:hint="eastAsia" w:ascii="宋体" w:hAnsi="宋体" w:eastAsia="宋体" w:cs="宋体"/>
          <w:lang w:val="en-US" w:eastAsia="zh-CN"/>
        </w:rPr>
      </w:pPr>
      <w:r>
        <w:rPr>
          <w:rFonts w:hint="eastAsia" w:ascii="宋体" w:hAnsi="宋体" w:cs="宋体"/>
          <w:lang w:val="en-US" w:eastAsia="zh-CN"/>
        </w:rPr>
        <w:t>3.</w:t>
      </w:r>
      <w:r>
        <w:rPr>
          <w:rFonts w:hint="eastAsia" w:ascii="宋体" w:hAnsi="宋体" w:eastAsia="宋体" w:cs="宋体"/>
          <w:lang w:val="en-US" w:eastAsia="zh-CN"/>
        </w:rPr>
        <w:t>测定中有哪些干扰离子及如何清除？</w:t>
      </w:r>
    </w:p>
    <w:p w14:paraId="1D65ECD9">
      <w:pPr>
        <w:numPr>
          <w:ilvl w:val="0"/>
          <w:numId w:val="0"/>
        </w:numPr>
        <w:spacing w:line="360" w:lineRule="auto"/>
        <w:ind w:left="840" w:leftChars="0" w:firstLine="420" w:firstLineChars="0"/>
        <w:jc w:val="both"/>
        <w:rPr>
          <w:rFonts w:hint="eastAsia" w:ascii="宋体" w:hAnsi="宋体" w:cs="宋体"/>
          <w:lang w:val="en-US" w:eastAsia="zh-CN"/>
        </w:rPr>
      </w:pPr>
      <w:r>
        <w:rPr>
          <w:rFonts w:hint="eastAsia" w:ascii="宋体" w:hAnsi="宋体" w:cs="宋体"/>
          <w:lang w:val="en-US" w:eastAsia="zh-CN"/>
        </w:rPr>
        <w:t>常见干扰离子：Fe Al Si As</w:t>
      </w:r>
    </w:p>
    <w:p w14:paraId="6C11FA76">
      <w:pPr>
        <w:numPr>
          <w:ilvl w:val="0"/>
          <w:numId w:val="0"/>
        </w:numPr>
        <w:spacing w:line="360" w:lineRule="auto"/>
        <w:ind w:left="840" w:leftChars="0" w:firstLine="420" w:firstLineChars="0"/>
        <w:jc w:val="both"/>
        <w:rPr>
          <w:rFonts w:hint="default" w:ascii="宋体" w:hAnsi="宋体" w:cs="宋体"/>
          <w:lang w:val="en-US" w:eastAsia="zh-CN"/>
        </w:rPr>
      </w:pPr>
      <w:r>
        <w:rPr>
          <w:rFonts w:hint="eastAsia" w:ascii="宋体" w:hAnsi="宋体" w:cs="宋体"/>
          <w:lang w:val="en-US" w:eastAsia="zh-CN"/>
        </w:rPr>
        <w:t>清除方法：构造酸性环境，加入掩蔽剂</w:t>
      </w:r>
    </w:p>
    <w:p w14:paraId="5655F41E">
      <w:pPr>
        <w:numPr>
          <w:ilvl w:val="0"/>
          <w:numId w:val="0"/>
        </w:numPr>
        <w:spacing w:line="360" w:lineRule="auto"/>
        <w:ind w:left="420" w:leftChars="0" w:firstLine="420" w:firstLineChars="0"/>
        <w:jc w:val="both"/>
        <w:rPr>
          <w:rFonts w:hint="eastAsia" w:ascii="宋体" w:hAnsi="宋体" w:eastAsia="宋体" w:cs="宋体"/>
          <w:lang w:val="en-US" w:eastAsia="zh-CN"/>
        </w:rPr>
      </w:pPr>
      <w:r>
        <w:rPr>
          <w:rFonts w:hint="eastAsia" w:ascii="宋体" w:hAnsi="宋体" w:cs="宋体"/>
          <w:lang w:val="en-US" w:eastAsia="zh-CN"/>
        </w:rPr>
        <w:t>4.</w:t>
      </w:r>
      <w:r>
        <w:rPr>
          <w:rFonts w:hint="eastAsia" w:ascii="宋体" w:hAnsi="宋体" w:eastAsia="宋体" w:cs="宋体"/>
          <w:lang w:val="en-US" w:eastAsia="zh-CN"/>
        </w:rPr>
        <w:t>为什么要做液槽校正，若标准曲线不过原点，可能的原因是什么？</w:t>
      </w:r>
    </w:p>
    <w:p w14:paraId="3CAA00BD">
      <w:pPr>
        <w:numPr>
          <w:ilvl w:val="0"/>
          <w:numId w:val="0"/>
        </w:numPr>
        <w:spacing w:line="360" w:lineRule="auto"/>
        <w:ind w:left="84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液槽校正的主要目的是确保仪器的准确性和稳定性，消除系统误差，从而提高测定结果的可靠性</w:t>
      </w:r>
    </w:p>
    <w:p w14:paraId="2DAAC6F1">
      <w:pPr>
        <w:numPr>
          <w:ilvl w:val="0"/>
          <w:numId w:val="0"/>
        </w:numPr>
        <w:spacing w:line="360" w:lineRule="auto"/>
        <w:ind w:left="84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标准曲线不过原点可能是空白溶液的吸光度不为零、仪器的零点漂移、样品处理不当、试剂纯度</w:t>
      </w:r>
      <w:r>
        <w:rPr>
          <w:rFonts w:hint="eastAsia" w:ascii="宋体" w:hAnsi="宋体" w:cs="宋体"/>
          <w:lang w:val="en-US" w:eastAsia="zh-CN"/>
        </w:rPr>
        <w:t>等</w:t>
      </w:r>
      <w:r>
        <w:rPr>
          <w:rFonts w:hint="eastAsia" w:ascii="宋体" w:hAnsi="宋体" w:eastAsia="宋体" w:cs="宋体"/>
          <w:lang w:val="en-US" w:eastAsia="zh-CN"/>
        </w:rPr>
        <w:t>问题</w:t>
      </w:r>
      <w:r>
        <w:rPr>
          <w:rFonts w:hint="eastAsia" w:ascii="宋体" w:hAnsi="宋体" w:cs="宋体"/>
          <w:lang w:val="en-US" w:eastAsia="zh-CN"/>
        </w:rPr>
        <w:t>引起的。</w:t>
      </w:r>
    </w:p>
    <w:p w14:paraId="3711C53C">
      <w:pPr>
        <w:numPr>
          <w:ilvl w:val="0"/>
          <w:numId w:val="0"/>
        </w:numPr>
        <w:spacing w:line="360" w:lineRule="auto"/>
        <w:ind w:left="420" w:leftChars="0" w:firstLine="420" w:firstLineChars="0"/>
        <w:jc w:val="both"/>
        <w:rPr>
          <w:rFonts w:hint="eastAsia" w:ascii="宋体" w:hAnsi="宋体" w:eastAsia="宋体" w:cs="宋体"/>
          <w:lang w:val="en-US" w:eastAsia="zh-CN"/>
        </w:rPr>
      </w:pPr>
    </w:p>
    <w:p w14:paraId="1E39EAA7">
      <w:pPr>
        <w:numPr>
          <w:ilvl w:val="0"/>
          <w:numId w:val="3"/>
        </w:numPr>
        <w:spacing w:line="360" w:lineRule="auto"/>
        <w:ind w:left="42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在实验操作过程中要注意哪些问题？</w:t>
      </w:r>
    </w:p>
    <w:p w14:paraId="05B36E4F">
      <w:pPr>
        <w:numPr>
          <w:ilvl w:val="0"/>
          <w:numId w:val="0"/>
        </w:numPr>
        <w:spacing w:line="360" w:lineRule="auto"/>
        <w:ind w:left="84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加样顺序：严格按照实验步骤进行加样，注意加样的顺序和时间。例如，先加入样品，再加入试剂，最后定容。</w:t>
      </w:r>
    </w:p>
    <w:p w14:paraId="1D071F96">
      <w:pPr>
        <w:numPr>
          <w:ilvl w:val="0"/>
          <w:numId w:val="0"/>
        </w:numPr>
        <w:spacing w:line="360" w:lineRule="auto"/>
        <w:ind w:left="84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混匀：每次加样后，充分混匀溶液，确保反应完全进行。</w:t>
      </w:r>
    </w:p>
    <w:p w14:paraId="25E8510E">
      <w:pPr>
        <w:numPr>
          <w:ilvl w:val="0"/>
          <w:numId w:val="0"/>
        </w:numPr>
        <w:spacing w:line="360" w:lineRule="auto"/>
        <w:ind w:left="84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温度控制：确保实验过程中温度恒定，避免温度波动影响结果。</w:t>
      </w:r>
    </w:p>
    <w:p w14:paraId="1E71376C">
      <w:pPr>
        <w:numPr>
          <w:ilvl w:val="0"/>
          <w:numId w:val="0"/>
        </w:numPr>
        <w:spacing w:line="360" w:lineRule="auto"/>
        <w:ind w:left="840" w:leftChars="0"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反应时间：严格控制反应时间，确保反应充分进行。</w:t>
      </w:r>
    </w:p>
    <w:p w14:paraId="67E0AD09">
      <w:pPr>
        <w:numPr>
          <w:ilvl w:val="0"/>
          <w:numId w:val="3"/>
        </w:numPr>
        <w:spacing w:line="360" w:lineRule="auto"/>
        <w:ind w:left="420" w:leftChars="0" w:firstLine="420" w:firstLineChars="0"/>
        <w:jc w:val="both"/>
        <w:rPr>
          <w:rFonts w:hint="eastAsia" w:ascii="宋体" w:hAnsi="宋体" w:cs="宋体"/>
          <w:lang w:val="en-US" w:eastAsia="zh-CN"/>
        </w:rPr>
      </w:pPr>
      <w:r>
        <w:rPr>
          <w:rFonts w:hint="eastAsia" w:ascii="宋体" w:hAnsi="宋体" w:cs="宋体"/>
          <w:lang w:val="en-US" w:eastAsia="zh-CN"/>
        </w:rPr>
        <w:t>在测量磷酸盐时，硅酸盐的存在是一种干扰。硅酸盐的影响和等待时间与溶液 p 值有关(5 分钟马上测，Si350 μmol不影响)，那么，溶液酸度从pH-1.00到 pH-2.00 时，溶液放置颜色在半小时后哪个变的更深?为什么?</w:t>
      </w:r>
    </w:p>
    <w:p w14:paraId="4499B54B">
      <w:pPr>
        <w:numPr>
          <w:ilvl w:val="0"/>
          <w:numId w:val="0"/>
        </w:numPr>
        <w:spacing w:line="360" w:lineRule="auto"/>
        <w:ind w:left="1260" w:leftChars="0"/>
        <w:jc w:val="both"/>
        <w:rPr>
          <w:rFonts w:hint="eastAsia" w:ascii="宋体" w:hAnsi="宋体" w:cs="宋体"/>
          <w:lang w:val="en-US" w:eastAsia="zh-CN"/>
        </w:rPr>
      </w:pPr>
      <w:r>
        <w:rPr>
          <w:rFonts w:hint="eastAsia" w:ascii="宋体" w:hAnsi="宋体" w:cs="宋体"/>
          <w:lang w:val="en-US" w:eastAsia="zh-CN"/>
        </w:rPr>
        <w:t>当溶液的pH值从1.00变化到2.00时，放置半小时后的溶液颜色在pH值为2.00时会变得更深。这是因为pH值较高时，硅酸盐的干扰作用更强，导致溶液颜色变深。</w:t>
      </w:r>
    </w:p>
    <w:p w14:paraId="1AF32B56">
      <w:pPr>
        <w:numPr>
          <w:ilvl w:val="0"/>
          <w:numId w:val="0"/>
        </w:numPr>
        <w:spacing w:line="360" w:lineRule="auto"/>
        <w:ind w:left="1260" w:leftChars="0"/>
        <w:jc w:val="both"/>
        <w:rPr>
          <w:rFonts w:hint="eastAsia" w:ascii="宋体" w:hAnsi="宋体" w:cs="宋体"/>
          <w:lang w:val="en-US" w:eastAsia="zh-CN"/>
        </w:rPr>
      </w:pPr>
    </w:p>
    <w:p w14:paraId="14C09326">
      <w:pPr>
        <w:numPr>
          <w:ilvl w:val="0"/>
          <w:numId w:val="3"/>
        </w:numPr>
        <w:spacing w:line="360" w:lineRule="auto"/>
        <w:ind w:left="420" w:leftChars="0" w:firstLine="420" w:firstLineChars="0"/>
        <w:jc w:val="both"/>
        <w:rPr>
          <w:rFonts w:hint="eastAsia" w:ascii="宋体" w:hAnsi="宋体" w:cs="宋体"/>
          <w:lang w:val="en-US" w:eastAsia="zh-CN"/>
        </w:rPr>
      </w:pPr>
      <w:r>
        <w:rPr>
          <w:rFonts w:hint="eastAsia" w:ascii="宋体" w:hAnsi="宋体" w:cs="宋体"/>
          <w:lang w:val="en-US" w:eastAsia="zh-CN"/>
        </w:rPr>
        <w:t>为什么当更换磷酸盐标准溶液，或者更换测量过程所配试剂时，需要重新做工作曲线(标准曲线)?</w:t>
      </w:r>
    </w:p>
    <w:p w14:paraId="03414B73">
      <w:pPr>
        <w:numPr>
          <w:ilvl w:val="0"/>
          <w:numId w:val="0"/>
        </w:numPr>
        <w:spacing w:line="360" w:lineRule="auto"/>
        <w:ind w:left="840" w:leftChars="0" w:firstLine="420" w:firstLineChars="0"/>
        <w:jc w:val="both"/>
        <w:rPr>
          <w:rFonts w:hint="eastAsia" w:ascii="宋体" w:hAnsi="宋体" w:cs="宋体"/>
          <w:lang w:val="en-US" w:eastAsia="zh-CN"/>
        </w:rPr>
      </w:pPr>
      <w:r>
        <w:rPr>
          <w:rFonts w:hint="eastAsia" w:ascii="宋体" w:hAnsi="宋体" w:cs="宋体"/>
          <w:lang w:val="en-US" w:eastAsia="zh-CN"/>
        </w:rPr>
        <w:t>重新制作标准曲线是为了确保测量结果的准确性和可靠性。通过重新制作标准曲线，可以消除因试剂批次差异、标准溶液变化、仪器性能变化等因素带来的误差，从而获得更准确的磷酸盐浓度测定结果。</w:t>
      </w:r>
    </w:p>
    <w:p w14:paraId="0838B094">
      <w:pPr>
        <w:numPr>
          <w:ilvl w:val="0"/>
          <w:numId w:val="0"/>
        </w:numPr>
        <w:spacing w:line="360" w:lineRule="auto"/>
        <w:ind w:left="1260" w:leftChars="0"/>
        <w:jc w:val="both"/>
        <w:rPr>
          <w:rFonts w:hint="eastAsia" w:ascii="宋体" w:hAnsi="宋体" w:cs="宋体"/>
          <w:lang w:val="en-US" w:eastAsia="zh-CN"/>
        </w:rPr>
      </w:pPr>
    </w:p>
    <w:p w14:paraId="69DC9A0A">
      <w:pPr>
        <w:spacing w:line="360" w:lineRule="auto"/>
        <w:ind w:left="420" w:leftChars="0" w:firstLine="420" w:firstLineChars="0"/>
        <w:rPr>
          <w:rFonts w:hint="default"/>
          <w:lang w:val="en-US" w:eastAsia="zh-CN"/>
        </w:rPr>
      </w:pPr>
    </w:p>
    <w:p w14:paraId="3AB9C554">
      <w:pPr>
        <w:spacing w:line="360" w:lineRule="auto"/>
        <w:ind w:left="420" w:leftChars="0" w:firstLine="420" w:firstLineChars="0"/>
        <w:rPr>
          <w:rFonts w:hint="default"/>
          <w:lang w:val="en-US" w:eastAsia="zh-CN"/>
        </w:rPr>
      </w:pPr>
    </w:p>
    <w:p w14:paraId="1621EF6E">
      <w:pPr>
        <w:spacing w:line="360" w:lineRule="auto"/>
        <w:ind w:firstLine="420" w:firstLineChars="0"/>
        <w:rPr>
          <w:rFonts w:hint="eastAsia"/>
          <w:lang w:val="en-US" w:eastAsia="zh-CN"/>
        </w:rPr>
      </w:pPr>
    </w:p>
    <w:p w14:paraId="3D5F5F94">
      <w:pPr>
        <w:spacing w:line="360" w:lineRule="auto"/>
        <w:ind w:firstLine="420" w:firstLineChars="0"/>
        <w:rPr>
          <w:rFonts w:hint="default"/>
          <w:lang w:val="en-US" w:eastAsia="zh-CN"/>
        </w:rPr>
      </w:pPr>
    </w:p>
    <w:p w14:paraId="02D23CDA">
      <w:pPr>
        <w:spacing w:line="360" w:lineRule="auto"/>
        <w:ind w:firstLine="480" w:firstLineChars="200"/>
        <w:rPr>
          <w:rFonts w:hint="eastAsia" w:ascii="宋体" w:hAnsi="宋体"/>
          <w:snapToGrid w:val="0"/>
          <w:kern w:val="0"/>
          <w:position w:val="6"/>
          <w:sz w:val="24"/>
          <w:szCs w:val="21"/>
        </w:rPr>
      </w:pPr>
    </w:p>
    <w:p w14:paraId="1B55EAF4">
      <w:pPr>
        <w:spacing w:line="360" w:lineRule="auto"/>
        <w:ind w:firstLine="480" w:firstLineChars="200"/>
        <w:rPr>
          <w:rFonts w:hint="eastAsia" w:ascii="宋体" w:hAnsi="宋体"/>
          <w:snapToGrid w:val="0"/>
          <w:kern w:val="0"/>
          <w:position w:val="6"/>
          <w:sz w:val="24"/>
          <w:szCs w:val="21"/>
        </w:rPr>
      </w:pPr>
    </w:p>
    <w:p w14:paraId="1615A70E">
      <w:pPr>
        <w:spacing w:line="360" w:lineRule="auto"/>
        <w:ind w:firstLine="480" w:firstLineChars="200"/>
        <w:rPr>
          <w:rFonts w:hint="eastAsia" w:ascii="宋体" w:hAnsi="宋体"/>
          <w:snapToGrid w:val="0"/>
          <w:kern w:val="0"/>
          <w:position w:val="6"/>
          <w:sz w:val="24"/>
          <w:szCs w:val="21"/>
        </w:rPr>
      </w:pPr>
    </w:p>
    <w:p w14:paraId="446585FE">
      <w:pPr>
        <w:spacing w:line="360" w:lineRule="auto"/>
        <w:ind w:firstLine="440" w:firstLineChars="200"/>
        <w:rPr>
          <w:rFonts w:hint="eastAsia"/>
          <w:snapToGrid w:val="0"/>
          <w:kern w:val="0"/>
          <w:position w:val="6"/>
          <w:sz w:val="22"/>
          <w:szCs w:val="21"/>
        </w:rPr>
      </w:pPr>
    </w:p>
    <w:sectPr>
      <w:pgSz w:w="11906" w:h="16838"/>
      <w:pgMar w:top="1440" w:right="74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5CCBF"/>
    <w:multiLevelType w:val="multilevel"/>
    <w:tmpl w:val="8ED5CCBF"/>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BB42C697"/>
    <w:multiLevelType w:val="multilevel"/>
    <w:tmpl w:val="BB42C697"/>
    <w:lvl w:ilvl="0" w:tentative="0">
      <w:start w:val="1"/>
      <w:numFmt w:val="bullet"/>
      <w:lvlText w:val=""/>
      <w:lvlJc w:val="left"/>
      <w:pPr>
        <w:tabs>
          <w:tab w:val="left" w:pos="1980"/>
        </w:tabs>
        <w:ind w:left="1980" w:hanging="360"/>
      </w:pPr>
      <w:rPr>
        <w:rFonts w:ascii="Symbol" w:hAnsi="Symbol" w:cs="Symbol"/>
        <w:sz w:val="20"/>
      </w:rPr>
    </w:lvl>
    <w:lvl w:ilvl="1" w:tentative="0">
      <w:start w:val="1"/>
      <w:numFmt w:val="bullet"/>
      <w:lvlText w:val="o"/>
      <w:lvlJc w:val="left"/>
      <w:pPr>
        <w:tabs>
          <w:tab w:val="left" w:pos="2700"/>
        </w:tabs>
        <w:ind w:left="2700" w:hanging="360"/>
      </w:pPr>
      <w:rPr>
        <w:rFonts w:ascii="Courier New" w:hAnsi="Courier New" w:cs="Courier New"/>
        <w:sz w:val="20"/>
      </w:rPr>
    </w:lvl>
    <w:lvl w:ilvl="2" w:tentative="0">
      <w:start w:val="1"/>
      <w:numFmt w:val="bullet"/>
      <w:lvlText w:val=""/>
      <w:lvlJc w:val="left"/>
      <w:pPr>
        <w:tabs>
          <w:tab w:val="left" w:pos="3420"/>
        </w:tabs>
        <w:ind w:left="3420" w:hanging="360"/>
      </w:pPr>
      <w:rPr>
        <w:rFonts w:ascii="Wingdings" w:hAnsi="Wingdings" w:cs="Wingdings"/>
        <w:sz w:val="20"/>
      </w:rPr>
    </w:lvl>
    <w:lvl w:ilvl="3" w:tentative="0">
      <w:start w:val="1"/>
      <w:numFmt w:val="bullet"/>
      <w:lvlText w:val=""/>
      <w:lvlJc w:val="left"/>
      <w:pPr>
        <w:tabs>
          <w:tab w:val="left" w:pos="4140"/>
        </w:tabs>
        <w:ind w:left="4140" w:hanging="360"/>
      </w:pPr>
      <w:rPr>
        <w:rFonts w:hint="default" w:ascii="Wingdings" w:hAnsi="Wingdings" w:cs="Wingdings"/>
        <w:sz w:val="20"/>
      </w:rPr>
    </w:lvl>
    <w:lvl w:ilvl="4" w:tentative="0">
      <w:start w:val="1"/>
      <w:numFmt w:val="bullet"/>
      <w:lvlText w:val=""/>
      <w:lvlJc w:val="left"/>
      <w:pPr>
        <w:tabs>
          <w:tab w:val="left" w:pos="4860"/>
        </w:tabs>
        <w:ind w:left="4860" w:hanging="360"/>
      </w:pPr>
      <w:rPr>
        <w:rFonts w:hint="default" w:ascii="Wingdings" w:hAnsi="Wingdings" w:cs="Wingdings"/>
        <w:sz w:val="20"/>
      </w:rPr>
    </w:lvl>
    <w:lvl w:ilvl="5" w:tentative="0">
      <w:start w:val="1"/>
      <w:numFmt w:val="bullet"/>
      <w:lvlText w:val=""/>
      <w:lvlJc w:val="left"/>
      <w:pPr>
        <w:tabs>
          <w:tab w:val="left" w:pos="5580"/>
        </w:tabs>
        <w:ind w:left="5580" w:hanging="360"/>
      </w:pPr>
      <w:rPr>
        <w:rFonts w:hint="default" w:ascii="Wingdings" w:hAnsi="Wingdings" w:cs="Wingdings"/>
        <w:sz w:val="20"/>
      </w:rPr>
    </w:lvl>
    <w:lvl w:ilvl="6" w:tentative="0">
      <w:start w:val="1"/>
      <w:numFmt w:val="bullet"/>
      <w:lvlText w:val=""/>
      <w:lvlJc w:val="left"/>
      <w:pPr>
        <w:tabs>
          <w:tab w:val="left" w:pos="6300"/>
        </w:tabs>
        <w:ind w:left="6300" w:hanging="360"/>
      </w:pPr>
      <w:rPr>
        <w:rFonts w:hint="default" w:ascii="Wingdings" w:hAnsi="Wingdings" w:cs="Wingdings"/>
        <w:sz w:val="20"/>
      </w:rPr>
    </w:lvl>
    <w:lvl w:ilvl="7" w:tentative="0">
      <w:start w:val="1"/>
      <w:numFmt w:val="bullet"/>
      <w:lvlText w:val=""/>
      <w:lvlJc w:val="left"/>
      <w:pPr>
        <w:tabs>
          <w:tab w:val="left" w:pos="7020"/>
        </w:tabs>
        <w:ind w:left="7020" w:hanging="360"/>
      </w:pPr>
      <w:rPr>
        <w:rFonts w:hint="default" w:ascii="Wingdings" w:hAnsi="Wingdings" w:cs="Wingdings"/>
        <w:sz w:val="20"/>
      </w:rPr>
    </w:lvl>
    <w:lvl w:ilvl="8" w:tentative="0">
      <w:start w:val="1"/>
      <w:numFmt w:val="bullet"/>
      <w:lvlText w:val=""/>
      <w:lvlJc w:val="left"/>
      <w:pPr>
        <w:tabs>
          <w:tab w:val="left" w:pos="7740"/>
        </w:tabs>
        <w:ind w:left="7740" w:hanging="360"/>
      </w:pPr>
      <w:rPr>
        <w:rFonts w:hint="default" w:ascii="Wingdings" w:hAnsi="Wingdings" w:cs="Wingdings"/>
        <w:sz w:val="20"/>
      </w:rPr>
    </w:lvl>
  </w:abstractNum>
  <w:abstractNum w:abstractNumId="2">
    <w:nsid w:val="7F5D0462"/>
    <w:multiLevelType w:val="multilevel"/>
    <w:tmpl w:val="7F5D0462"/>
    <w:lvl w:ilvl="0" w:tentative="0">
      <w:start w:val="5"/>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A357B9"/>
    <w:rsid w:val="000A0E2E"/>
    <w:rsid w:val="001031EF"/>
    <w:rsid w:val="001A65BF"/>
    <w:rsid w:val="001D005D"/>
    <w:rsid w:val="001E206A"/>
    <w:rsid w:val="001E7D4E"/>
    <w:rsid w:val="0021389A"/>
    <w:rsid w:val="00230A0A"/>
    <w:rsid w:val="00264666"/>
    <w:rsid w:val="002D05A9"/>
    <w:rsid w:val="002F2047"/>
    <w:rsid w:val="00304048"/>
    <w:rsid w:val="00305AFC"/>
    <w:rsid w:val="00332279"/>
    <w:rsid w:val="00347C2F"/>
    <w:rsid w:val="00375755"/>
    <w:rsid w:val="00394810"/>
    <w:rsid w:val="0039696B"/>
    <w:rsid w:val="003A17E8"/>
    <w:rsid w:val="003A7C69"/>
    <w:rsid w:val="003B6176"/>
    <w:rsid w:val="003C043F"/>
    <w:rsid w:val="003C7976"/>
    <w:rsid w:val="003D11EE"/>
    <w:rsid w:val="003D14FC"/>
    <w:rsid w:val="003F2092"/>
    <w:rsid w:val="003F253B"/>
    <w:rsid w:val="00415A2A"/>
    <w:rsid w:val="00432FA7"/>
    <w:rsid w:val="00485C6A"/>
    <w:rsid w:val="00494E46"/>
    <w:rsid w:val="004A14AC"/>
    <w:rsid w:val="004A37E8"/>
    <w:rsid w:val="004D353A"/>
    <w:rsid w:val="004F3977"/>
    <w:rsid w:val="004F5BEB"/>
    <w:rsid w:val="00517CED"/>
    <w:rsid w:val="00521370"/>
    <w:rsid w:val="0052447D"/>
    <w:rsid w:val="00541C1C"/>
    <w:rsid w:val="005709D6"/>
    <w:rsid w:val="005858FF"/>
    <w:rsid w:val="005C15F6"/>
    <w:rsid w:val="005E77BD"/>
    <w:rsid w:val="006226B8"/>
    <w:rsid w:val="00623E6C"/>
    <w:rsid w:val="00685C21"/>
    <w:rsid w:val="00690456"/>
    <w:rsid w:val="00694F8D"/>
    <w:rsid w:val="006A2BA3"/>
    <w:rsid w:val="006A487C"/>
    <w:rsid w:val="006A66F7"/>
    <w:rsid w:val="00712199"/>
    <w:rsid w:val="00735C43"/>
    <w:rsid w:val="0076394D"/>
    <w:rsid w:val="0076591F"/>
    <w:rsid w:val="00784F1C"/>
    <w:rsid w:val="0079595D"/>
    <w:rsid w:val="007B18D9"/>
    <w:rsid w:val="007E32EF"/>
    <w:rsid w:val="007F4E32"/>
    <w:rsid w:val="00857ABC"/>
    <w:rsid w:val="008812D2"/>
    <w:rsid w:val="008C5410"/>
    <w:rsid w:val="008E37E5"/>
    <w:rsid w:val="008F2497"/>
    <w:rsid w:val="008F4C72"/>
    <w:rsid w:val="009043DA"/>
    <w:rsid w:val="009240C0"/>
    <w:rsid w:val="009329FE"/>
    <w:rsid w:val="00942624"/>
    <w:rsid w:val="00977575"/>
    <w:rsid w:val="009C762B"/>
    <w:rsid w:val="009D4779"/>
    <w:rsid w:val="009D701C"/>
    <w:rsid w:val="00A357B9"/>
    <w:rsid w:val="00A7675D"/>
    <w:rsid w:val="00A773BF"/>
    <w:rsid w:val="00A92CAA"/>
    <w:rsid w:val="00AC288A"/>
    <w:rsid w:val="00AD377F"/>
    <w:rsid w:val="00AF6AD6"/>
    <w:rsid w:val="00B07A09"/>
    <w:rsid w:val="00B20D17"/>
    <w:rsid w:val="00B44D5B"/>
    <w:rsid w:val="00B47C67"/>
    <w:rsid w:val="00B50323"/>
    <w:rsid w:val="00B71BD9"/>
    <w:rsid w:val="00B74045"/>
    <w:rsid w:val="00B77CFB"/>
    <w:rsid w:val="00BF0507"/>
    <w:rsid w:val="00C60062"/>
    <w:rsid w:val="00C64FD0"/>
    <w:rsid w:val="00C92BE6"/>
    <w:rsid w:val="00CF24C1"/>
    <w:rsid w:val="00CF4A0A"/>
    <w:rsid w:val="00D0300C"/>
    <w:rsid w:val="00D168A1"/>
    <w:rsid w:val="00D43303"/>
    <w:rsid w:val="00D75C14"/>
    <w:rsid w:val="00D81C13"/>
    <w:rsid w:val="00D96F41"/>
    <w:rsid w:val="00DA2642"/>
    <w:rsid w:val="00DB75EB"/>
    <w:rsid w:val="00E02CB0"/>
    <w:rsid w:val="00E51FC8"/>
    <w:rsid w:val="00E63C18"/>
    <w:rsid w:val="00E67AA4"/>
    <w:rsid w:val="00E81253"/>
    <w:rsid w:val="00E934BD"/>
    <w:rsid w:val="00EE1930"/>
    <w:rsid w:val="00F015CC"/>
    <w:rsid w:val="00F15305"/>
    <w:rsid w:val="00F3326A"/>
    <w:rsid w:val="00F9367A"/>
    <w:rsid w:val="00FC5788"/>
    <w:rsid w:val="00FD072A"/>
    <w:rsid w:val="00FE28AC"/>
    <w:rsid w:val="00FF422F"/>
    <w:rsid w:val="05C00A51"/>
    <w:rsid w:val="0B5F40BB"/>
    <w:rsid w:val="14F81838"/>
    <w:rsid w:val="1D0C2D7B"/>
    <w:rsid w:val="2F6E5CC0"/>
    <w:rsid w:val="30D723C2"/>
    <w:rsid w:val="31BA15EE"/>
    <w:rsid w:val="35B2764E"/>
    <w:rsid w:val="39D47C70"/>
    <w:rsid w:val="46FD3844"/>
    <w:rsid w:val="4B2B1C05"/>
    <w:rsid w:val="4FE44631"/>
    <w:rsid w:val="605C1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link w:val="17"/>
    <w:qFormat/>
    <w:uiPriority w:val="0"/>
    <w:pPr>
      <w:jc w:val="left"/>
    </w:pPr>
  </w:style>
  <w:style w:type="paragraph" w:styleId="3">
    <w:name w:val="Balloon Text"/>
    <w:basedOn w:val="1"/>
    <w:link w:val="19"/>
    <w:uiPriority w:val="0"/>
    <w:rPr>
      <w:sz w:val="18"/>
      <w:szCs w:val="18"/>
    </w:rPr>
  </w:style>
  <w:style w:type="paragraph" w:styleId="4">
    <w:name w:val="footer"/>
    <w:basedOn w:val="1"/>
    <w:link w:val="13"/>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18"/>
    <w:uiPriority w:val="0"/>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uiPriority w:val="0"/>
    <w:rPr>
      <w:sz w:val="21"/>
      <w:szCs w:val="21"/>
    </w:rPr>
  </w:style>
  <w:style w:type="character" w:customStyle="1" w:styleId="12">
    <w:name w:val="页眉 Char"/>
    <w:link w:val="5"/>
    <w:uiPriority w:val="0"/>
    <w:rPr>
      <w:kern w:val="2"/>
      <w:sz w:val="18"/>
      <w:szCs w:val="18"/>
    </w:rPr>
  </w:style>
  <w:style w:type="character" w:customStyle="1" w:styleId="13">
    <w:name w:val="页脚 Char"/>
    <w:link w:val="4"/>
    <w:uiPriority w:val="0"/>
    <w:rPr>
      <w:kern w:val="2"/>
      <w:sz w:val="18"/>
      <w:szCs w:val="18"/>
    </w:rPr>
  </w:style>
  <w:style w:type="paragraph" w:styleId="14">
    <w:name w:val="Quote"/>
    <w:basedOn w:val="1"/>
    <w:next w:val="1"/>
    <w:link w:val="15"/>
    <w:qFormat/>
    <w:uiPriority w:val="29"/>
    <w:rPr>
      <w:i/>
      <w:iCs/>
      <w:color w:val="000000"/>
    </w:rPr>
  </w:style>
  <w:style w:type="character" w:customStyle="1" w:styleId="15">
    <w:name w:val="引用 Char"/>
    <w:link w:val="14"/>
    <w:qFormat/>
    <w:uiPriority w:val="29"/>
    <w:rPr>
      <w:i/>
      <w:iCs/>
      <w:color w:val="000000"/>
      <w:kern w:val="2"/>
      <w:sz w:val="21"/>
      <w:szCs w:val="24"/>
    </w:rPr>
  </w:style>
  <w:style w:type="paragraph" w:styleId="16">
    <w:name w:val="List Paragraph"/>
    <w:basedOn w:val="1"/>
    <w:qFormat/>
    <w:uiPriority w:val="34"/>
    <w:pPr>
      <w:widowControl/>
      <w:spacing w:after="160" w:line="259" w:lineRule="auto"/>
      <w:ind w:firstLine="420" w:firstLineChars="200"/>
      <w:jc w:val="left"/>
    </w:pPr>
    <w:rPr>
      <w:rFonts w:ascii="Calibri" w:hAnsi="Calibri"/>
      <w:kern w:val="0"/>
      <w:sz w:val="22"/>
      <w:szCs w:val="22"/>
      <w:lang w:val="en-GB"/>
    </w:rPr>
  </w:style>
  <w:style w:type="character" w:customStyle="1" w:styleId="17">
    <w:name w:val="批注文字 字符"/>
    <w:link w:val="2"/>
    <w:qFormat/>
    <w:uiPriority w:val="0"/>
    <w:rPr>
      <w:kern w:val="2"/>
      <w:sz w:val="21"/>
      <w:szCs w:val="24"/>
    </w:rPr>
  </w:style>
  <w:style w:type="character" w:customStyle="1" w:styleId="18">
    <w:name w:val="批注主题 字符"/>
    <w:link w:val="7"/>
    <w:qFormat/>
    <w:uiPriority w:val="0"/>
    <w:rPr>
      <w:b/>
      <w:bCs/>
      <w:kern w:val="2"/>
      <w:sz w:val="21"/>
      <w:szCs w:val="24"/>
    </w:rPr>
  </w:style>
  <w:style w:type="character" w:customStyle="1" w:styleId="19">
    <w:name w:val="批注框文本 字符"/>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1857</Words>
  <Characters>2164</Characters>
  <Lines>1</Lines>
  <Paragraphs>1</Paragraphs>
  <TotalTime>2</TotalTime>
  <ScaleCrop>false</ScaleCrop>
  <LinksUpToDate>false</LinksUpToDate>
  <CharactersWithSpaces>2312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2022-02-21T10:10:00Z</dcterms:created>
  <dc:creator>微软用户</dc:creator>
  <cp:lastModifiedBy> 麟</cp:lastModifiedBy>
  <cp:lastPrinted>2019-11-28T08:49:00Z</cp:lastPrinted>
  <dcterms:modified xsi:type="dcterms:W3CDTF">2026-08-10T09:38:03Z</dcterms:modified>
  <dc:title>实验报告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6A610FE965884BB19CF77A59C22E74A6_12</vt:lpwstr>
  </property>
  <property fmtid="{D5CDD505-2E9C-101B-9397-08002B2CF9AE}" pid="4" name="KSOTemplateDocerSaveRecord">
    <vt:lpwstr>eyJoZGlkIjoiOWYyMzVmZTBjYjExYjUxNTY5YzZhZmIxZjJlZTU5OTgiLCJ1c2VySWQiOiIxNjM4OTk2ODkwIn0=</vt:lpwstr>
  </property>
</Properties>
</file>