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990" w:rsidRDefault="00B96FF5" w:rsidP="00B96FF5">
      <w:pPr>
        <w:jc w:val="center"/>
      </w:pPr>
      <w:r>
        <w:rPr>
          <w:rFonts w:hint="eastAsia"/>
        </w:rPr>
        <w:t>STAT665</w:t>
      </w:r>
    </w:p>
    <w:p w:rsidR="00B96FF5" w:rsidRDefault="00B96FF5" w:rsidP="00B96FF5">
      <w:pPr>
        <w:jc w:val="right"/>
      </w:pPr>
      <w:r>
        <w:rPr>
          <w:rFonts w:hint="eastAsia"/>
        </w:rPr>
        <w:t>Lab2</w:t>
      </w:r>
    </w:p>
    <w:p w:rsidR="00B96FF5" w:rsidRDefault="00B96FF5" w:rsidP="00B96FF5">
      <w:pPr>
        <w:jc w:val="right"/>
      </w:pPr>
      <w:r>
        <w:rPr>
          <w:rFonts w:hint="eastAsia"/>
        </w:rPr>
        <w:t>Bo Song</w:t>
      </w:r>
    </w:p>
    <w:p w:rsidR="00B96FF5" w:rsidRPr="00DC58B4" w:rsidRDefault="00B96FF5" w:rsidP="00B96FF5">
      <w:pPr>
        <w:pStyle w:val="ListParagraph"/>
        <w:numPr>
          <w:ilvl w:val="0"/>
          <w:numId w:val="2"/>
        </w:numPr>
        <w:ind w:firstLineChars="0"/>
        <w:jc w:val="left"/>
        <w:rPr>
          <w:b/>
        </w:rPr>
      </w:pPr>
      <w:r w:rsidRPr="00DC58B4">
        <w:rPr>
          <w:b/>
        </w:rPr>
        <w:t xml:space="preserve">Describe how you decided the ultimate number of trees to use. </w:t>
      </w:r>
    </w:p>
    <w:p w:rsidR="00B96FF5" w:rsidRDefault="00B96FF5" w:rsidP="00B96FF5">
      <w:pPr>
        <w:pStyle w:val="ListParagraph"/>
        <w:ind w:left="360" w:firstLineChars="0" w:firstLine="0"/>
        <w:jc w:val="left"/>
      </w:pPr>
      <w:r>
        <w:rPr>
          <w:rFonts w:hint="eastAsia"/>
        </w:rPr>
        <w:t>Draw a chart to see the relationship between # trees and OOB MSE</w:t>
      </w:r>
    </w:p>
    <w:p w:rsidR="00B96FF5" w:rsidRDefault="00B96FF5" w:rsidP="00B96FF5">
      <w:pPr>
        <w:pStyle w:val="ListParagraph"/>
        <w:ind w:left="360" w:firstLineChars="0" w:firstLine="0"/>
        <w:jc w:val="left"/>
      </w:pPr>
      <w:r>
        <w:rPr>
          <w:noProof/>
        </w:rPr>
        <w:drawing>
          <wp:inline distT="0" distB="0" distL="0" distR="0" wp14:anchorId="6D841082" wp14:editId="7E7A377F">
            <wp:extent cx="5274310" cy="2968625"/>
            <wp:effectExtent l="0" t="0" r="21590"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6FF5" w:rsidRDefault="00B96FF5" w:rsidP="00B96FF5">
      <w:pPr>
        <w:pStyle w:val="ListParagraph"/>
        <w:ind w:left="360" w:firstLineChars="0" w:firstLine="0"/>
        <w:jc w:val="left"/>
      </w:pPr>
      <w:r>
        <w:rPr>
          <w:rFonts w:hint="eastAsia"/>
        </w:rPr>
        <w:t>It seems as the number of trees increases, the OOB MSE decreases gradually and becomes stable at some value. Since Taylor said we don</w:t>
      </w:r>
      <w:r>
        <w:t>’</w:t>
      </w:r>
      <w:r>
        <w:rPr>
          <w:rFonts w:hint="eastAsia"/>
        </w:rPr>
        <w:t>t need to be crazy to tune this parameter, I chose 79 as the number of trees in my experiment. Though a larger number may performs better.</w:t>
      </w:r>
    </w:p>
    <w:p w:rsidR="00B96FF5" w:rsidRDefault="00B96FF5" w:rsidP="00B96FF5">
      <w:pPr>
        <w:pStyle w:val="ListParagraph"/>
        <w:ind w:left="360" w:firstLineChars="0" w:firstLine="0"/>
        <w:jc w:val="left"/>
      </w:pPr>
    </w:p>
    <w:p w:rsidR="00B96FF5" w:rsidRDefault="00B96FF5" w:rsidP="00B96FF5">
      <w:pPr>
        <w:jc w:val="left"/>
      </w:pPr>
    </w:p>
    <w:p w:rsidR="00B96FF5" w:rsidRPr="00DC58B4" w:rsidRDefault="00B96FF5" w:rsidP="00B96FF5">
      <w:pPr>
        <w:pStyle w:val="ListParagraph"/>
        <w:numPr>
          <w:ilvl w:val="0"/>
          <w:numId w:val="2"/>
        </w:numPr>
        <w:ind w:firstLineChars="0"/>
        <w:jc w:val="left"/>
        <w:rPr>
          <w:b/>
        </w:rPr>
      </w:pPr>
      <w:r w:rsidRPr="00DC58B4">
        <w:rPr>
          <w:b/>
        </w:rPr>
        <w:t xml:space="preserve">Compare the ‘out-of-bag’ mean squared error in CT to the errors of NY, MT, and CA. Describe what patterns or surprising features arise. </w:t>
      </w:r>
    </w:p>
    <w:p w:rsidR="00B96FF5" w:rsidRDefault="00313CBC" w:rsidP="00B96FF5">
      <w:pPr>
        <w:pStyle w:val="ListParagraph"/>
        <w:ind w:left="360" w:firstLineChars="0" w:firstLine="0"/>
        <w:jc w:val="left"/>
      </w:pPr>
      <w:r>
        <w:rPr>
          <w:rFonts w:hint="eastAsia"/>
          <w:noProof/>
        </w:rPr>
        <w:lastRenderedPageBreak/>
        <w:drawing>
          <wp:inline distT="0" distB="0" distL="0" distR="0" wp14:anchorId="72C6EA87" wp14:editId="542041E4">
            <wp:extent cx="5274310" cy="3076575"/>
            <wp:effectExtent l="0" t="0" r="2159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96FF5" w:rsidRDefault="00B96FF5" w:rsidP="00B96FF5">
      <w:pPr>
        <w:ind w:left="360"/>
        <w:jc w:val="left"/>
      </w:pPr>
      <w:r>
        <w:rPr>
          <w:rFonts w:hint="eastAsia"/>
        </w:rPr>
        <w:t xml:space="preserve">The model trained by the data of CT predicts well on the data </w:t>
      </w:r>
      <w:r w:rsidR="00313CBC">
        <w:rPr>
          <w:rFonts w:hint="eastAsia"/>
        </w:rPr>
        <w:t>CA, predicts a little worse on NY, predicts worst on MT.</w:t>
      </w:r>
    </w:p>
    <w:p w:rsidR="00B96FF5" w:rsidRDefault="00B96FF5" w:rsidP="00B96FF5">
      <w:pPr>
        <w:ind w:left="360"/>
        <w:jc w:val="left"/>
      </w:pPr>
    </w:p>
    <w:p w:rsidR="00B96FF5" w:rsidRPr="00DC58B4" w:rsidRDefault="00B96FF5" w:rsidP="00B96FF5">
      <w:pPr>
        <w:pStyle w:val="ListParagraph"/>
        <w:numPr>
          <w:ilvl w:val="0"/>
          <w:numId w:val="2"/>
        </w:numPr>
        <w:ind w:firstLineChars="0"/>
        <w:jc w:val="left"/>
        <w:rPr>
          <w:b/>
        </w:rPr>
      </w:pPr>
      <w:r w:rsidRPr="00DC58B4">
        <w:rPr>
          <w:b/>
        </w:rPr>
        <w:t xml:space="preserve">Now fit a linear regression using the same variables on the CT data and predict the results from the other three states. How do these mean squared errors compare to the random forest model? Note: The raw data has perfect multicolinearity because each set of variables add up to one; either drop the last count from each set, or, in R, just ignore the warnings as this is what will be done automatically for you. </w:t>
      </w:r>
    </w:p>
    <w:p w:rsidR="00B96FF5" w:rsidRDefault="00313CBC" w:rsidP="00B96FF5">
      <w:pPr>
        <w:pStyle w:val="ListParagraph"/>
        <w:ind w:left="360" w:firstLineChars="0" w:firstLine="0"/>
        <w:jc w:val="left"/>
      </w:pPr>
      <w:r>
        <w:rPr>
          <w:rFonts w:hint="eastAsia"/>
          <w:noProof/>
        </w:rPr>
        <w:drawing>
          <wp:inline distT="0" distB="0" distL="0" distR="0">
            <wp:extent cx="5274310" cy="3076575"/>
            <wp:effectExtent l="0" t="0" r="2159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13CBC" w:rsidRDefault="00313CBC" w:rsidP="00B96FF5">
      <w:pPr>
        <w:pStyle w:val="ListParagraph"/>
        <w:ind w:left="360" w:firstLineChars="0" w:firstLine="0"/>
        <w:jc w:val="left"/>
      </w:pPr>
      <w:r>
        <w:rPr>
          <w:rFonts w:hint="eastAsia"/>
        </w:rPr>
        <w:t xml:space="preserve">Linear regression performs better on its training data than CT, but performs worse on other </w:t>
      </w:r>
      <w:r w:rsidR="00206AC9">
        <w:rPr>
          <w:rFonts w:hint="eastAsia"/>
        </w:rPr>
        <w:t>states</w:t>
      </w:r>
      <w:r w:rsidR="00206AC9">
        <w:t>’</w:t>
      </w:r>
      <w:r w:rsidR="00206AC9">
        <w:rPr>
          <w:rFonts w:hint="eastAsia"/>
        </w:rPr>
        <w:t xml:space="preserve"> </w:t>
      </w:r>
      <w:r>
        <w:rPr>
          <w:rFonts w:hint="eastAsia"/>
        </w:rPr>
        <w:t>data (NT, CA, MT). Generally speaking, for this question, random forest is better.</w:t>
      </w:r>
    </w:p>
    <w:p w:rsidR="00313CBC" w:rsidRDefault="00313CBC" w:rsidP="00B96FF5">
      <w:pPr>
        <w:pStyle w:val="ListParagraph"/>
        <w:ind w:left="360" w:firstLineChars="0" w:firstLine="0"/>
        <w:jc w:val="left"/>
      </w:pPr>
    </w:p>
    <w:p w:rsidR="00B96FF5" w:rsidRDefault="00B96FF5" w:rsidP="00B96FF5">
      <w:pPr>
        <w:pStyle w:val="ListParagraph"/>
        <w:numPr>
          <w:ilvl w:val="0"/>
          <w:numId w:val="2"/>
        </w:numPr>
        <w:ind w:firstLineChars="0"/>
        <w:jc w:val="left"/>
        <w:rPr>
          <w:b/>
        </w:rPr>
      </w:pPr>
      <w:r w:rsidRPr="00DC58B4">
        <w:rPr>
          <w:b/>
        </w:rPr>
        <w:t xml:space="preserve">The field h_geocode in the datasets gives a unique identifier for the census block from </w:t>
      </w:r>
      <w:r w:rsidRPr="00DC58B4">
        <w:rPr>
          <w:b/>
        </w:rPr>
        <w:lastRenderedPageBreak/>
        <w:t xml:space="preserve">which the data are taken. The first two digits give the state FIPS code and the next 3 digits give the county FIPS code. You can easily find sources that give a mapping from county FIPS codes to county names. What are the three worst counties in terms of squared error under the random forest model in New York and California? Explain any patterns you see and (if applicable) suggest a possible solution. </w:t>
      </w:r>
    </w:p>
    <w:p w:rsidR="001B0A0D" w:rsidRPr="00DC58B4" w:rsidRDefault="001B0A0D" w:rsidP="001B0A0D">
      <w:pPr>
        <w:pStyle w:val="ListParagraph"/>
        <w:ind w:left="360" w:firstLineChars="0" w:firstLine="0"/>
        <w:jc w:val="left"/>
        <w:rPr>
          <w:b/>
        </w:rPr>
      </w:pPr>
    </w:p>
    <w:p w:rsidR="001B0A0D" w:rsidRDefault="001B0A0D" w:rsidP="001B0A0D">
      <w:pPr>
        <w:pStyle w:val="Caption"/>
        <w:keepNext/>
        <w:jc w:val="center"/>
      </w:pPr>
      <w:r>
        <w:t xml:space="preserve">Table </w:t>
      </w:r>
      <w:r w:rsidR="003B37E5">
        <w:fldChar w:fldCharType="begin"/>
      </w:r>
      <w:r w:rsidR="003B37E5">
        <w:instrText xml:space="preserve"> SEQ Table \* ARABIC </w:instrText>
      </w:r>
      <w:r w:rsidR="003B37E5">
        <w:fldChar w:fldCharType="separate"/>
      </w:r>
      <w:r>
        <w:rPr>
          <w:noProof/>
        </w:rPr>
        <w:t>1</w:t>
      </w:r>
      <w:r w:rsidR="003B37E5">
        <w:rPr>
          <w:noProof/>
        </w:rPr>
        <w:fldChar w:fldCharType="end"/>
      </w:r>
      <w:r>
        <w:rPr>
          <w:rFonts w:hint="eastAsia"/>
        </w:rPr>
        <w:t xml:space="preserve"> Worst 3 performance countries in NY and CA</w:t>
      </w:r>
    </w:p>
    <w:tbl>
      <w:tblPr>
        <w:tblStyle w:val="TableGrid"/>
        <w:tblW w:w="0" w:type="auto"/>
        <w:jc w:val="center"/>
        <w:tblLook w:val="04A0" w:firstRow="1" w:lastRow="0" w:firstColumn="1" w:lastColumn="0" w:noHBand="0" w:noVBand="1"/>
      </w:tblPr>
      <w:tblGrid>
        <w:gridCol w:w="1517"/>
        <w:gridCol w:w="2541"/>
        <w:gridCol w:w="1567"/>
        <w:gridCol w:w="2477"/>
      </w:tblGrid>
      <w:tr w:rsidR="001B0A0D" w:rsidTr="001B0A0D">
        <w:trPr>
          <w:jc w:val="center"/>
        </w:trPr>
        <w:tc>
          <w:tcPr>
            <w:tcW w:w="1517" w:type="dxa"/>
          </w:tcPr>
          <w:p w:rsidR="001B0A0D" w:rsidRDefault="001B0A0D" w:rsidP="00F44FCA">
            <w:pPr>
              <w:pStyle w:val="ListParagraph"/>
              <w:ind w:firstLineChars="0" w:firstLine="0"/>
              <w:jc w:val="left"/>
            </w:pPr>
            <w:r>
              <w:rPr>
                <w:rFonts w:hint="eastAsia"/>
              </w:rPr>
              <w:t>State</w:t>
            </w:r>
          </w:p>
        </w:tc>
        <w:tc>
          <w:tcPr>
            <w:tcW w:w="2541" w:type="dxa"/>
          </w:tcPr>
          <w:p w:rsidR="001B0A0D" w:rsidRDefault="001B0A0D" w:rsidP="00F44FCA">
            <w:pPr>
              <w:pStyle w:val="ListParagraph"/>
              <w:ind w:firstLineChars="0" w:firstLine="0"/>
              <w:jc w:val="left"/>
            </w:pPr>
            <w:r>
              <w:rPr>
                <w:rFonts w:hint="eastAsia"/>
              </w:rPr>
              <w:t>Country Name</w:t>
            </w:r>
          </w:p>
        </w:tc>
        <w:tc>
          <w:tcPr>
            <w:tcW w:w="1567" w:type="dxa"/>
          </w:tcPr>
          <w:p w:rsidR="001B0A0D" w:rsidRDefault="001B0A0D" w:rsidP="00F44FCA">
            <w:pPr>
              <w:pStyle w:val="ListParagraph"/>
              <w:ind w:firstLineChars="0" w:firstLine="0"/>
              <w:jc w:val="left"/>
            </w:pPr>
            <w:r>
              <w:rPr>
                <w:rFonts w:hint="eastAsia"/>
              </w:rPr>
              <w:t>FIPS</w:t>
            </w:r>
          </w:p>
        </w:tc>
        <w:tc>
          <w:tcPr>
            <w:tcW w:w="2477" w:type="dxa"/>
          </w:tcPr>
          <w:p w:rsidR="001B0A0D" w:rsidRDefault="001B0A0D" w:rsidP="001B0A0D">
            <w:pPr>
              <w:pStyle w:val="ListParagraph"/>
              <w:ind w:firstLineChars="0" w:firstLine="0"/>
              <w:jc w:val="left"/>
            </w:pPr>
            <w:r>
              <w:rPr>
                <w:rFonts w:hint="eastAsia"/>
              </w:rPr>
              <w:t>MSE</w:t>
            </w:r>
          </w:p>
        </w:tc>
      </w:tr>
      <w:tr w:rsidR="001B0A0D" w:rsidTr="001B0A0D">
        <w:trPr>
          <w:jc w:val="center"/>
        </w:trPr>
        <w:tc>
          <w:tcPr>
            <w:tcW w:w="1517" w:type="dxa"/>
            <w:vMerge w:val="restart"/>
          </w:tcPr>
          <w:p w:rsidR="001B0A0D" w:rsidRDefault="001B0A0D" w:rsidP="00F44FCA">
            <w:pPr>
              <w:pStyle w:val="ListParagraph"/>
              <w:ind w:firstLineChars="0" w:firstLine="0"/>
              <w:jc w:val="left"/>
            </w:pPr>
            <w:r>
              <w:rPr>
                <w:rFonts w:hint="eastAsia"/>
              </w:rPr>
              <w:t>NY</w:t>
            </w:r>
          </w:p>
        </w:tc>
        <w:tc>
          <w:tcPr>
            <w:tcW w:w="2541" w:type="dxa"/>
          </w:tcPr>
          <w:p w:rsidR="001B0A0D" w:rsidRDefault="001B0A0D" w:rsidP="001B0A0D">
            <w:pPr>
              <w:pStyle w:val="ListParagraph"/>
              <w:ind w:firstLineChars="0" w:firstLine="0"/>
              <w:jc w:val="left"/>
            </w:pPr>
            <w:r>
              <w:t>Hamilton</w:t>
            </w:r>
          </w:p>
        </w:tc>
        <w:tc>
          <w:tcPr>
            <w:tcW w:w="1567" w:type="dxa"/>
          </w:tcPr>
          <w:p w:rsidR="001B0A0D" w:rsidRDefault="001B0A0D" w:rsidP="00F44FCA">
            <w:pPr>
              <w:pStyle w:val="ListParagraph"/>
              <w:ind w:firstLineChars="0" w:firstLine="0"/>
              <w:jc w:val="left"/>
            </w:pPr>
            <w:r>
              <w:rPr>
                <w:rFonts w:hint="eastAsia"/>
              </w:rPr>
              <w:t>041</w:t>
            </w:r>
          </w:p>
        </w:tc>
        <w:tc>
          <w:tcPr>
            <w:tcW w:w="2477" w:type="dxa"/>
          </w:tcPr>
          <w:p w:rsidR="001B0A0D" w:rsidRDefault="001B0A0D" w:rsidP="00F44FCA">
            <w:pPr>
              <w:pStyle w:val="ListParagraph"/>
              <w:ind w:firstLineChars="0" w:firstLine="0"/>
              <w:jc w:val="left"/>
            </w:pPr>
            <w:r>
              <w:t>0.13588796464149869</w:t>
            </w:r>
          </w:p>
        </w:tc>
      </w:tr>
      <w:tr w:rsidR="001B0A0D" w:rsidTr="001B0A0D">
        <w:trPr>
          <w:jc w:val="center"/>
        </w:trPr>
        <w:tc>
          <w:tcPr>
            <w:tcW w:w="1517" w:type="dxa"/>
            <w:vMerge/>
          </w:tcPr>
          <w:p w:rsidR="001B0A0D" w:rsidRDefault="001B0A0D" w:rsidP="00F44FCA">
            <w:pPr>
              <w:pStyle w:val="ListParagraph"/>
              <w:ind w:firstLineChars="0" w:firstLine="0"/>
              <w:jc w:val="left"/>
            </w:pPr>
          </w:p>
        </w:tc>
        <w:tc>
          <w:tcPr>
            <w:tcW w:w="2541" w:type="dxa"/>
          </w:tcPr>
          <w:p w:rsidR="001B0A0D" w:rsidRDefault="001B0A0D" w:rsidP="001B0A0D">
            <w:pPr>
              <w:pStyle w:val="ListParagraph"/>
              <w:ind w:firstLineChars="0" w:firstLine="0"/>
              <w:jc w:val="left"/>
            </w:pPr>
            <w:r>
              <w:t>Schoharie</w:t>
            </w:r>
          </w:p>
        </w:tc>
        <w:tc>
          <w:tcPr>
            <w:tcW w:w="1567" w:type="dxa"/>
          </w:tcPr>
          <w:p w:rsidR="001B0A0D" w:rsidRDefault="001B0A0D" w:rsidP="00F44FCA">
            <w:pPr>
              <w:pStyle w:val="ListParagraph"/>
              <w:ind w:firstLineChars="0" w:firstLine="0"/>
              <w:jc w:val="left"/>
            </w:pPr>
            <w:r>
              <w:t>095</w:t>
            </w:r>
          </w:p>
        </w:tc>
        <w:tc>
          <w:tcPr>
            <w:tcW w:w="2477" w:type="dxa"/>
          </w:tcPr>
          <w:p w:rsidR="001B0A0D" w:rsidRDefault="001B0A0D" w:rsidP="00F44FCA">
            <w:pPr>
              <w:pStyle w:val="ListParagraph"/>
              <w:ind w:firstLineChars="0" w:firstLine="0"/>
              <w:jc w:val="left"/>
            </w:pPr>
            <w:r>
              <w:t>0.11349735494302644</w:t>
            </w:r>
          </w:p>
        </w:tc>
      </w:tr>
      <w:tr w:rsidR="001B0A0D" w:rsidTr="001B0A0D">
        <w:trPr>
          <w:jc w:val="center"/>
        </w:trPr>
        <w:tc>
          <w:tcPr>
            <w:tcW w:w="1517" w:type="dxa"/>
            <w:vMerge/>
          </w:tcPr>
          <w:p w:rsidR="001B0A0D" w:rsidRDefault="001B0A0D" w:rsidP="007C475B">
            <w:pPr>
              <w:pStyle w:val="ListParagraph"/>
              <w:ind w:firstLineChars="0" w:firstLine="0"/>
              <w:jc w:val="left"/>
            </w:pPr>
          </w:p>
        </w:tc>
        <w:tc>
          <w:tcPr>
            <w:tcW w:w="2541" w:type="dxa"/>
          </w:tcPr>
          <w:p w:rsidR="001B0A0D" w:rsidRDefault="001B0A0D" w:rsidP="001B0A0D">
            <w:pPr>
              <w:pStyle w:val="ListParagraph"/>
              <w:ind w:firstLineChars="0" w:firstLine="0"/>
              <w:jc w:val="left"/>
            </w:pPr>
            <w:r>
              <w:t>Allegany</w:t>
            </w:r>
          </w:p>
        </w:tc>
        <w:tc>
          <w:tcPr>
            <w:tcW w:w="1567" w:type="dxa"/>
          </w:tcPr>
          <w:p w:rsidR="001B0A0D" w:rsidRDefault="001B0A0D" w:rsidP="007C475B">
            <w:pPr>
              <w:pStyle w:val="ListParagraph"/>
              <w:ind w:firstLineChars="0" w:firstLine="0"/>
              <w:jc w:val="left"/>
            </w:pPr>
            <w:r>
              <w:t>003</w:t>
            </w:r>
          </w:p>
        </w:tc>
        <w:tc>
          <w:tcPr>
            <w:tcW w:w="2477" w:type="dxa"/>
          </w:tcPr>
          <w:p w:rsidR="001B0A0D" w:rsidRDefault="001B0A0D" w:rsidP="007C475B">
            <w:pPr>
              <w:pStyle w:val="ListParagraph"/>
              <w:ind w:firstLineChars="0" w:firstLine="0"/>
              <w:jc w:val="left"/>
            </w:pPr>
            <w:r>
              <w:rPr>
                <w:rFonts w:hint="eastAsia"/>
              </w:rPr>
              <w:t>0.</w:t>
            </w:r>
            <w:r>
              <w:t>111050974957451</w:t>
            </w:r>
          </w:p>
        </w:tc>
      </w:tr>
      <w:tr w:rsidR="001B0A0D" w:rsidTr="001B0A0D">
        <w:trPr>
          <w:jc w:val="center"/>
        </w:trPr>
        <w:tc>
          <w:tcPr>
            <w:tcW w:w="1517" w:type="dxa"/>
            <w:vMerge w:val="restart"/>
          </w:tcPr>
          <w:p w:rsidR="001B0A0D" w:rsidRDefault="001B0A0D" w:rsidP="001B0A0D">
            <w:pPr>
              <w:pStyle w:val="ListParagraph"/>
              <w:ind w:firstLineChars="0" w:firstLine="0"/>
              <w:jc w:val="left"/>
            </w:pPr>
            <w:r>
              <w:rPr>
                <w:rFonts w:hint="eastAsia"/>
              </w:rPr>
              <w:t>CA</w:t>
            </w:r>
          </w:p>
        </w:tc>
        <w:tc>
          <w:tcPr>
            <w:tcW w:w="2541" w:type="dxa"/>
          </w:tcPr>
          <w:p w:rsidR="001B0A0D" w:rsidRDefault="001B0A0D" w:rsidP="001B0A0D">
            <w:pPr>
              <w:pStyle w:val="ListParagraph"/>
              <w:ind w:firstLineChars="0" w:firstLine="0"/>
              <w:jc w:val="left"/>
            </w:pPr>
            <w:r>
              <w:t>Modoc</w:t>
            </w:r>
          </w:p>
        </w:tc>
        <w:tc>
          <w:tcPr>
            <w:tcW w:w="1567" w:type="dxa"/>
          </w:tcPr>
          <w:p w:rsidR="001B0A0D" w:rsidRDefault="001B0A0D" w:rsidP="001B0A0D">
            <w:pPr>
              <w:pStyle w:val="ListParagraph"/>
              <w:ind w:firstLineChars="0" w:firstLine="0"/>
              <w:jc w:val="left"/>
            </w:pPr>
            <w:r>
              <w:t>049</w:t>
            </w:r>
          </w:p>
        </w:tc>
        <w:tc>
          <w:tcPr>
            <w:tcW w:w="2477" w:type="dxa"/>
          </w:tcPr>
          <w:p w:rsidR="001B0A0D" w:rsidRDefault="001B0A0D" w:rsidP="001B0A0D">
            <w:pPr>
              <w:pStyle w:val="ListParagraph"/>
              <w:ind w:firstLineChars="0" w:firstLine="0"/>
              <w:jc w:val="left"/>
            </w:pPr>
            <w:r>
              <w:t>0.12742915219576989</w:t>
            </w:r>
          </w:p>
        </w:tc>
      </w:tr>
      <w:tr w:rsidR="001B0A0D" w:rsidTr="001B0A0D">
        <w:trPr>
          <w:jc w:val="center"/>
        </w:trPr>
        <w:tc>
          <w:tcPr>
            <w:tcW w:w="1517" w:type="dxa"/>
            <w:vMerge/>
          </w:tcPr>
          <w:p w:rsidR="001B0A0D" w:rsidRDefault="001B0A0D" w:rsidP="001B0A0D">
            <w:pPr>
              <w:pStyle w:val="ListParagraph"/>
              <w:ind w:firstLineChars="0" w:firstLine="0"/>
              <w:jc w:val="left"/>
            </w:pPr>
          </w:p>
        </w:tc>
        <w:tc>
          <w:tcPr>
            <w:tcW w:w="2541" w:type="dxa"/>
          </w:tcPr>
          <w:p w:rsidR="001B0A0D" w:rsidRDefault="001B0A0D" w:rsidP="001B0A0D">
            <w:pPr>
              <w:pStyle w:val="ListParagraph"/>
              <w:ind w:firstLineChars="0" w:firstLine="0"/>
            </w:pPr>
            <w:r>
              <w:t>Siskiyou</w:t>
            </w:r>
          </w:p>
        </w:tc>
        <w:tc>
          <w:tcPr>
            <w:tcW w:w="1567" w:type="dxa"/>
          </w:tcPr>
          <w:p w:rsidR="001B0A0D" w:rsidRDefault="001B0A0D" w:rsidP="001B0A0D">
            <w:pPr>
              <w:pStyle w:val="ListParagraph"/>
              <w:ind w:firstLineChars="0" w:firstLine="0"/>
              <w:jc w:val="left"/>
            </w:pPr>
            <w:r>
              <w:t>093</w:t>
            </w:r>
          </w:p>
        </w:tc>
        <w:tc>
          <w:tcPr>
            <w:tcW w:w="2477" w:type="dxa"/>
          </w:tcPr>
          <w:p w:rsidR="001B0A0D" w:rsidRDefault="001B0A0D" w:rsidP="001B0A0D">
            <w:pPr>
              <w:pStyle w:val="ListParagraph"/>
              <w:ind w:firstLineChars="0" w:firstLine="0"/>
              <w:jc w:val="left"/>
            </w:pPr>
            <w:r>
              <w:t>0.11158637217716787</w:t>
            </w:r>
          </w:p>
        </w:tc>
      </w:tr>
      <w:tr w:rsidR="001B0A0D" w:rsidTr="001B0A0D">
        <w:trPr>
          <w:jc w:val="center"/>
        </w:trPr>
        <w:tc>
          <w:tcPr>
            <w:tcW w:w="1517" w:type="dxa"/>
            <w:vMerge/>
          </w:tcPr>
          <w:p w:rsidR="001B0A0D" w:rsidRDefault="001B0A0D" w:rsidP="001B0A0D">
            <w:pPr>
              <w:pStyle w:val="ListParagraph"/>
              <w:ind w:firstLineChars="0" w:firstLine="0"/>
              <w:jc w:val="left"/>
            </w:pPr>
          </w:p>
        </w:tc>
        <w:tc>
          <w:tcPr>
            <w:tcW w:w="2541" w:type="dxa"/>
          </w:tcPr>
          <w:p w:rsidR="001B0A0D" w:rsidRDefault="001B0A0D" w:rsidP="001B0A0D">
            <w:pPr>
              <w:pStyle w:val="ListParagraph"/>
              <w:ind w:firstLineChars="0" w:firstLine="0"/>
              <w:jc w:val="left"/>
            </w:pPr>
            <w:r>
              <w:t>Plumas</w:t>
            </w:r>
          </w:p>
        </w:tc>
        <w:tc>
          <w:tcPr>
            <w:tcW w:w="1567" w:type="dxa"/>
          </w:tcPr>
          <w:p w:rsidR="001B0A0D" w:rsidRDefault="001B0A0D" w:rsidP="001B0A0D">
            <w:pPr>
              <w:pStyle w:val="ListParagraph"/>
              <w:ind w:firstLineChars="0" w:firstLine="0"/>
              <w:jc w:val="left"/>
            </w:pPr>
            <w:r>
              <w:t>063</w:t>
            </w:r>
          </w:p>
        </w:tc>
        <w:tc>
          <w:tcPr>
            <w:tcW w:w="2477" w:type="dxa"/>
          </w:tcPr>
          <w:p w:rsidR="001B0A0D" w:rsidRDefault="001B0A0D" w:rsidP="001B0A0D">
            <w:pPr>
              <w:pStyle w:val="ListParagraph"/>
              <w:ind w:firstLineChars="0" w:firstLine="0"/>
              <w:jc w:val="left"/>
            </w:pPr>
            <w:r>
              <w:t>0.10153327126806813</w:t>
            </w:r>
          </w:p>
        </w:tc>
      </w:tr>
    </w:tbl>
    <w:p w:rsidR="007C475B" w:rsidRDefault="007C475B" w:rsidP="007C475B">
      <w:pPr>
        <w:pStyle w:val="ListParagraph"/>
        <w:ind w:left="420" w:firstLineChars="0" w:firstLine="0"/>
        <w:jc w:val="left"/>
      </w:pPr>
    </w:p>
    <w:p w:rsidR="001B0A0D" w:rsidRPr="001B0A0D" w:rsidRDefault="001B0A0D" w:rsidP="001B0A0D">
      <w:pPr>
        <w:pStyle w:val="ListParagraph"/>
        <w:ind w:left="420" w:firstLineChars="0" w:firstLine="0"/>
        <w:jc w:val="left"/>
      </w:pPr>
      <w:r>
        <w:rPr>
          <w:rFonts w:hint="eastAsia"/>
        </w:rPr>
        <w:t>Geographically speaking, the worst 3 countries in CA all locate at the north of CA, the worst 3 in NY just is scattered in NY.</w:t>
      </w:r>
    </w:p>
    <w:p w:rsidR="001B0A0D" w:rsidRDefault="001B0A0D" w:rsidP="001B0A0D">
      <w:pPr>
        <w:pStyle w:val="Caption"/>
        <w:keepNext/>
        <w:jc w:val="center"/>
      </w:pPr>
      <w:r>
        <w:rPr>
          <w:rFonts w:hint="eastAsia"/>
        </w:rPr>
        <w:t>Picture</w:t>
      </w:r>
      <w:r>
        <w:t xml:space="preserve"> </w:t>
      </w:r>
      <w:r>
        <w:rPr>
          <w:rFonts w:hint="eastAsia"/>
        </w:rPr>
        <w:t>1 Country map for CA(left) and NY(right) (yellow area indicates worst countries)</w:t>
      </w:r>
    </w:p>
    <w:p w:rsidR="001B0A0D" w:rsidRDefault="001B0A0D" w:rsidP="001B0A0D">
      <w:pPr>
        <w:pStyle w:val="ListParagraph"/>
        <w:ind w:left="420" w:firstLineChars="0" w:firstLine="0"/>
        <w:jc w:val="left"/>
      </w:pPr>
      <w:r>
        <w:rPr>
          <w:rFonts w:hint="eastAsia"/>
          <w:noProof/>
        </w:rPr>
        <w:drawing>
          <wp:inline distT="0" distB="0" distL="0" distR="0" wp14:anchorId="06B76373" wp14:editId="446EF1DE">
            <wp:extent cx="2437367" cy="2760453"/>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_wor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986" cy="2762286"/>
                    </a:xfrm>
                    <a:prstGeom prst="rect">
                      <a:avLst/>
                    </a:prstGeom>
                  </pic:spPr>
                </pic:pic>
              </a:graphicData>
            </a:graphic>
          </wp:inline>
        </w:drawing>
      </w:r>
      <w:r>
        <w:rPr>
          <w:rFonts w:hint="eastAsia"/>
          <w:noProof/>
        </w:rPr>
        <w:drawing>
          <wp:inline distT="0" distB="0" distL="0" distR="0" wp14:anchorId="1D095750" wp14:editId="0A675030">
            <wp:extent cx="2466911" cy="192369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_wor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1184" cy="1927022"/>
                    </a:xfrm>
                    <a:prstGeom prst="rect">
                      <a:avLst/>
                    </a:prstGeom>
                  </pic:spPr>
                </pic:pic>
              </a:graphicData>
            </a:graphic>
          </wp:inline>
        </w:drawing>
      </w:r>
    </w:p>
    <w:p w:rsidR="001B0A0D" w:rsidRDefault="001B0A0D" w:rsidP="007C475B">
      <w:pPr>
        <w:pStyle w:val="ListParagraph"/>
        <w:ind w:left="420" w:firstLineChars="0" w:firstLine="0"/>
        <w:jc w:val="left"/>
      </w:pPr>
    </w:p>
    <w:p w:rsidR="00082D9E" w:rsidRDefault="007F1F91" w:rsidP="00082D9E">
      <w:pPr>
        <w:pStyle w:val="ListParagraph"/>
        <w:ind w:left="420" w:firstLineChars="0" w:firstLine="0"/>
        <w:jc w:val="left"/>
      </w:pPr>
      <w:r>
        <w:rPr>
          <w:rFonts w:hint="eastAsia"/>
        </w:rPr>
        <w:t xml:space="preserve">The properties of these 6 countries may be quite different from that of CT. </w:t>
      </w:r>
      <w:r w:rsidR="00E24E03">
        <w:rPr>
          <w:rFonts w:hint="eastAsia"/>
        </w:rPr>
        <w:t>Say the mainstay industry, component of population and so on.</w:t>
      </w:r>
      <w:r w:rsidR="00082D9E">
        <w:rPr>
          <w:rFonts w:hint="eastAsia"/>
        </w:rPr>
        <w:t xml:space="preserve"> In fact, according to the Wikipedia, SK, MO, PM all are sightseeing countries, which is quite diverge to the financial state CT.</w:t>
      </w:r>
    </w:p>
    <w:p w:rsidR="001B0A0D" w:rsidRDefault="001B0A0D" w:rsidP="007C475B">
      <w:pPr>
        <w:pStyle w:val="ListParagraph"/>
        <w:ind w:left="420" w:firstLineChars="0" w:firstLine="0"/>
        <w:jc w:val="left"/>
        <w:rPr>
          <w:rFonts w:hint="eastAsia"/>
        </w:rPr>
      </w:pPr>
    </w:p>
    <w:p w:rsidR="003B37E5" w:rsidRDefault="003B37E5" w:rsidP="007C475B">
      <w:pPr>
        <w:pStyle w:val="ListParagraph"/>
        <w:ind w:left="420" w:firstLineChars="0" w:firstLine="0"/>
        <w:jc w:val="left"/>
        <w:rPr>
          <w:rFonts w:hint="eastAsia"/>
        </w:rPr>
      </w:pPr>
      <w:r>
        <w:rPr>
          <w:rFonts w:hint="eastAsia"/>
        </w:rPr>
        <w:t xml:space="preserve">My suggestion is to use other more similar data to train the model, rather than the data in CT. It will get a better performance on these </w:t>
      </w:r>
      <w:r>
        <w:t>“</w:t>
      </w:r>
      <w:r>
        <w:rPr>
          <w:rFonts w:hint="eastAsia"/>
        </w:rPr>
        <w:t>sightseeing</w:t>
      </w:r>
      <w:r>
        <w:t>”</w:t>
      </w:r>
      <w:r>
        <w:rPr>
          <w:rFonts w:hint="eastAsia"/>
        </w:rPr>
        <w:t xml:space="preserve"> countries.</w:t>
      </w:r>
      <w:bookmarkStart w:id="0" w:name="_GoBack"/>
      <w:bookmarkEnd w:id="0"/>
    </w:p>
    <w:p w:rsidR="00082D9E" w:rsidRPr="00082D9E" w:rsidRDefault="00082D9E" w:rsidP="007C475B">
      <w:pPr>
        <w:pStyle w:val="ListParagraph"/>
        <w:ind w:left="420" w:firstLineChars="0" w:firstLine="0"/>
        <w:jc w:val="left"/>
      </w:pPr>
    </w:p>
    <w:p w:rsidR="00B96FF5" w:rsidRPr="00DC58B4" w:rsidRDefault="00B96FF5" w:rsidP="00B96FF5">
      <w:pPr>
        <w:pStyle w:val="ListParagraph"/>
        <w:numPr>
          <w:ilvl w:val="0"/>
          <w:numId w:val="2"/>
        </w:numPr>
        <w:ind w:firstLineChars="0"/>
        <w:jc w:val="left"/>
        <w:rPr>
          <w:b/>
        </w:rPr>
      </w:pPr>
      <w:r w:rsidRPr="00DC58B4">
        <w:rPr>
          <w:b/>
        </w:rPr>
        <w:t>Calculate the variable importance scores for the random forest model. Describe the most important variables; does it make sense that these would help identify areas with a high proportion of high income earners?</w:t>
      </w:r>
    </w:p>
    <w:p w:rsidR="00844CB2" w:rsidRDefault="00844CB2" w:rsidP="00F50CF7">
      <w:pPr>
        <w:pStyle w:val="ListParagraph"/>
        <w:ind w:left="360" w:firstLineChars="0" w:firstLine="0"/>
        <w:jc w:val="left"/>
      </w:pPr>
    </w:p>
    <w:p w:rsidR="002D6AAA" w:rsidRDefault="005C14C4">
      <w:r>
        <w:rPr>
          <w:rFonts w:hint="eastAsia"/>
          <w:noProof/>
        </w:rPr>
        <w:lastRenderedPageBreak/>
        <w:drawing>
          <wp:inline distT="0" distB="0" distL="0" distR="0" wp14:anchorId="708A7F74" wp14:editId="0C48668D">
            <wp:extent cx="5274310" cy="3076575"/>
            <wp:effectExtent l="0" t="0" r="2159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D6AAA" w:rsidRDefault="00110EE4">
      <w:r>
        <w:rPr>
          <w:rFonts w:hint="eastAsia"/>
        </w:rPr>
        <w:t>It</w:t>
      </w:r>
      <w:r>
        <w:t>’</w:t>
      </w:r>
      <w:r>
        <w:rPr>
          <w:rFonts w:hint="eastAsia"/>
        </w:rPr>
        <w:t>s hard to distinguish the most important 3 features from the pie chart above. Actually there is not a dominated feature among these scores of features. However, if we quantify them, we get that CD04, CA01, CNS10 are 3 most important features. Their means are as follows,</w:t>
      </w:r>
    </w:p>
    <w:p w:rsidR="002D6AAA" w:rsidRDefault="002D6AAA"/>
    <w:p w:rsidR="00110EE4" w:rsidRDefault="00110EE4" w:rsidP="00110EE4">
      <w:pPr>
        <w:pStyle w:val="Caption"/>
        <w:keepNext/>
        <w:jc w:val="center"/>
      </w:pPr>
      <w:r>
        <w:t xml:space="preserve">Table </w:t>
      </w:r>
      <w:r w:rsidR="003B37E5">
        <w:fldChar w:fldCharType="begin"/>
      </w:r>
      <w:r w:rsidR="003B37E5">
        <w:instrText xml:space="preserve"> SEQ Table \* ARABIC </w:instrText>
      </w:r>
      <w:r w:rsidR="003B37E5">
        <w:fldChar w:fldCharType="separate"/>
      </w:r>
      <w:r w:rsidR="001B0A0D">
        <w:rPr>
          <w:noProof/>
        </w:rPr>
        <w:t>3</w:t>
      </w:r>
      <w:r w:rsidR="003B37E5">
        <w:rPr>
          <w:noProof/>
        </w:rPr>
        <w:fldChar w:fldCharType="end"/>
      </w:r>
      <w:r>
        <w:rPr>
          <w:rFonts w:hint="eastAsia"/>
        </w:rPr>
        <w:t xml:space="preserve"> Most important 3 features</w:t>
      </w:r>
    </w:p>
    <w:tbl>
      <w:tblPr>
        <w:tblStyle w:val="TableGrid"/>
        <w:tblW w:w="0" w:type="auto"/>
        <w:tblLook w:val="04A0" w:firstRow="1" w:lastRow="0" w:firstColumn="1" w:lastColumn="0" w:noHBand="0" w:noVBand="1"/>
      </w:tblPr>
      <w:tblGrid>
        <w:gridCol w:w="817"/>
        <w:gridCol w:w="4741"/>
        <w:gridCol w:w="2964"/>
      </w:tblGrid>
      <w:tr w:rsidR="002D6AAA" w:rsidTr="002D6AAA">
        <w:tc>
          <w:tcPr>
            <w:tcW w:w="817" w:type="dxa"/>
          </w:tcPr>
          <w:p w:rsidR="002D6AAA" w:rsidRDefault="002D6AAA">
            <w:r w:rsidRPr="002D6AAA">
              <w:t>CD04</w:t>
            </w:r>
          </w:p>
        </w:tc>
        <w:tc>
          <w:tcPr>
            <w:tcW w:w="4741" w:type="dxa"/>
          </w:tcPr>
          <w:p w:rsidR="002D6AAA" w:rsidRDefault="002D6AAA" w:rsidP="002D6AAA">
            <w:r>
              <w:t>Number of jobs for workers with Educational Attainment: Bachelor's degree or</w:t>
            </w:r>
          </w:p>
          <w:p w:rsidR="002D6AAA" w:rsidRDefault="002D6AAA" w:rsidP="002D6AAA">
            <w:r>
              <w:t>advanced degree</w:t>
            </w:r>
          </w:p>
        </w:tc>
        <w:tc>
          <w:tcPr>
            <w:tcW w:w="2964" w:type="dxa"/>
          </w:tcPr>
          <w:p w:rsidR="002D6AAA" w:rsidRDefault="002D6AAA">
            <w:r w:rsidRPr="002D6AAA">
              <w:t>0.12024425</w:t>
            </w:r>
          </w:p>
        </w:tc>
      </w:tr>
      <w:tr w:rsidR="002D6AAA" w:rsidTr="00F44FCA">
        <w:tc>
          <w:tcPr>
            <w:tcW w:w="817" w:type="dxa"/>
          </w:tcPr>
          <w:p w:rsidR="002D6AAA" w:rsidRDefault="002D6AAA" w:rsidP="00F44FCA">
            <w:r>
              <w:rPr>
                <w:rFonts w:hint="eastAsia"/>
              </w:rPr>
              <w:t>CA01</w:t>
            </w:r>
          </w:p>
        </w:tc>
        <w:tc>
          <w:tcPr>
            <w:tcW w:w="4741" w:type="dxa"/>
          </w:tcPr>
          <w:p w:rsidR="002D6AAA" w:rsidRDefault="002D6AAA" w:rsidP="00F44FCA">
            <w:r>
              <w:t>Number of jobs for workers age 29 or younger</w:t>
            </w:r>
          </w:p>
        </w:tc>
        <w:tc>
          <w:tcPr>
            <w:tcW w:w="2964" w:type="dxa"/>
          </w:tcPr>
          <w:p w:rsidR="002D6AAA" w:rsidRDefault="002D6AAA" w:rsidP="00F44FCA">
            <w:r w:rsidRPr="002D6AAA">
              <w:t>0.0920325</w:t>
            </w:r>
          </w:p>
        </w:tc>
      </w:tr>
      <w:tr w:rsidR="002D6AAA" w:rsidTr="002D6AAA">
        <w:tc>
          <w:tcPr>
            <w:tcW w:w="817" w:type="dxa"/>
          </w:tcPr>
          <w:p w:rsidR="002D6AAA" w:rsidRDefault="002D6AAA">
            <w:r w:rsidRPr="002D6AAA">
              <w:t>CNS10</w:t>
            </w:r>
          </w:p>
        </w:tc>
        <w:tc>
          <w:tcPr>
            <w:tcW w:w="4741" w:type="dxa"/>
          </w:tcPr>
          <w:p w:rsidR="002D6AAA" w:rsidRDefault="002D6AAA">
            <w:r>
              <w:t>Number of jobs in NAICS sector 52 (Finance and Insurance)</w:t>
            </w:r>
          </w:p>
        </w:tc>
        <w:tc>
          <w:tcPr>
            <w:tcW w:w="2964" w:type="dxa"/>
          </w:tcPr>
          <w:p w:rsidR="002D6AAA" w:rsidRDefault="002D6AAA">
            <w:r w:rsidRPr="002D6AAA">
              <w:t>0.05120127</w:t>
            </w:r>
          </w:p>
        </w:tc>
      </w:tr>
    </w:tbl>
    <w:p w:rsidR="00A57CFA" w:rsidRDefault="00A57CFA"/>
    <w:p w:rsidR="002D6AAA" w:rsidRDefault="00F070B5">
      <w:r>
        <w:rPr>
          <w:rFonts w:hint="eastAsia"/>
        </w:rPr>
        <w:t>It</w:t>
      </w:r>
      <w:r>
        <w:t>’</w:t>
      </w:r>
      <w:r>
        <w:rPr>
          <w:rFonts w:hint="eastAsia"/>
        </w:rPr>
        <w:t xml:space="preserve">s not </w:t>
      </w:r>
      <w:r>
        <w:t xml:space="preserve">surprising since the workers with higher </w:t>
      </w:r>
      <w:r>
        <w:rPr>
          <w:rFonts w:hint="eastAsia"/>
        </w:rPr>
        <w:t xml:space="preserve">education </w:t>
      </w:r>
      <w:r>
        <w:t>degree</w:t>
      </w:r>
      <w:r>
        <w:rPr>
          <w:rFonts w:hint="eastAsia"/>
        </w:rPr>
        <w:t xml:space="preserve">(CD04), young age(CA01) to be energetic and enthusiastic and working in finance and insurance usually can get a salary for more than $3333 per/month. </w:t>
      </w:r>
    </w:p>
    <w:p w:rsidR="002D6AAA" w:rsidRDefault="002D6AAA"/>
    <w:p w:rsidR="00A57CFA" w:rsidRDefault="00A57CFA"/>
    <w:sectPr w:rsidR="00A57CF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29E6"/>
    <w:multiLevelType w:val="hybridMultilevel"/>
    <w:tmpl w:val="7BEA4776"/>
    <w:lvl w:ilvl="0" w:tplc="0A329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A21C8A"/>
    <w:multiLevelType w:val="hybridMultilevel"/>
    <w:tmpl w:val="F884862E"/>
    <w:lvl w:ilvl="0" w:tplc="086A48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FA"/>
    <w:rsid w:val="00005BE9"/>
    <w:rsid w:val="00005FB8"/>
    <w:rsid w:val="00025645"/>
    <w:rsid w:val="000378BE"/>
    <w:rsid w:val="00073A34"/>
    <w:rsid w:val="00082D9E"/>
    <w:rsid w:val="000D236A"/>
    <w:rsid w:val="000E7B41"/>
    <w:rsid w:val="001013A9"/>
    <w:rsid w:val="00110EE4"/>
    <w:rsid w:val="0012597F"/>
    <w:rsid w:val="001410B6"/>
    <w:rsid w:val="00192E55"/>
    <w:rsid w:val="001A3B39"/>
    <w:rsid w:val="001A44AD"/>
    <w:rsid w:val="001B0A0D"/>
    <w:rsid w:val="001B7CA0"/>
    <w:rsid w:val="001F4E37"/>
    <w:rsid w:val="001F77BB"/>
    <w:rsid w:val="00206AC9"/>
    <w:rsid w:val="00237933"/>
    <w:rsid w:val="00245CB2"/>
    <w:rsid w:val="00260990"/>
    <w:rsid w:val="002945C3"/>
    <w:rsid w:val="002D6AAA"/>
    <w:rsid w:val="002E576D"/>
    <w:rsid w:val="0030150C"/>
    <w:rsid w:val="00313CBC"/>
    <w:rsid w:val="00322232"/>
    <w:rsid w:val="00342330"/>
    <w:rsid w:val="003477CF"/>
    <w:rsid w:val="0037796E"/>
    <w:rsid w:val="00384A01"/>
    <w:rsid w:val="003A5B59"/>
    <w:rsid w:val="003B37E5"/>
    <w:rsid w:val="003B49B9"/>
    <w:rsid w:val="003B712C"/>
    <w:rsid w:val="00416B6C"/>
    <w:rsid w:val="00461CBB"/>
    <w:rsid w:val="0048738E"/>
    <w:rsid w:val="004A3319"/>
    <w:rsid w:val="004E03D7"/>
    <w:rsid w:val="004F66FE"/>
    <w:rsid w:val="00502F93"/>
    <w:rsid w:val="005148EE"/>
    <w:rsid w:val="00536D1E"/>
    <w:rsid w:val="005C14C4"/>
    <w:rsid w:val="00646CD6"/>
    <w:rsid w:val="006B1708"/>
    <w:rsid w:val="006C0017"/>
    <w:rsid w:val="006F65B8"/>
    <w:rsid w:val="00707F46"/>
    <w:rsid w:val="00743FBA"/>
    <w:rsid w:val="0077417E"/>
    <w:rsid w:val="007831BF"/>
    <w:rsid w:val="00795585"/>
    <w:rsid w:val="007C475B"/>
    <w:rsid w:val="007F1F91"/>
    <w:rsid w:val="00844CB2"/>
    <w:rsid w:val="0088747A"/>
    <w:rsid w:val="008A2B28"/>
    <w:rsid w:val="00A01D71"/>
    <w:rsid w:val="00A14805"/>
    <w:rsid w:val="00A32ED3"/>
    <w:rsid w:val="00A57CFA"/>
    <w:rsid w:val="00A8206E"/>
    <w:rsid w:val="00AA05AF"/>
    <w:rsid w:val="00AB04E9"/>
    <w:rsid w:val="00AD0CF2"/>
    <w:rsid w:val="00B2209A"/>
    <w:rsid w:val="00B43706"/>
    <w:rsid w:val="00B96FF5"/>
    <w:rsid w:val="00BA23BA"/>
    <w:rsid w:val="00BA32CF"/>
    <w:rsid w:val="00BB631D"/>
    <w:rsid w:val="00C01B05"/>
    <w:rsid w:val="00C5730D"/>
    <w:rsid w:val="00C77018"/>
    <w:rsid w:val="00CB296E"/>
    <w:rsid w:val="00CC7BA4"/>
    <w:rsid w:val="00CF0FEE"/>
    <w:rsid w:val="00D03147"/>
    <w:rsid w:val="00D13733"/>
    <w:rsid w:val="00D57859"/>
    <w:rsid w:val="00D80987"/>
    <w:rsid w:val="00D969C4"/>
    <w:rsid w:val="00D97445"/>
    <w:rsid w:val="00DB68E1"/>
    <w:rsid w:val="00DC58B4"/>
    <w:rsid w:val="00E24E03"/>
    <w:rsid w:val="00E334FB"/>
    <w:rsid w:val="00E5620C"/>
    <w:rsid w:val="00E9493B"/>
    <w:rsid w:val="00EA5829"/>
    <w:rsid w:val="00EC5BC3"/>
    <w:rsid w:val="00EF3BD6"/>
    <w:rsid w:val="00F070B5"/>
    <w:rsid w:val="00F0756E"/>
    <w:rsid w:val="00F1708D"/>
    <w:rsid w:val="00F20AFC"/>
    <w:rsid w:val="00F36838"/>
    <w:rsid w:val="00F4355A"/>
    <w:rsid w:val="00F50CF7"/>
    <w:rsid w:val="00FD477A"/>
    <w:rsid w:val="00FE133B"/>
    <w:rsid w:val="00FE6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6FF5"/>
    <w:rPr>
      <w:sz w:val="16"/>
      <w:szCs w:val="16"/>
    </w:rPr>
  </w:style>
  <w:style w:type="character" w:customStyle="1" w:styleId="BalloonTextChar">
    <w:name w:val="Balloon Text Char"/>
    <w:basedOn w:val="DefaultParagraphFont"/>
    <w:link w:val="BalloonText"/>
    <w:uiPriority w:val="99"/>
    <w:semiHidden/>
    <w:rsid w:val="00B96FF5"/>
    <w:rPr>
      <w:sz w:val="16"/>
      <w:szCs w:val="16"/>
    </w:rPr>
  </w:style>
  <w:style w:type="paragraph" w:styleId="ListParagraph">
    <w:name w:val="List Paragraph"/>
    <w:basedOn w:val="Normal"/>
    <w:uiPriority w:val="34"/>
    <w:qFormat/>
    <w:rsid w:val="00B96FF5"/>
    <w:pPr>
      <w:ind w:firstLineChars="200" w:firstLine="420"/>
    </w:pPr>
  </w:style>
  <w:style w:type="paragraph" w:styleId="Caption">
    <w:name w:val="caption"/>
    <w:basedOn w:val="Normal"/>
    <w:next w:val="Normal"/>
    <w:uiPriority w:val="35"/>
    <w:unhideWhenUsed/>
    <w:qFormat/>
    <w:rsid w:val="00192E55"/>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6FF5"/>
    <w:rPr>
      <w:sz w:val="16"/>
      <w:szCs w:val="16"/>
    </w:rPr>
  </w:style>
  <w:style w:type="character" w:customStyle="1" w:styleId="BalloonTextChar">
    <w:name w:val="Balloon Text Char"/>
    <w:basedOn w:val="DefaultParagraphFont"/>
    <w:link w:val="BalloonText"/>
    <w:uiPriority w:val="99"/>
    <w:semiHidden/>
    <w:rsid w:val="00B96FF5"/>
    <w:rPr>
      <w:sz w:val="16"/>
      <w:szCs w:val="16"/>
    </w:rPr>
  </w:style>
  <w:style w:type="paragraph" w:styleId="ListParagraph">
    <w:name w:val="List Paragraph"/>
    <w:basedOn w:val="Normal"/>
    <w:uiPriority w:val="34"/>
    <w:qFormat/>
    <w:rsid w:val="00B96FF5"/>
    <w:pPr>
      <w:ind w:firstLineChars="200" w:firstLine="420"/>
    </w:pPr>
  </w:style>
  <w:style w:type="paragraph" w:styleId="Caption">
    <w:name w:val="caption"/>
    <w:basedOn w:val="Normal"/>
    <w:next w:val="Normal"/>
    <w:uiPriority w:val="35"/>
    <w:unhideWhenUsed/>
    <w:qFormat/>
    <w:rsid w:val="00192E5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sbo\Desktop\workspace\stat665\lab2\importance.csv"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a:t>Out of Bag Error vs # trees</a:t>
            </a:r>
          </a:p>
        </c:rich>
      </c:tx>
      <c:overlay val="0"/>
    </c:title>
    <c:autoTitleDeleted val="0"/>
    <c:plotArea>
      <c:layout/>
      <c:scatterChart>
        <c:scatterStyle val="lineMarker"/>
        <c:varyColors val="0"/>
        <c:ser>
          <c:idx val="0"/>
          <c:order val="0"/>
          <c:tx>
            <c:strRef>
              <c:f>importance!$B$1</c:f>
              <c:strCache>
                <c:ptCount val="1"/>
                <c:pt idx="0">
                  <c:v>OOB MSE</c:v>
                </c:pt>
              </c:strCache>
            </c:strRef>
          </c:tx>
          <c:spPr>
            <a:ln w="28575">
              <a:noFill/>
            </a:ln>
          </c:spPr>
          <c:trendline>
            <c:trendlineType val="poly"/>
            <c:order val="4"/>
            <c:dispRSqr val="0"/>
            <c:dispEq val="0"/>
          </c:trendline>
          <c:xVal>
            <c:numRef>
              <c:f>importance!$A$2:$A$56</c:f>
              <c:numCache>
                <c:formatCode>General</c:formatCode>
                <c:ptCount val="55"/>
                <c:pt idx="0">
                  <c:v>25</c:v>
                </c:pt>
                <c:pt idx="1">
                  <c:v>26</c:v>
                </c:pt>
                <c:pt idx="2">
                  <c:v>27</c:v>
                </c:pt>
                <c:pt idx="3">
                  <c:v>28</c:v>
                </c:pt>
                <c:pt idx="4">
                  <c:v>29</c:v>
                </c:pt>
                <c:pt idx="5">
                  <c:v>30</c:v>
                </c:pt>
                <c:pt idx="6">
                  <c:v>31</c:v>
                </c:pt>
                <c:pt idx="7">
                  <c:v>32</c:v>
                </c:pt>
                <c:pt idx="8">
                  <c:v>33</c:v>
                </c:pt>
                <c:pt idx="9">
                  <c:v>34</c:v>
                </c:pt>
                <c:pt idx="10">
                  <c:v>35</c:v>
                </c:pt>
                <c:pt idx="11">
                  <c:v>36</c:v>
                </c:pt>
                <c:pt idx="12">
                  <c:v>37</c:v>
                </c:pt>
                <c:pt idx="13">
                  <c:v>38</c:v>
                </c:pt>
                <c:pt idx="14">
                  <c:v>39</c:v>
                </c:pt>
                <c:pt idx="15">
                  <c:v>40</c:v>
                </c:pt>
                <c:pt idx="16">
                  <c:v>41</c:v>
                </c:pt>
                <c:pt idx="17">
                  <c:v>42</c:v>
                </c:pt>
                <c:pt idx="18">
                  <c:v>43</c:v>
                </c:pt>
                <c:pt idx="19">
                  <c:v>44</c:v>
                </c:pt>
                <c:pt idx="20">
                  <c:v>45</c:v>
                </c:pt>
                <c:pt idx="21">
                  <c:v>46</c:v>
                </c:pt>
                <c:pt idx="22">
                  <c:v>47</c:v>
                </c:pt>
                <c:pt idx="23">
                  <c:v>48</c:v>
                </c:pt>
                <c:pt idx="24">
                  <c:v>49</c:v>
                </c:pt>
                <c:pt idx="25">
                  <c:v>50</c:v>
                </c:pt>
                <c:pt idx="26">
                  <c:v>51</c:v>
                </c:pt>
                <c:pt idx="27">
                  <c:v>52</c:v>
                </c:pt>
                <c:pt idx="28">
                  <c:v>53</c:v>
                </c:pt>
                <c:pt idx="29">
                  <c:v>54</c:v>
                </c:pt>
                <c:pt idx="30">
                  <c:v>55</c:v>
                </c:pt>
                <c:pt idx="31">
                  <c:v>56</c:v>
                </c:pt>
                <c:pt idx="32">
                  <c:v>57</c:v>
                </c:pt>
                <c:pt idx="33">
                  <c:v>58</c:v>
                </c:pt>
                <c:pt idx="34">
                  <c:v>59</c:v>
                </c:pt>
                <c:pt idx="35">
                  <c:v>60</c:v>
                </c:pt>
                <c:pt idx="36">
                  <c:v>61</c:v>
                </c:pt>
                <c:pt idx="37">
                  <c:v>62</c:v>
                </c:pt>
                <c:pt idx="38">
                  <c:v>63</c:v>
                </c:pt>
                <c:pt idx="39">
                  <c:v>64</c:v>
                </c:pt>
                <c:pt idx="40">
                  <c:v>65</c:v>
                </c:pt>
                <c:pt idx="41">
                  <c:v>66</c:v>
                </c:pt>
                <c:pt idx="42">
                  <c:v>67</c:v>
                </c:pt>
                <c:pt idx="43">
                  <c:v>68</c:v>
                </c:pt>
                <c:pt idx="44">
                  <c:v>69</c:v>
                </c:pt>
                <c:pt idx="45">
                  <c:v>70</c:v>
                </c:pt>
                <c:pt idx="46">
                  <c:v>71</c:v>
                </c:pt>
                <c:pt idx="47">
                  <c:v>72</c:v>
                </c:pt>
                <c:pt idx="48">
                  <c:v>73</c:v>
                </c:pt>
                <c:pt idx="49">
                  <c:v>74</c:v>
                </c:pt>
                <c:pt idx="50">
                  <c:v>75</c:v>
                </c:pt>
                <c:pt idx="51">
                  <c:v>76</c:v>
                </c:pt>
                <c:pt idx="52">
                  <c:v>77</c:v>
                </c:pt>
                <c:pt idx="53">
                  <c:v>78</c:v>
                </c:pt>
                <c:pt idx="54">
                  <c:v>79</c:v>
                </c:pt>
              </c:numCache>
            </c:numRef>
          </c:xVal>
          <c:yVal>
            <c:numRef>
              <c:f>importance!$B$2:$B$56</c:f>
              <c:numCache>
                <c:formatCode>General</c:formatCode>
                <c:ptCount val="55"/>
                <c:pt idx="0">
                  <c:v>3.3395255989399998E-2</c:v>
                </c:pt>
                <c:pt idx="1">
                  <c:v>3.3416118119500002E-2</c:v>
                </c:pt>
                <c:pt idx="2">
                  <c:v>3.3033387009300003E-2</c:v>
                </c:pt>
                <c:pt idx="3">
                  <c:v>3.3063348960299999E-2</c:v>
                </c:pt>
                <c:pt idx="4">
                  <c:v>3.32256478355E-2</c:v>
                </c:pt>
                <c:pt idx="5">
                  <c:v>3.2976445063099998E-2</c:v>
                </c:pt>
                <c:pt idx="6">
                  <c:v>3.2989752381599999E-2</c:v>
                </c:pt>
                <c:pt idx="7">
                  <c:v>3.2749296069800003E-2</c:v>
                </c:pt>
                <c:pt idx="8">
                  <c:v>3.2765485134699998E-2</c:v>
                </c:pt>
                <c:pt idx="9">
                  <c:v>3.2592097889799998E-2</c:v>
                </c:pt>
                <c:pt idx="10">
                  <c:v>3.2533089647200003E-2</c:v>
                </c:pt>
                <c:pt idx="11">
                  <c:v>3.2534691969400002E-2</c:v>
                </c:pt>
                <c:pt idx="12">
                  <c:v>3.2457632005900003E-2</c:v>
                </c:pt>
                <c:pt idx="13">
                  <c:v>3.2380398996899998E-2</c:v>
                </c:pt>
                <c:pt idx="14">
                  <c:v>3.2451506617199997E-2</c:v>
                </c:pt>
                <c:pt idx="15">
                  <c:v>3.2293157557799997E-2</c:v>
                </c:pt>
                <c:pt idx="16">
                  <c:v>3.2268131467900002E-2</c:v>
                </c:pt>
                <c:pt idx="17">
                  <c:v>3.2307833288700002E-2</c:v>
                </c:pt>
                <c:pt idx="18">
                  <c:v>3.22248459719E-2</c:v>
                </c:pt>
                <c:pt idx="19">
                  <c:v>3.21293882911E-2</c:v>
                </c:pt>
                <c:pt idx="20">
                  <c:v>3.2117588091699997E-2</c:v>
                </c:pt>
                <c:pt idx="21">
                  <c:v>3.2033921040299999E-2</c:v>
                </c:pt>
                <c:pt idx="22">
                  <c:v>3.22341756572E-2</c:v>
                </c:pt>
                <c:pt idx="23">
                  <c:v>3.2023050276599997E-2</c:v>
                </c:pt>
                <c:pt idx="24">
                  <c:v>3.1955644435900002E-2</c:v>
                </c:pt>
                <c:pt idx="25">
                  <c:v>3.19620282767E-2</c:v>
                </c:pt>
                <c:pt idx="26">
                  <c:v>3.19475618743E-2</c:v>
                </c:pt>
                <c:pt idx="27">
                  <c:v>3.1915582606399998E-2</c:v>
                </c:pt>
                <c:pt idx="28">
                  <c:v>3.1895328714700001E-2</c:v>
                </c:pt>
                <c:pt idx="29">
                  <c:v>3.1740626812099999E-2</c:v>
                </c:pt>
                <c:pt idx="30">
                  <c:v>3.1947319721799997E-2</c:v>
                </c:pt>
                <c:pt idx="31">
                  <c:v>3.1809938812799997E-2</c:v>
                </c:pt>
                <c:pt idx="32">
                  <c:v>3.1692419191300003E-2</c:v>
                </c:pt>
                <c:pt idx="33">
                  <c:v>3.18885945576E-2</c:v>
                </c:pt>
                <c:pt idx="34">
                  <c:v>3.1813875443200003E-2</c:v>
                </c:pt>
                <c:pt idx="35">
                  <c:v>3.1739303499300001E-2</c:v>
                </c:pt>
                <c:pt idx="36">
                  <c:v>3.1673402891500002E-2</c:v>
                </c:pt>
                <c:pt idx="37">
                  <c:v>3.1682194378699999E-2</c:v>
                </c:pt>
                <c:pt idx="38">
                  <c:v>3.17098187346E-2</c:v>
                </c:pt>
                <c:pt idx="39">
                  <c:v>3.1764220238800003E-2</c:v>
                </c:pt>
                <c:pt idx="40">
                  <c:v>3.1735018001699998E-2</c:v>
                </c:pt>
                <c:pt idx="41">
                  <c:v>3.1464904835800001E-2</c:v>
                </c:pt>
                <c:pt idx="42">
                  <c:v>3.1613066056900001E-2</c:v>
                </c:pt>
                <c:pt idx="43">
                  <c:v>3.1517815765300002E-2</c:v>
                </c:pt>
                <c:pt idx="44">
                  <c:v>3.1653786379899997E-2</c:v>
                </c:pt>
                <c:pt idx="45">
                  <c:v>3.1568132444800001E-2</c:v>
                </c:pt>
                <c:pt idx="46">
                  <c:v>3.1615498933099999E-2</c:v>
                </c:pt>
                <c:pt idx="47">
                  <c:v>3.1542474474599999E-2</c:v>
                </c:pt>
                <c:pt idx="48">
                  <c:v>3.1505906153400001E-2</c:v>
                </c:pt>
                <c:pt idx="49">
                  <c:v>3.1527314562499999E-2</c:v>
                </c:pt>
                <c:pt idx="50">
                  <c:v>3.1719574822499999E-2</c:v>
                </c:pt>
                <c:pt idx="51">
                  <c:v>3.1467146472200003E-2</c:v>
                </c:pt>
                <c:pt idx="52">
                  <c:v>3.1471688396899997E-2</c:v>
                </c:pt>
                <c:pt idx="53">
                  <c:v>3.1515181307199998E-2</c:v>
                </c:pt>
                <c:pt idx="54">
                  <c:v>3.14955405625E-2</c:v>
                </c:pt>
              </c:numCache>
            </c:numRef>
          </c:yVal>
          <c:smooth val="0"/>
        </c:ser>
        <c:dLbls>
          <c:showLegendKey val="0"/>
          <c:showVal val="0"/>
          <c:showCatName val="0"/>
          <c:showSerName val="0"/>
          <c:showPercent val="0"/>
          <c:showBubbleSize val="0"/>
        </c:dLbls>
        <c:axId val="41494400"/>
        <c:axId val="41525248"/>
      </c:scatterChart>
      <c:valAx>
        <c:axId val="41494400"/>
        <c:scaling>
          <c:orientation val="minMax"/>
          <c:min val="20"/>
        </c:scaling>
        <c:delete val="0"/>
        <c:axPos val="b"/>
        <c:title>
          <c:tx>
            <c:rich>
              <a:bodyPr/>
              <a:lstStyle/>
              <a:p>
                <a:pPr>
                  <a:defRPr/>
                </a:pPr>
                <a:r>
                  <a:rPr lang="en-US" altLang="en-US"/>
                  <a:t>num</a:t>
                </a:r>
                <a:r>
                  <a:rPr lang="en-US" altLang="en-US" baseline="0"/>
                  <a:t> of trees</a:t>
                </a:r>
                <a:endParaRPr lang="en-US" altLang="en-US"/>
              </a:p>
            </c:rich>
          </c:tx>
          <c:overlay val="0"/>
        </c:title>
        <c:numFmt formatCode="General" sourceLinked="1"/>
        <c:majorTickMark val="out"/>
        <c:minorTickMark val="none"/>
        <c:tickLblPos val="nextTo"/>
        <c:crossAx val="41525248"/>
        <c:crosses val="autoZero"/>
        <c:crossBetween val="midCat"/>
      </c:valAx>
      <c:valAx>
        <c:axId val="41525248"/>
        <c:scaling>
          <c:orientation val="minMax"/>
        </c:scaling>
        <c:delete val="0"/>
        <c:axPos val="l"/>
        <c:majorGridlines/>
        <c:title>
          <c:tx>
            <c:rich>
              <a:bodyPr rot="-5400000" vert="horz"/>
              <a:lstStyle/>
              <a:p>
                <a:pPr>
                  <a:defRPr/>
                </a:pPr>
                <a:r>
                  <a:rPr lang="en-US" altLang="en-US"/>
                  <a:t>OOB MSE</a:t>
                </a:r>
              </a:p>
            </c:rich>
          </c:tx>
          <c:overlay val="0"/>
        </c:title>
        <c:numFmt formatCode="General" sourceLinked="1"/>
        <c:majorTickMark val="out"/>
        <c:minorTickMark val="none"/>
        <c:tickLblPos val="nextTo"/>
        <c:crossAx val="4149440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800" b="1" i="0" u="none" strike="noStrike" baseline="0">
                <a:effectLst/>
              </a:rPr>
              <a:t>OOB MSE for random forest</a:t>
            </a:r>
            <a:endParaRPr lang="en-US" altLang="en-US"/>
          </a:p>
        </c:rich>
      </c:tx>
      <c:overlay val="0"/>
    </c:title>
    <c:autoTitleDeleted val="0"/>
    <c:plotArea>
      <c:layout/>
      <c:barChart>
        <c:barDir val="col"/>
        <c:grouping val="clustered"/>
        <c:varyColors val="0"/>
        <c:ser>
          <c:idx val="0"/>
          <c:order val="0"/>
          <c:tx>
            <c:strRef>
              <c:f>Sheet1!$B$1</c:f>
              <c:strCache>
                <c:ptCount val="1"/>
                <c:pt idx="0">
                  <c:v>Out of bag error</c:v>
                </c:pt>
              </c:strCache>
            </c:strRef>
          </c:tx>
          <c:invertIfNegative val="0"/>
          <c:dLbls>
            <c:showLegendKey val="0"/>
            <c:showVal val="1"/>
            <c:showCatName val="0"/>
            <c:showSerName val="0"/>
            <c:showPercent val="0"/>
            <c:showBubbleSize val="0"/>
            <c:showLeaderLines val="0"/>
          </c:dLbls>
          <c:cat>
            <c:strRef>
              <c:f>Sheet1!$A$2:$A$5</c:f>
              <c:strCache>
                <c:ptCount val="4"/>
                <c:pt idx="0">
                  <c:v>CT</c:v>
                </c:pt>
                <c:pt idx="1">
                  <c:v>NY</c:v>
                </c:pt>
                <c:pt idx="2">
                  <c:v>CA</c:v>
                </c:pt>
                <c:pt idx="3">
                  <c:v>MT</c:v>
                </c:pt>
              </c:strCache>
            </c:strRef>
          </c:cat>
          <c:val>
            <c:numRef>
              <c:f>Sheet1!$B$2:$B$5</c:f>
              <c:numCache>
                <c:formatCode>General</c:formatCode>
                <c:ptCount val="4"/>
                <c:pt idx="0">
                  <c:v>3.1485015397E-2</c:v>
                </c:pt>
                <c:pt idx="1">
                  <c:v>3.9715150541799998E-2</c:v>
                </c:pt>
                <c:pt idx="2">
                  <c:v>3.3734070346199997E-2</c:v>
                </c:pt>
                <c:pt idx="3">
                  <c:v>6.6408280841199999E-2</c:v>
                </c:pt>
              </c:numCache>
            </c:numRef>
          </c:val>
        </c:ser>
        <c:dLbls>
          <c:showLegendKey val="0"/>
          <c:showVal val="0"/>
          <c:showCatName val="0"/>
          <c:showSerName val="0"/>
          <c:showPercent val="0"/>
          <c:showBubbleSize val="0"/>
        </c:dLbls>
        <c:gapWidth val="150"/>
        <c:axId val="108020096"/>
        <c:axId val="108021632"/>
      </c:barChart>
      <c:catAx>
        <c:axId val="108020096"/>
        <c:scaling>
          <c:orientation val="minMax"/>
        </c:scaling>
        <c:delete val="0"/>
        <c:axPos val="b"/>
        <c:majorTickMark val="out"/>
        <c:minorTickMark val="none"/>
        <c:tickLblPos val="nextTo"/>
        <c:crossAx val="108021632"/>
        <c:crosses val="autoZero"/>
        <c:auto val="1"/>
        <c:lblAlgn val="ctr"/>
        <c:lblOffset val="100"/>
        <c:noMultiLvlLbl val="0"/>
      </c:catAx>
      <c:valAx>
        <c:axId val="108021632"/>
        <c:scaling>
          <c:orientation val="minMax"/>
          <c:max val="8.0000000000000016E-2"/>
        </c:scaling>
        <c:delete val="0"/>
        <c:axPos val="l"/>
        <c:majorGridlines/>
        <c:numFmt formatCode="General" sourceLinked="1"/>
        <c:majorTickMark val="out"/>
        <c:minorTickMark val="none"/>
        <c:tickLblPos val="nextTo"/>
        <c:crossAx val="1080200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a:t>Compare</a:t>
            </a:r>
            <a:r>
              <a:rPr lang="en-US" altLang="en-US" baseline="0"/>
              <a:t> MSE between RF and LR</a:t>
            </a:r>
            <a:endParaRPr lang="en-US" altLang="en-US"/>
          </a:p>
        </c:rich>
      </c:tx>
      <c:overlay val="0"/>
    </c:title>
    <c:autoTitleDeleted val="0"/>
    <c:plotArea>
      <c:layout/>
      <c:barChart>
        <c:barDir val="col"/>
        <c:grouping val="clustered"/>
        <c:varyColors val="0"/>
        <c:ser>
          <c:idx val="0"/>
          <c:order val="0"/>
          <c:tx>
            <c:strRef>
              <c:f>Sheet1!$B$1</c:f>
              <c:strCache>
                <c:ptCount val="1"/>
                <c:pt idx="0">
                  <c:v>Random forest error</c:v>
                </c:pt>
              </c:strCache>
            </c:strRef>
          </c:tx>
          <c:invertIfNegative val="0"/>
          <c:cat>
            <c:strRef>
              <c:f>Sheet1!$A$2:$A$5</c:f>
              <c:strCache>
                <c:ptCount val="4"/>
                <c:pt idx="0">
                  <c:v>CT</c:v>
                </c:pt>
                <c:pt idx="1">
                  <c:v>NT</c:v>
                </c:pt>
                <c:pt idx="2">
                  <c:v>CA</c:v>
                </c:pt>
                <c:pt idx="3">
                  <c:v>MT</c:v>
                </c:pt>
              </c:strCache>
            </c:strRef>
          </c:cat>
          <c:val>
            <c:numRef>
              <c:f>Sheet1!$B$2:$B$5</c:f>
              <c:numCache>
                <c:formatCode>General</c:formatCode>
                <c:ptCount val="4"/>
                <c:pt idx="0">
                  <c:v>3.1485015397E-2</c:v>
                </c:pt>
                <c:pt idx="1">
                  <c:v>3.9715150541799998E-2</c:v>
                </c:pt>
                <c:pt idx="2">
                  <c:v>3.3734070346199997E-2</c:v>
                </c:pt>
                <c:pt idx="3">
                  <c:v>6.6408280841199999E-2</c:v>
                </c:pt>
              </c:numCache>
            </c:numRef>
          </c:val>
        </c:ser>
        <c:ser>
          <c:idx val="1"/>
          <c:order val="1"/>
          <c:tx>
            <c:strRef>
              <c:f>Sheet1!$C$1</c:f>
              <c:strCache>
                <c:ptCount val="1"/>
                <c:pt idx="0">
                  <c:v>Linear regression error</c:v>
                </c:pt>
              </c:strCache>
            </c:strRef>
          </c:tx>
          <c:invertIfNegative val="0"/>
          <c:cat>
            <c:strRef>
              <c:f>Sheet1!$A$2:$A$5</c:f>
              <c:strCache>
                <c:ptCount val="4"/>
                <c:pt idx="0">
                  <c:v>CT</c:v>
                </c:pt>
                <c:pt idx="1">
                  <c:v>NT</c:v>
                </c:pt>
                <c:pt idx="2">
                  <c:v>CA</c:v>
                </c:pt>
                <c:pt idx="3">
                  <c:v>MT</c:v>
                </c:pt>
              </c:strCache>
            </c:strRef>
          </c:cat>
          <c:val>
            <c:numRef>
              <c:f>Sheet1!$C$2:$C$5</c:f>
              <c:numCache>
                <c:formatCode>General</c:formatCode>
                <c:ptCount val="4"/>
                <c:pt idx="0">
                  <c:v>2.8916273383700002E-2</c:v>
                </c:pt>
                <c:pt idx="1">
                  <c:v>4.7018664566999997E-2</c:v>
                </c:pt>
                <c:pt idx="2">
                  <c:v>3.51268085334E-2</c:v>
                </c:pt>
                <c:pt idx="3">
                  <c:v>8.8955738492999994E-2</c:v>
                </c:pt>
              </c:numCache>
            </c:numRef>
          </c:val>
        </c:ser>
        <c:dLbls>
          <c:showLegendKey val="0"/>
          <c:showVal val="0"/>
          <c:showCatName val="0"/>
          <c:showSerName val="0"/>
          <c:showPercent val="0"/>
          <c:showBubbleSize val="0"/>
        </c:dLbls>
        <c:gapWidth val="150"/>
        <c:axId val="41372288"/>
        <c:axId val="41382272"/>
      </c:barChart>
      <c:catAx>
        <c:axId val="41372288"/>
        <c:scaling>
          <c:orientation val="minMax"/>
        </c:scaling>
        <c:delete val="0"/>
        <c:axPos val="b"/>
        <c:majorTickMark val="out"/>
        <c:minorTickMark val="none"/>
        <c:tickLblPos val="nextTo"/>
        <c:crossAx val="41382272"/>
        <c:crosses val="autoZero"/>
        <c:auto val="1"/>
        <c:lblAlgn val="ctr"/>
        <c:lblOffset val="100"/>
        <c:noMultiLvlLbl val="0"/>
      </c:catAx>
      <c:valAx>
        <c:axId val="41382272"/>
        <c:scaling>
          <c:orientation val="minMax"/>
        </c:scaling>
        <c:delete val="0"/>
        <c:axPos val="l"/>
        <c:majorGridlines/>
        <c:numFmt formatCode="General" sourceLinked="1"/>
        <c:majorTickMark val="out"/>
        <c:minorTickMark val="none"/>
        <c:tickLblPos val="nextTo"/>
        <c:crossAx val="4137228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5.288270717204796E-2"/>
          <c:y val="0.17344352079829031"/>
          <c:w val="0.45664308996459702"/>
          <c:h val="0.78153771719329923"/>
        </c:manualLayout>
      </c:layout>
      <c:pieChart>
        <c:varyColors val="1"/>
        <c:ser>
          <c:idx val="0"/>
          <c:order val="0"/>
          <c:tx>
            <c:strRef>
              <c:f>Sheet1!$B$1</c:f>
              <c:strCache>
                <c:ptCount val="1"/>
                <c:pt idx="0">
                  <c:v>Importance</c:v>
                </c:pt>
              </c:strCache>
            </c:strRef>
          </c:tx>
          <c:explosion val="25"/>
          <c:cat>
            <c:strRef>
              <c:f>Sheet1!$A$2:$A$38</c:f>
              <c:strCache>
                <c:ptCount val="37"/>
                <c:pt idx="0">
                  <c:v>CS02</c:v>
                </c:pt>
                <c:pt idx="1">
                  <c:v>CA01</c:v>
                </c:pt>
                <c:pt idx="2">
                  <c:v>CA02</c:v>
                </c:pt>
                <c:pt idx="3">
                  <c:v>CS01</c:v>
                </c:pt>
                <c:pt idx="4">
                  <c:v>CNS03</c:v>
                </c:pt>
                <c:pt idx="5">
                  <c:v>CNS02</c:v>
                </c:pt>
                <c:pt idx="6">
                  <c:v>CNS01</c:v>
                </c:pt>
                <c:pt idx="7">
                  <c:v>CNS07</c:v>
                </c:pt>
                <c:pt idx="8">
                  <c:v>CNS06</c:v>
                </c:pt>
                <c:pt idx="9">
                  <c:v>CNS05</c:v>
                </c:pt>
                <c:pt idx="10">
                  <c:v>CNS04</c:v>
                </c:pt>
                <c:pt idx="11">
                  <c:v>CNS09</c:v>
                </c:pt>
                <c:pt idx="12">
                  <c:v>CNS08</c:v>
                </c:pt>
                <c:pt idx="13">
                  <c:v>CNS17</c:v>
                </c:pt>
                <c:pt idx="14">
                  <c:v>CD01</c:v>
                </c:pt>
                <c:pt idx="15">
                  <c:v>CD03</c:v>
                </c:pt>
                <c:pt idx="16">
                  <c:v>CD02</c:v>
                </c:pt>
                <c:pt idx="17">
                  <c:v>CD04</c:v>
                </c:pt>
                <c:pt idx="18">
                  <c:v>CT01</c:v>
                </c:pt>
                <c:pt idx="19">
                  <c:v>CT02</c:v>
                </c:pt>
                <c:pt idx="20">
                  <c:v>CR07</c:v>
                </c:pt>
                <c:pt idx="21">
                  <c:v>CR05</c:v>
                </c:pt>
                <c:pt idx="22">
                  <c:v>CR04</c:v>
                </c:pt>
                <c:pt idx="23">
                  <c:v>CNS18</c:v>
                </c:pt>
                <c:pt idx="24">
                  <c:v>CR02</c:v>
                </c:pt>
                <c:pt idx="25">
                  <c:v>CR01</c:v>
                </c:pt>
                <c:pt idx="26">
                  <c:v>CNS14</c:v>
                </c:pt>
                <c:pt idx="27">
                  <c:v>CNS15</c:v>
                </c:pt>
                <c:pt idx="28">
                  <c:v>CNS16</c:v>
                </c:pt>
                <c:pt idx="29">
                  <c:v>CA03</c:v>
                </c:pt>
                <c:pt idx="30">
                  <c:v>CNS10</c:v>
                </c:pt>
                <c:pt idx="31">
                  <c:v>CNS11</c:v>
                </c:pt>
                <c:pt idx="32">
                  <c:v>CNS12</c:v>
                </c:pt>
                <c:pt idx="33">
                  <c:v>CNS13</c:v>
                </c:pt>
                <c:pt idx="34">
                  <c:v>CNS20</c:v>
                </c:pt>
                <c:pt idx="35">
                  <c:v>CR03</c:v>
                </c:pt>
                <c:pt idx="36">
                  <c:v>CNS19</c:v>
                </c:pt>
              </c:strCache>
            </c:strRef>
          </c:cat>
          <c:val>
            <c:numRef>
              <c:f>Sheet1!$B$2:$B$38</c:f>
              <c:numCache>
                <c:formatCode>General</c:formatCode>
                <c:ptCount val="37"/>
                <c:pt idx="0">
                  <c:v>3.7153110000000003E-2</c:v>
                </c:pt>
                <c:pt idx="1">
                  <c:v>9.2032500000000003E-2</c:v>
                </c:pt>
                <c:pt idx="2">
                  <c:v>3.5512839999999997E-2</c:v>
                </c:pt>
                <c:pt idx="3">
                  <c:v>3.5848240000000003E-2</c:v>
                </c:pt>
                <c:pt idx="4">
                  <c:v>4.0421600000000004E-3</c:v>
                </c:pt>
                <c:pt idx="5">
                  <c:v>6.6691999999999999E-4</c:v>
                </c:pt>
                <c:pt idx="6">
                  <c:v>4.57997E-3</c:v>
                </c:pt>
                <c:pt idx="7">
                  <c:v>3.3157850000000003E-2</c:v>
                </c:pt>
                <c:pt idx="8">
                  <c:v>1.8066849999999999E-2</c:v>
                </c:pt>
                <c:pt idx="9">
                  <c:v>3.1936359999999997E-2</c:v>
                </c:pt>
                <c:pt idx="10">
                  <c:v>1.7069609999999999E-2</c:v>
                </c:pt>
                <c:pt idx="11">
                  <c:v>1.2728160000000001E-2</c:v>
                </c:pt>
                <c:pt idx="12">
                  <c:v>1.3291330000000001E-2</c:v>
                </c:pt>
                <c:pt idx="13">
                  <c:v>1.7114190000000001E-2</c:v>
                </c:pt>
                <c:pt idx="14">
                  <c:v>2.2733509999999998E-2</c:v>
                </c:pt>
                <c:pt idx="15">
                  <c:v>3.2384499999999997E-2</c:v>
                </c:pt>
                <c:pt idx="16">
                  <c:v>2.761417E-2</c:v>
                </c:pt>
                <c:pt idx="17">
                  <c:v>0.12024425</c:v>
                </c:pt>
                <c:pt idx="18">
                  <c:v>3.917226E-2</c:v>
                </c:pt>
                <c:pt idx="19">
                  <c:v>3.1170489999999999E-2</c:v>
                </c:pt>
                <c:pt idx="20">
                  <c:v>6.4073699999999999E-3</c:v>
                </c:pt>
                <c:pt idx="21">
                  <c:v>6.4661999999999999E-4</c:v>
                </c:pt>
                <c:pt idx="22">
                  <c:v>9.8246300000000009E-3</c:v>
                </c:pt>
                <c:pt idx="23">
                  <c:v>4.4729140000000001E-2</c:v>
                </c:pt>
                <c:pt idx="24">
                  <c:v>2.925293E-2</c:v>
                </c:pt>
                <c:pt idx="25">
                  <c:v>2.561536E-2</c:v>
                </c:pt>
                <c:pt idx="26">
                  <c:v>2.2626159999999999E-2</c:v>
                </c:pt>
                <c:pt idx="27">
                  <c:v>3.121968E-2</c:v>
                </c:pt>
                <c:pt idx="28">
                  <c:v>3.1828719999999998E-2</c:v>
                </c:pt>
                <c:pt idx="29">
                  <c:v>2.848009E-2</c:v>
                </c:pt>
                <c:pt idx="30">
                  <c:v>5.120127E-2</c:v>
                </c:pt>
                <c:pt idx="31">
                  <c:v>7.7019599999999999E-3</c:v>
                </c:pt>
                <c:pt idx="32">
                  <c:v>2.765915E-2</c:v>
                </c:pt>
                <c:pt idx="33">
                  <c:v>1.412886E-2</c:v>
                </c:pt>
                <c:pt idx="34">
                  <c:v>1.9639230000000001E-2</c:v>
                </c:pt>
                <c:pt idx="35">
                  <c:v>2.1124999999999998E-3</c:v>
                </c:pt>
                <c:pt idx="36">
                  <c:v>2.0407060000000001E-2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5061186854217814"/>
          <c:y val="0.19101028370291237"/>
          <c:w val="0.43445322705718858"/>
          <c:h val="0.7457162061676240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sbo</dc:creator>
  <cp:lastModifiedBy>sbo</cp:lastModifiedBy>
  <cp:revision>15</cp:revision>
  <dcterms:created xsi:type="dcterms:W3CDTF">2016-02-18T18:40:00Z</dcterms:created>
  <dcterms:modified xsi:type="dcterms:W3CDTF">2016-02-19T01:52:00Z</dcterms:modified>
</cp:coreProperties>
</file>