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A1A1A"/>
          <w:sz w:val="34"/>
          <w:szCs w:val="34"/>
        </w:rPr>
        <w:t xml:space="preserve">Interim Rate in the President's Chair, by Carnegie Tier</w:t>
      </w:r>
    </w:p>
    <w:p>
      <w:pPr>
        <w:spacing w:after="40"/>
      </w:pPr>
      <w:r>
        <w:rPr>
          <w:color w:val="5A5A5A"/>
          <w:sz w:val="22"/>
          <w:szCs w:val="22"/>
        </w:rPr>
        <w:t xml:space="preserve">And whether it tracks the business-school dean rate inside the same university</w:t>
      </w:r>
    </w:p>
    <w:p>
      <w:pPr>
        <w:pBdr>
          <w:bottom w:val="single" w:color="C8C8C8" w:sz="6" w:space="1"/>
        </w:pBdr>
        <w:spacing w:after="240" w:before="40"/>
      </w:pPr>
      <w:r>
        <w:rPr>
          <w:color w:val="1A1A1A"/>
          <w:sz w:val="21"/>
          <w:szCs w:val="21"/>
        </w:rPr>
        <w:t xml:space="preserve"/>
      </w:r>
    </w:p>
    <w:p>
      <w:pPr>
        <w:pStyle w:val="Heading1"/>
        <w:spacing w:after="160" w:before="360"/>
      </w:pPr>
      <w:r>
        <w:rPr>
          <w:b/>
          <w:bCs/>
          <w:color w:val="1A1A1A"/>
          <w:sz w:val="26"/>
          <w:szCs w:val="26"/>
        </w:rPr>
        <w:t xml:space="preserve">Summary</w:t>
      </w:r>
    </w:p>
    <w:p>
      <w:pPr>
        <w:spacing w:after="160" w:line="276"/>
      </w:pPr>
      <w:r>
        <w:rPr>
          <w:color w:val="1A1A1A"/>
          <w:sz w:val="21"/>
          <w:szCs w:val="21"/>
        </w:rPr>
        <w:t xml:space="preserve">Across appointments starting in 1996 or later, R1 and R2 institutions fill the president's chair on an interim basis at effectively the same rate — about 28% of all appointments. R3 sits roughly eight points lower at 19.9%, but about half of that gap is sector rather than tier: R3 is four-fifths private in this corpus, and private institutions run lower in every tier.</w:t>
      </w:r>
    </w:p>
    <w:p>
      <w:pPr>
        <w:spacing w:after="160" w:line="276"/>
      </w:pPr>
      <w:r>
        <w:rPr>
          <w:color w:val="1A1A1A"/>
          <w:sz w:val="21"/>
          <w:szCs w:val="21"/>
        </w:rPr>
        <w:t xml:space="preserve">Within a university, the president rate and the business-school dean rate do not track as an institutional trait. They do track in time. A dean appointed while the president's chair is itself interim is interim 45.8% of the time, against 31.0% under a sitting president. Interim leadership behaves like a synchronised event, not a standing disposition.</w:t>
      </w:r>
    </w:p>
    <w:p>
      <w:pPr>
        <w:pStyle w:val="Heading1"/>
        <w:spacing w:after="160" w:before="360"/>
      </w:pPr>
      <w:r>
        <w:rPr>
          <w:b/>
          <w:bCs/>
          <w:color w:val="1A1A1A"/>
          <w:sz w:val="26"/>
          <w:szCs w:val="26"/>
        </w:rPr>
        <w:t xml:space="preserve">Interim rate by tier</w:t>
      </w:r>
    </w:p>
    <w:p>
      <w:pPr>
        <w:spacing w:after="160" w:line="276"/>
      </w:pPr>
      <w:r>
        <w:rPr>
          <w:color w:val="1A1A1A"/>
          <w:sz w:val="21"/>
          <w:szCs w:val="21"/>
        </w:rPr>
        <w:t xml:space="preserve">Interim share of chief-executive appointments starting 1996 or later.</w:t>
      </w:r>
    </w:p>
    <w:tbl>
      <w:tblPr>
        <w:tblW w:type="dxa" w:w="9360"/>
        <w:tblBorders>
          <w:top w:val="single" w:color="C8C8C8" w:sz="2"/>
          <w:left w:val="none" w:color="FFFFFF" w:sz="0"/>
          <w:bottom w:val="single" w:color="C8C8C8" w:sz="2"/>
          <w:right w:val="none" w:color="FFFFFF" w:sz="0"/>
          <w:insideH w:val="single" w:color="C8C8C8" w:sz="2"/>
          <w:insideV w:val="none" w:color="FFFFFF" w:sz="0"/>
        </w:tblBorders>
      </w:tblPr>
      <w:tblGrid>
        <w:gridCol w:w="1560"/>
        <w:gridCol w:w="1560"/>
        <w:gridCol w:w="1400"/>
        <w:gridCol w:w="1200"/>
        <w:gridCol w:w="1240"/>
        <w:gridCol w:w="1200"/>
        <w:gridCol w:w="1200"/>
      </w:tblGrid>
      <w:tr>
        <w:trPr>
          <w:tblHeader/>
        </w:trPr>
        <w:tc>
          <w:tcPr>
            <w:tcW w:type="dxa" w:w="1560"/>
            <w:shd w:fill="EFEFEF" w:color="auto" w:val="clear"/>
            <w:tcMar>
              <w:top w:type="dxa" w:w="80"/>
              <w:left w:type="dxa" w:w="120"/>
              <w:bottom w:type="dxa" w:w="80"/>
              <w:right w:type="dxa" w:w="120"/>
            </w:tcMar>
          </w:tcPr>
          <w:p>
            <w:pPr>
              <w:spacing w:after="0" w:line="252"/>
              <w:jc w:val="left"/>
            </w:pPr>
            <w:r>
              <w:rPr>
                <w:b/>
                <w:bCs/>
                <w:color w:val="1A1A1A"/>
                <w:sz w:val="20"/>
                <w:szCs w:val="20"/>
              </w:rPr>
              <w:t xml:space="preserve">Tier</w:t>
            </w:r>
          </w:p>
        </w:tc>
        <w:tc>
          <w:tcPr>
            <w:tcW w:type="dxa" w:w="15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Institutions</w:t>
            </w:r>
          </w:p>
        </w:tc>
        <w:tc>
          <w:tcPr>
            <w:tcW w:type="dxa" w:w="1400"/>
            <w:shd w:fill="EFEFEF" w:color="auto" w:val="clear"/>
            <w:tcMar>
              <w:top w:type="dxa" w:w="80"/>
              <w:left w:type="dxa" w:w="120"/>
              <w:bottom w:type="dxa" w:w="80"/>
              <w:right w:type="dxa" w:w="120"/>
            </w:tcMar>
          </w:tcPr>
          <w:p>
            <w:pPr>
              <w:spacing w:after="0" w:line="252"/>
              <w:jc w:val="right"/>
            </w:pPr>
            <w:r>
              <w:rPr>
                <w:b/>
                <w:bCs/>
                <w:color w:val="1A1A1A"/>
                <w:sz w:val="20"/>
                <w:szCs w:val="20"/>
              </w:rPr>
              <w:t xml:space="preserve">Appointments</w:t>
            </w:r>
          </w:p>
        </w:tc>
        <w:tc>
          <w:tcPr>
            <w:tcW w:type="dxa" w:w="1200"/>
            <w:shd w:fill="EFEFEF" w:color="auto" w:val="clear"/>
            <w:tcMar>
              <w:top w:type="dxa" w:w="80"/>
              <w:left w:type="dxa" w:w="120"/>
              <w:bottom w:type="dxa" w:w="80"/>
              <w:right w:type="dxa" w:w="120"/>
            </w:tcMar>
          </w:tcPr>
          <w:p>
            <w:pPr>
              <w:spacing w:after="0" w:line="252"/>
              <w:jc w:val="right"/>
            </w:pPr>
            <w:r>
              <w:rPr>
                <w:b/>
                <w:bCs/>
                <w:color w:val="1A1A1A"/>
                <w:sz w:val="20"/>
                <w:szCs w:val="20"/>
              </w:rPr>
              <w:t xml:space="preserve">Interim</w:t>
            </w:r>
          </w:p>
        </w:tc>
        <w:tc>
          <w:tcPr>
            <w:tcW w:type="dxa" w:w="1240"/>
            <w:shd w:fill="EFEFEF" w:color="auto" w:val="clear"/>
            <w:tcMar>
              <w:top w:type="dxa" w:w="80"/>
              <w:left w:type="dxa" w:w="120"/>
              <w:bottom w:type="dxa" w:w="80"/>
              <w:right w:type="dxa" w:w="120"/>
            </w:tcMar>
          </w:tcPr>
          <w:p>
            <w:pPr>
              <w:spacing w:after="0" w:line="252"/>
              <w:jc w:val="right"/>
            </w:pPr>
            <w:r>
              <w:rPr>
                <w:b/>
                <w:bCs/>
                <w:color w:val="1A1A1A"/>
                <w:sz w:val="20"/>
                <w:szCs w:val="20"/>
              </w:rPr>
              <w:t xml:space="preserve">Rate</w:t>
            </w:r>
          </w:p>
        </w:tc>
        <w:tc>
          <w:tcPr>
            <w:tcW w:type="dxa" w:w="1200"/>
            <w:shd w:fill="EFEFEF" w:color="auto" w:val="clear"/>
            <w:tcMar>
              <w:top w:type="dxa" w:w="80"/>
              <w:left w:type="dxa" w:w="120"/>
              <w:bottom w:type="dxa" w:w="80"/>
              <w:right w:type="dxa" w:w="120"/>
            </w:tcMar>
          </w:tcPr>
          <w:p>
            <w:pPr>
              <w:spacing w:after="0" w:line="252"/>
              <w:jc w:val="right"/>
            </w:pPr>
            <w:r>
              <w:rPr>
                <w:b/>
                <w:bCs/>
                <w:color w:val="1A1A1A"/>
                <w:sz w:val="20"/>
                <w:szCs w:val="20"/>
              </w:rPr>
              <w:t xml:space="preserve">95% CI</w:t>
            </w:r>
          </w:p>
        </w:tc>
        <w:tc>
          <w:tcPr>
            <w:tcW w:type="dxa" w:w="1200"/>
            <w:shd w:fill="EFEFEF" w:color="auto" w:val="clear"/>
            <w:tcMar>
              <w:top w:type="dxa" w:w="80"/>
              <w:left w:type="dxa" w:w="120"/>
              <w:bottom w:type="dxa" w:w="80"/>
              <w:right w:type="dxa" w:w="120"/>
            </w:tcMar>
          </w:tcPr>
          <w:p>
            <w:pPr>
              <w:spacing w:after="0" w:line="252"/>
              <w:jc w:val="right"/>
            </w:pPr>
            <w:r>
              <w:rPr>
                <w:b/>
                <w:bCs/>
                <w:color w:val="1A1A1A"/>
                <w:sz w:val="20"/>
                <w:szCs w:val="20"/>
              </w:rPr>
              <w:t xml:space="preserve">Standardised</w:t>
            </w:r>
          </w:p>
        </w:tc>
      </w:tr>
      <w:tr>
        <w:tc>
          <w:tcPr>
            <w:tcW w:type="dxa" w:w="1560"/>
            <w:tcMar>
              <w:top w:type="dxa" w:w="80"/>
              <w:left w:type="dxa" w:w="120"/>
              <w:bottom w:type="dxa" w:w="80"/>
              <w:right w:type="dxa" w:w="120"/>
            </w:tcMar>
          </w:tcPr>
          <w:p>
            <w:pPr>
              <w:spacing w:after="0" w:line="252"/>
              <w:jc w:val="left"/>
            </w:pPr>
            <w:r>
              <w:rPr>
                <w:b w:val="false"/>
                <w:bCs w:val="false"/>
                <w:color w:val="1A1A1A"/>
                <w:sz w:val="20"/>
                <w:szCs w:val="20"/>
              </w:rPr>
              <w:t xml:space="preserve">R1</w:t>
            </w:r>
          </w:p>
        </w:tc>
        <w:tc>
          <w:tcPr>
            <w:tcW w:type="dxa" w:w="1560"/>
            <w:tcMar>
              <w:top w:type="dxa" w:w="80"/>
              <w:left w:type="dxa" w:w="120"/>
              <w:bottom w:type="dxa" w:w="80"/>
              <w:right w:type="dxa" w:w="120"/>
            </w:tcMar>
          </w:tcPr>
          <w:p>
            <w:pPr>
              <w:spacing w:after="0" w:line="252"/>
              <w:jc w:val="right"/>
            </w:pPr>
            <w:r>
              <w:rPr>
                <w:b w:val="false"/>
                <w:bCs w:val="false"/>
                <w:color w:val="1A1A1A"/>
                <w:sz w:val="20"/>
                <w:szCs w:val="20"/>
              </w:rPr>
              <w:t xml:space="preserve">160</w:t>
            </w:r>
          </w:p>
        </w:tc>
        <w:tc>
          <w:tcPr>
            <w:tcW w:type="dxa" w:w="1400"/>
            <w:tcMar>
              <w:top w:type="dxa" w:w="80"/>
              <w:left w:type="dxa" w:w="120"/>
              <w:bottom w:type="dxa" w:w="80"/>
              <w:right w:type="dxa" w:w="120"/>
            </w:tcMar>
          </w:tcPr>
          <w:p>
            <w:pPr>
              <w:spacing w:after="0" w:line="252"/>
              <w:jc w:val="right"/>
            </w:pPr>
            <w:r>
              <w:rPr>
                <w:b w:val="false"/>
                <w:bCs w:val="false"/>
                <w:color w:val="1A1A1A"/>
                <w:sz w:val="20"/>
                <w:szCs w:val="20"/>
              </w:rPr>
              <w:t xml:space="preserve">741</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206</w:t>
            </w:r>
          </w:p>
        </w:tc>
        <w:tc>
          <w:tcPr>
            <w:tcW w:type="dxa" w:w="1240"/>
            <w:tcMar>
              <w:top w:type="dxa" w:w="80"/>
              <w:left w:type="dxa" w:w="120"/>
              <w:bottom w:type="dxa" w:w="80"/>
              <w:right w:type="dxa" w:w="120"/>
            </w:tcMar>
          </w:tcPr>
          <w:p>
            <w:pPr>
              <w:spacing w:after="0" w:line="252"/>
              <w:jc w:val="right"/>
            </w:pPr>
            <w:r>
              <w:rPr>
                <w:b/>
                <w:bCs/>
                <w:color w:val="1A1A1A"/>
                <w:sz w:val="20"/>
                <w:szCs w:val="20"/>
              </w:rPr>
              <w:t xml:space="preserve">27.8%</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24.7–31.1%</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27.2%</w:t>
            </w:r>
          </w:p>
        </w:tc>
      </w:tr>
      <w:tr>
        <w:tc>
          <w:tcPr>
            <w:tcW w:type="dxa" w:w="1560"/>
            <w:shd w:fill="F8F8F8" w:color="auto" w:val="clear"/>
            <w:tcMar>
              <w:top w:type="dxa" w:w="80"/>
              <w:left w:type="dxa" w:w="120"/>
              <w:bottom w:type="dxa" w:w="80"/>
              <w:right w:type="dxa" w:w="120"/>
            </w:tcMar>
          </w:tcPr>
          <w:p>
            <w:pPr>
              <w:spacing w:after="0" w:line="252"/>
              <w:jc w:val="left"/>
            </w:pPr>
            <w:r>
              <w:rPr>
                <w:b w:val="false"/>
                <w:bCs w:val="false"/>
                <w:color w:val="1A1A1A"/>
                <w:sz w:val="20"/>
                <w:szCs w:val="20"/>
              </w:rPr>
              <w:t xml:space="preserve">R2</w:t>
            </w:r>
          </w:p>
        </w:tc>
        <w:tc>
          <w:tcPr>
            <w:tcW w:type="dxa" w:w="15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120</w:t>
            </w:r>
          </w:p>
        </w:tc>
        <w:tc>
          <w:tcPr>
            <w:tcW w:type="dxa" w:w="140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556</w:t>
            </w:r>
          </w:p>
        </w:tc>
        <w:tc>
          <w:tcPr>
            <w:tcW w:type="dxa" w:w="120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155</w:t>
            </w:r>
          </w:p>
        </w:tc>
        <w:tc>
          <w:tcPr>
            <w:tcW w:type="dxa" w:w="1240"/>
            <w:shd w:fill="F8F8F8" w:color="auto" w:val="clear"/>
            <w:tcMar>
              <w:top w:type="dxa" w:w="80"/>
              <w:left w:type="dxa" w:w="120"/>
              <w:bottom w:type="dxa" w:w="80"/>
              <w:right w:type="dxa" w:w="120"/>
            </w:tcMar>
          </w:tcPr>
          <w:p>
            <w:pPr>
              <w:spacing w:after="0" w:line="252"/>
              <w:jc w:val="right"/>
            </w:pPr>
            <w:r>
              <w:rPr>
                <w:b/>
                <w:bCs/>
                <w:color w:val="1A1A1A"/>
                <w:sz w:val="20"/>
                <w:szCs w:val="20"/>
              </w:rPr>
              <w:t xml:space="preserve">27.9%</w:t>
            </w:r>
          </w:p>
        </w:tc>
        <w:tc>
          <w:tcPr>
            <w:tcW w:type="dxa" w:w="120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24.3–31.7%</w:t>
            </w:r>
          </w:p>
        </w:tc>
        <w:tc>
          <w:tcPr>
            <w:tcW w:type="dxa" w:w="120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26.1%</w:t>
            </w:r>
          </w:p>
        </w:tc>
      </w:tr>
      <w:tr>
        <w:tc>
          <w:tcPr>
            <w:tcW w:type="dxa" w:w="1560"/>
            <w:tcMar>
              <w:top w:type="dxa" w:w="80"/>
              <w:left w:type="dxa" w:w="120"/>
              <w:bottom w:type="dxa" w:w="80"/>
              <w:right w:type="dxa" w:w="120"/>
            </w:tcMar>
          </w:tcPr>
          <w:p>
            <w:pPr>
              <w:spacing w:after="0" w:line="252"/>
              <w:jc w:val="left"/>
            </w:pPr>
            <w:r>
              <w:rPr>
                <w:b w:val="false"/>
                <w:bCs w:val="false"/>
                <w:color w:val="1A1A1A"/>
                <w:sz w:val="20"/>
                <w:szCs w:val="20"/>
              </w:rPr>
              <w:t xml:space="preserve">R3</w:t>
            </w:r>
          </w:p>
        </w:tc>
        <w:tc>
          <w:tcPr>
            <w:tcW w:type="dxa" w:w="1560"/>
            <w:tcMar>
              <w:top w:type="dxa" w:w="80"/>
              <w:left w:type="dxa" w:w="120"/>
              <w:bottom w:type="dxa" w:w="80"/>
              <w:right w:type="dxa" w:w="120"/>
            </w:tcMar>
          </w:tcPr>
          <w:p>
            <w:pPr>
              <w:spacing w:after="0" w:line="252"/>
              <w:jc w:val="right"/>
            </w:pPr>
            <w:r>
              <w:rPr>
                <w:b w:val="false"/>
                <w:bCs w:val="false"/>
                <w:color w:val="1A1A1A"/>
                <w:sz w:val="20"/>
                <w:szCs w:val="20"/>
              </w:rPr>
              <w:t xml:space="preserve">179</w:t>
            </w:r>
          </w:p>
        </w:tc>
        <w:tc>
          <w:tcPr>
            <w:tcW w:type="dxa" w:w="1400"/>
            <w:tcMar>
              <w:top w:type="dxa" w:w="80"/>
              <w:left w:type="dxa" w:w="120"/>
              <w:bottom w:type="dxa" w:w="80"/>
              <w:right w:type="dxa" w:w="120"/>
            </w:tcMar>
          </w:tcPr>
          <w:p>
            <w:pPr>
              <w:spacing w:after="0" w:line="252"/>
              <w:jc w:val="right"/>
            </w:pPr>
            <w:r>
              <w:rPr>
                <w:b w:val="false"/>
                <w:bCs w:val="false"/>
                <w:color w:val="1A1A1A"/>
                <w:sz w:val="20"/>
                <w:szCs w:val="20"/>
              </w:rPr>
              <w:t xml:space="preserve">632</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126</w:t>
            </w:r>
          </w:p>
        </w:tc>
        <w:tc>
          <w:tcPr>
            <w:tcW w:type="dxa" w:w="1240"/>
            <w:tcMar>
              <w:top w:type="dxa" w:w="80"/>
              <w:left w:type="dxa" w:w="120"/>
              <w:bottom w:type="dxa" w:w="80"/>
              <w:right w:type="dxa" w:w="120"/>
            </w:tcMar>
          </w:tcPr>
          <w:p>
            <w:pPr>
              <w:spacing w:after="0" w:line="252"/>
              <w:jc w:val="right"/>
            </w:pPr>
            <w:r>
              <w:rPr>
                <w:b/>
                <w:bCs/>
                <w:color w:val="1A1A1A"/>
                <w:sz w:val="20"/>
                <w:szCs w:val="20"/>
              </w:rPr>
              <w:t xml:space="preserve">19.9%</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17.0–23.2%</w:t>
            </w:r>
          </w:p>
        </w:tc>
        <w:tc>
          <w:tcPr>
            <w:tcW w:type="dxa" w:w="1200"/>
            <w:tcMar>
              <w:top w:type="dxa" w:w="80"/>
              <w:left w:type="dxa" w:w="120"/>
              <w:bottom w:type="dxa" w:w="80"/>
              <w:right w:type="dxa" w:w="120"/>
            </w:tcMar>
          </w:tcPr>
          <w:p>
            <w:pPr>
              <w:spacing w:after="0" w:line="252"/>
              <w:jc w:val="right"/>
            </w:pPr>
            <w:r>
              <w:rPr>
                <w:b w:val="false"/>
                <w:bCs w:val="false"/>
                <w:color w:val="1A1A1A"/>
                <w:sz w:val="20"/>
                <w:szCs w:val="20"/>
              </w:rPr>
              <w:t xml:space="preserve">22.7%</w:t>
            </w:r>
          </w:p>
        </w:tc>
      </w:tr>
    </w:tbl>
    <w:p>
      <w:pPr>
        <w:spacing w:after="260" w:before="100"/>
      </w:pPr>
      <w:r>
        <w:rPr>
          <w:i/>
          <w:iCs/>
          <w:color w:val="5A5A5A"/>
          <w:sz w:val="18"/>
          <w:szCs w:val="18"/>
        </w:rPr>
        <w:t xml:space="preserve">Standardised = direct standardisation to the pooled public/private mix, so the tiers are compared at equal sector composition.</w:t>
      </w:r>
    </w:p>
    <w:p>
      <w:pPr>
        <w:spacing w:after="160" w:line="276"/>
      </w:pPr>
      <w:r>
        <w:rPr>
          <w:color w:val="1A1A1A"/>
          <w:sz w:val="21"/>
          <w:szCs w:val="21"/>
        </w:rPr>
        <w:t xml:space="preserve">R1 and R2 are indistinguishable (0.1pp apart, </w:t>
      </w:r>
      <w:r>
        <w:rPr>
          <w:i/>
          <w:iCs/>
          <w:color w:val="1A1A1A"/>
          <w:sz w:val="21"/>
          <w:szCs w:val="21"/>
        </w:rPr>
        <w:t xml:space="preserve">p</w:t>
      </w:r>
      <w:r>
        <w:rPr>
          <w:color w:val="1A1A1A"/>
          <w:sz w:val="21"/>
          <w:szCs w:val="21"/>
        </w:rPr>
        <w:t xml:space="preserve"> = 0.98). R3 sits about 8pp below both (</w:t>
      </w:r>
      <w:r>
        <w:rPr>
          <w:i/>
          <w:iCs/>
          <w:color w:val="1A1A1A"/>
          <w:sz w:val="21"/>
          <w:szCs w:val="21"/>
        </w:rPr>
        <w:t xml:space="preserve">p</w:t>
      </w:r>
      <w:r>
        <w:rPr>
          <w:color w:val="1A1A1A"/>
          <w:sz w:val="21"/>
          <w:szCs w:val="21"/>
        </w:rPr>
        <w:t xml:space="preserve"> = 0.0007 vs R1, </w:t>
      </w:r>
      <w:r>
        <w:rPr>
          <w:i/>
          <w:iCs/>
          <w:color w:val="1A1A1A"/>
          <w:sz w:val="21"/>
          <w:szCs w:val="21"/>
        </w:rPr>
        <w:t xml:space="preserve">p</w:t>
      </w:r>
      <w:r>
        <w:rPr>
          <w:color w:val="1A1A1A"/>
          <w:sz w:val="21"/>
          <w:szCs w:val="21"/>
        </w:rPr>
        <w:t xml:space="preserve"> = 0.0013 vs R2). There is no monotonic prestige gradient here — the break is R1/R2 on one side and R3 on the other.</w:t>
      </w:r>
    </w:p>
    <w:p>
      <w:pPr>
        <w:spacing w:after="160" w:line="276"/>
      </w:pPr>
      <w:r>
        <w:rPr>
          <w:b/>
          <w:bCs/>
          <w:color w:val="1A1A1A"/>
          <w:sz w:val="21"/>
          <w:szCs w:val="21"/>
        </w:rPr>
        <w:t xml:space="preserve">Half of the R3 gap is sector, not tier. </w:t>
      </w:r>
      <w:r>
        <w:rPr>
          <w:color w:val="1A1A1A"/>
          <w:sz w:val="21"/>
          <w:szCs w:val="21"/>
        </w:rPr>
        <w:t xml:space="preserve">R3 is four-fifths private in this corpus while R1 and R2 are majority public, and private institutions run lower everywhere: 25.3% against 28.5% at R1, 20.5% against 30.0% at R2, and 18.5% against 25.6% at R3. Standardising all three tiers to the pooled public/private mix lifts R3 to 22.7% and pulls the gap from 7.9pp down to about 4pp. What is left is a real but modest tier effect sitting on top of a larger sector effect.</w:t>
      </w:r>
    </w:p>
    <w:p>
      <w:pPr>
        <w:pStyle w:val="Heading2"/>
        <w:spacing w:after="120" w:before="260"/>
      </w:pPr>
      <w:r>
        <w:rPr>
          <w:b/>
          <w:bCs/>
          <w:color w:val="1A1A1A"/>
          <w:sz w:val="22"/>
          <w:szCs w:val="22"/>
        </w:rPr>
        <w:t xml:space="preserve">The rate is rising in every tier</w:t>
      </w:r>
    </w:p>
    <w:tbl>
      <w:tblPr>
        <w:tblW w:type="dxa" w:w="9360"/>
        <w:tblBorders>
          <w:top w:val="single" w:color="C8C8C8" w:sz="2"/>
          <w:left w:val="none" w:color="FFFFFF" w:sz="0"/>
          <w:bottom w:val="single" w:color="C8C8C8" w:sz="2"/>
          <w:right w:val="none" w:color="FFFFFF" w:sz="0"/>
          <w:insideH w:val="single" w:color="C8C8C8" w:sz="2"/>
          <w:insideV w:val="none" w:color="FFFFFF" w:sz="0"/>
        </w:tblBorders>
      </w:tblPr>
      <w:tblGrid>
        <w:gridCol w:w="2360"/>
        <w:gridCol w:w="2360"/>
        <w:gridCol w:w="2320"/>
        <w:gridCol w:w="2320"/>
      </w:tblGrid>
      <w:tr>
        <w:trPr>
          <w:tblHeader/>
        </w:trPr>
        <w:tc>
          <w:tcPr>
            <w:tcW w:type="dxa" w:w="2360"/>
            <w:shd w:fill="EFEFEF" w:color="auto" w:val="clear"/>
            <w:tcMar>
              <w:top w:type="dxa" w:w="80"/>
              <w:left w:type="dxa" w:w="120"/>
              <w:bottom w:type="dxa" w:w="80"/>
              <w:right w:type="dxa" w:w="120"/>
            </w:tcMar>
          </w:tcPr>
          <w:p>
            <w:pPr>
              <w:spacing w:after="0" w:line="252"/>
              <w:jc w:val="left"/>
            </w:pPr>
            <w:r>
              <w:rPr>
                <w:b/>
                <w:bCs/>
                <w:color w:val="1A1A1A"/>
                <w:sz w:val="20"/>
                <w:szCs w:val="20"/>
              </w:rPr>
              <w:t xml:space="preserve">Tier</w:t>
            </w:r>
          </w:p>
        </w:tc>
        <w:tc>
          <w:tcPr>
            <w:tcW w:type="dxa" w:w="23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1996–2005</w:t>
            </w:r>
          </w:p>
        </w:tc>
        <w:tc>
          <w:tcPr>
            <w:tcW w:type="dxa" w:w="2320"/>
            <w:shd w:fill="EFEFEF" w:color="auto" w:val="clear"/>
            <w:tcMar>
              <w:top w:type="dxa" w:w="80"/>
              <w:left w:type="dxa" w:w="120"/>
              <w:bottom w:type="dxa" w:w="80"/>
              <w:right w:type="dxa" w:w="120"/>
            </w:tcMar>
          </w:tcPr>
          <w:p>
            <w:pPr>
              <w:spacing w:after="0" w:line="252"/>
              <w:jc w:val="right"/>
            </w:pPr>
            <w:r>
              <w:rPr>
                <w:b/>
                <w:bCs/>
                <w:color w:val="1A1A1A"/>
                <w:sz w:val="20"/>
                <w:szCs w:val="20"/>
              </w:rPr>
              <w:t xml:space="preserve">2006–2015</w:t>
            </w:r>
          </w:p>
        </w:tc>
        <w:tc>
          <w:tcPr>
            <w:tcW w:type="dxa" w:w="2320"/>
            <w:shd w:fill="EFEFEF" w:color="auto" w:val="clear"/>
            <w:tcMar>
              <w:top w:type="dxa" w:w="80"/>
              <w:left w:type="dxa" w:w="120"/>
              <w:bottom w:type="dxa" w:w="80"/>
              <w:right w:type="dxa" w:w="120"/>
            </w:tcMar>
          </w:tcPr>
          <w:p>
            <w:pPr>
              <w:spacing w:after="0" w:line="252"/>
              <w:jc w:val="right"/>
            </w:pPr>
            <w:r>
              <w:rPr>
                <w:b/>
                <w:bCs/>
                <w:color w:val="1A1A1A"/>
                <w:sz w:val="20"/>
                <w:szCs w:val="20"/>
              </w:rPr>
              <w:t xml:space="preserve">2016–2026</w:t>
            </w:r>
          </w:p>
        </w:tc>
      </w:tr>
      <w:tr>
        <w:tc>
          <w:tcPr>
            <w:tcW w:type="dxa" w:w="2360"/>
            <w:tcMar>
              <w:top w:type="dxa" w:w="80"/>
              <w:left w:type="dxa" w:w="120"/>
              <w:bottom w:type="dxa" w:w="80"/>
              <w:right w:type="dxa" w:w="120"/>
            </w:tcMar>
          </w:tcPr>
          <w:p>
            <w:pPr>
              <w:spacing w:after="0" w:line="252"/>
              <w:jc w:val="left"/>
            </w:pPr>
            <w:r>
              <w:rPr>
                <w:b w:val="false"/>
                <w:bCs w:val="false"/>
                <w:color w:val="1A1A1A"/>
                <w:sz w:val="20"/>
                <w:szCs w:val="20"/>
              </w:rPr>
              <w:t xml:space="preserve">R1</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23.7%</w:t>
            </w:r>
          </w:p>
        </w:tc>
        <w:tc>
          <w:tcPr>
            <w:tcW w:type="dxa" w:w="2320"/>
            <w:tcMar>
              <w:top w:type="dxa" w:w="80"/>
              <w:left w:type="dxa" w:w="120"/>
              <w:bottom w:type="dxa" w:w="80"/>
              <w:right w:type="dxa" w:w="120"/>
            </w:tcMar>
          </w:tcPr>
          <w:p>
            <w:pPr>
              <w:spacing w:after="0" w:line="252"/>
              <w:jc w:val="right"/>
            </w:pPr>
            <w:r>
              <w:rPr>
                <w:b w:val="false"/>
                <w:bCs w:val="false"/>
                <w:color w:val="1A1A1A"/>
                <w:sz w:val="20"/>
                <w:szCs w:val="20"/>
              </w:rPr>
              <w:t xml:space="preserve">27.4%</w:t>
            </w:r>
          </w:p>
        </w:tc>
        <w:tc>
          <w:tcPr>
            <w:tcW w:type="dxa" w:w="2320"/>
            <w:tcMar>
              <w:top w:type="dxa" w:w="80"/>
              <w:left w:type="dxa" w:w="120"/>
              <w:bottom w:type="dxa" w:w="80"/>
              <w:right w:type="dxa" w:w="120"/>
            </w:tcMar>
          </w:tcPr>
          <w:p>
            <w:pPr>
              <w:spacing w:after="0" w:line="252"/>
              <w:jc w:val="right"/>
            </w:pPr>
            <w:r>
              <w:rPr>
                <w:b w:val="false"/>
                <w:bCs w:val="false"/>
                <w:color w:val="1A1A1A"/>
                <w:sz w:val="20"/>
                <w:szCs w:val="20"/>
              </w:rPr>
              <w:t xml:space="preserve">31.2%</w:t>
            </w:r>
          </w:p>
        </w:tc>
      </w:tr>
      <w:tr>
        <w:tc>
          <w:tcPr>
            <w:tcW w:type="dxa" w:w="2360"/>
            <w:shd w:fill="F8F8F8" w:color="auto" w:val="clear"/>
            <w:tcMar>
              <w:top w:type="dxa" w:w="80"/>
              <w:left w:type="dxa" w:w="120"/>
              <w:bottom w:type="dxa" w:w="80"/>
              <w:right w:type="dxa" w:w="120"/>
            </w:tcMar>
          </w:tcPr>
          <w:p>
            <w:pPr>
              <w:spacing w:after="0" w:line="252"/>
              <w:jc w:val="left"/>
            </w:pPr>
            <w:r>
              <w:rPr>
                <w:b w:val="false"/>
                <w:bCs w:val="false"/>
                <w:color w:val="1A1A1A"/>
                <w:sz w:val="20"/>
                <w:szCs w:val="20"/>
              </w:rPr>
              <w:t xml:space="preserve">R2</w:t>
            </w:r>
          </w:p>
        </w:tc>
        <w:tc>
          <w:tcPr>
            <w:tcW w:type="dxa" w:w="23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22.7%</w:t>
            </w:r>
          </w:p>
        </w:tc>
        <w:tc>
          <w:tcPr>
            <w:tcW w:type="dxa" w:w="232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30.3%</w:t>
            </w:r>
          </w:p>
        </w:tc>
        <w:tc>
          <w:tcPr>
            <w:tcW w:type="dxa" w:w="232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29.2%</w:t>
            </w:r>
          </w:p>
        </w:tc>
      </w:tr>
      <w:tr>
        <w:tc>
          <w:tcPr>
            <w:tcW w:type="dxa" w:w="2360"/>
            <w:tcMar>
              <w:top w:type="dxa" w:w="80"/>
              <w:left w:type="dxa" w:w="120"/>
              <w:bottom w:type="dxa" w:w="80"/>
              <w:right w:type="dxa" w:w="120"/>
            </w:tcMar>
          </w:tcPr>
          <w:p>
            <w:pPr>
              <w:spacing w:after="0" w:line="252"/>
              <w:jc w:val="left"/>
            </w:pPr>
            <w:r>
              <w:rPr>
                <w:b w:val="false"/>
                <w:bCs w:val="false"/>
                <w:color w:val="1A1A1A"/>
                <w:sz w:val="20"/>
                <w:szCs w:val="20"/>
              </w:rPr>
              <w:t xml:space="preserve">R3</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15.9%</w:t>
            </w:r>
          </w:p>
        </w:tc>
        <w:tc>
          <w:tcPr>
            <w:tcW w:type="dxa" w:w="2320"/>
            <w:tcMar>
              <w:top w:type="dxa" w:w="80"/>
              <w:left w:type="dxa" w:w="120"/>
              <w:bottom w:type="dxa" w:w="80"/>
              <w:right w:type="dxa" w:w="120"/>
            </w:tcMar>
          </w:tcPr>
          <w:p>
            <w:pPr>
              <w:spacing w:after="0" w:line="252"/>
              <w:jc w:val="right"/>
            </w:pPr>
            <w:r>
              <w:rPr>
                <w:b w:val="false"/>
                <w:bCs w:val="false"/>
                <w:color w:val="1A1A1A"/>
                <w:sz w:val="20"/>
                <w:szCs w:val="20"/>
              </w:rPr>
              <w:t xml:space="preserve">18.5%</w:t>
            </w:r>
          </w:p>
        </w:tc>
        <w:tc>
          <w:tcPr>
            <w:tcW w:type="dxa" w:w="2320"/>
            <w:tcMar>
              <w:top w:type="dxa" w:w="80"/>
              <w:left w:type="dxa" w:w="120"/>
              <w:bottom w:type="dxa" w:w="80"/>
              <w:right w:type="dxa" w:w="120"/>
            </w:tcMar>
          </w:tcPr>
          <w:p>
            <w:pPr>
              <w:spacing w:after="0" w:line="252"/>
              <w:jc w:val="right"/>
            </w:pPr>
            <w:r>
              <w:rPr>
                <w:b w:val="false"/>
                <w:bCs w:val="false"/>
                <w:color w:val="1A1A1A"/>
                <w:sz w:val="20"/>
                <w:szCs w:val="20"/>
              </w:rPr>
              <w:t xml:space="preserve">23.4%</w:t>
            </w:r>
          </w:p>
        </w:tc>
      </w:tr>
    </w:tbl>
    <w:p>
      <w:pPr>
        <w:spacing w:after="260" w:before="100"/>
      </w:pPr>
      <w:r>
        <w:rPr>
          <w:i/>
          <w:iCs/>
          <w:color w:val="5A5A5A"/>
          <w:sz w:val="18"/>
          <w:szCs w:val="18"/>
        </w:rPr>
        <w:t xml:space="preserve">Interim share of appointments started in each period.</w:t>
      </w:r>
    </w:p>
    <w:p>
      <w:pPr>
        <w:pStyle w:val="Heading1"/>
        <w:spacing w:after="160" w:before="360"/>
      </w:pPr>
      <w:r>
        <w:rPr>
          <w:b/>
          <w:bCs/>
          <w:color w:val="1A1A1A"/>
          <w:sz w:val="26"/>
          <w:szCs w:val="26"/>
        </w:rPr>
        <w:t xml:space="preserve">Does it track the B-school dean rate in the same university?</w:t>
      </w:r>
    </w:p>
    <w:p>
      <w:pPr>
        <w:spacing w:after="160" w:line="276"/>
      </w:pPr>
      <w:r>
        <w:rPr>
          <w:color w:val="1A1A1A"/>
          <w:sz w:val="21"/>
          <w:szCs w:val="21"/>
        </w:rPr>
        <w:t xml:space="preserve">150 of the 151 business-school universities join to a president index (Babson College has no president row in either). Within those universities, deans go interim </w:t>
      </w:r>
      <w:r>
        <w:rPr>
          <w:b/>
          <w:bCs/>
          <w:color w:val="1A1A1A"/>
          <w:sz w:val="21"/>
          <w:szCs w:val="21"/>
        </w:rPr>
        <w:t xml:space="preserve">more</w:t>
      </w:r>
      <w:r>
        <w:rPr>
          <w:color w:val="1A1A1A"/>
          <w:sz w:val="21"/>
          <w:szCs w:val="21"/>
        </w:rPr>
        <w:t xml:space="preserve"> often than presidents: 32.4% of dean appointments since 1996 against 27.8% of president appointments.</w:t>
      </w:r>
    </w:p>
    <w:p>
      <w:pPr>
        <w:pStyle w:val="Heading2"/>
        <w:spacing w:after="120" w:before="260"/>
      </w:pPr>
      <w:r>
        <w:rPr>
          <w:b/>
          <w:bCs/>
          <w:color w:val="1A1A1A"/>
          <w:sz w:val="22"/>
          <w:szCs w:val="22"/>
        </w:rPr>
        <w:t xml:space="preserve">As an institutional trait — no</w:t>
      </w:r>
    </w:p>
    <w:p>
      <w:pPr>
        <w:spacing w:after="160" w:line="276"/>
      </w:pPr>
      <w:r>
        <w:rPr>
          <w:color w:val="1A1A1A"/>
          <w:sz w:val="21"/>
          <w:szCs w:val="21"/>
        </w:rPr>
        <w:t xml:space="preserve">Interim-proneness does not travel with the university. Correlating each university's president interim share against its dean interim share gives </w:t>
      </w:r>
      <w:r>
        <w:rPr>
          <w:i/>
          <w:iCs/>
          <w:color w:val="1A1A1A"/>
          <w:sz w:val="21"/>
          <w:szCs w:val="21"/>
        </w:rPr>
        <w:t xml:space="preserve">r</w:t>
      </w:r>
      <w:r>
        <w:rPr>
          <w:color w:val="1A1A1A"/>
          <w:sz w:val="21"/>
          <w:szCs w:val="21"/>
        </w:rPr>
        <w:t xml:space="preserve"> = 0.12 (Spearman 0.15, permutation </w:t>
      </w:r>
      <w:r>
        <w:rPr>
          <w:i/>
          <w:iCs/>
          <w:color w:val="1A1A1A"/>
          <w:sz w:val="21"/>
          <w:szCs w:val="21"/>
        </w:rPr>
        <w:t xml:space="preserve">p</w:t>
      </w:r>
      <w:r>
        <w:rPr>
          <w:color w:val="1A1A1A"/>
          <w:sz w:val="21"/>
          <w:szCs w:val="21"/>
        </w:rPr>
        <w:t xml:space="preserve"> = 0.14) across 149 universities, and the correlation decays to zero or below as the minimum appointment count rises — </w:t>
      </w:r>
      <w:r>
        <w:rPr>
          <w:i/>
          <w:iCs/>
          <w:color w:val="1A1A1A"/>
          <w:sz w:val="21"/>
          <w:szCs w:val="21"/>
        </w:rPr>
        <w:t xml:space="preserve">r</w:t>
      </w:r>
      <w:r>
        <w:rPr>
          <w:color w:val="1A1A1A"/>
          <w:sz w:val="21"/>
          <w:szCs w:val="21"/>
        </w:rPr>
        <w:t xml:space="preserve"> = 0.07 requiring at least three appointments on each side, </w:t>
      </w:r>
      <w:r>
        <w:rPr>
          <w:i/>
          <w:iCs/>
          <w:color w:val="1A1A1A"/>
          <w:sz w:val="21"/>
          <w:szCs w:val="21"/>
        </w:rPr>
        <w:t xml:space="preserve">r</w:t>
      </w:r>
      <w:r>
        <w:rPr>
          <w:color w:val="1A1A1A"/>
          <w:sz w:val="21"/>
          <w:szCs w:val="21"/>
        </w:rPr>
        <w:t xml:space="preserve"> = −0.13 at five. Splitting universities on whether they had any interim president since 1996 moves the dean rate by 1.6pp (32.9% against 31.4%, </w:t>
      </w:r>
      <w:r>
        <w:rPr>
          <w:i/>
          <w:iCs/>
          <w:color w:val="1A1A1A"/>
          <w:sz w:val="21"/>
          <w:szCs w:val="21"/>
        </w:rPr>
        <w:t xml:space="preserve">p</w:t>
      </w:r>
      <w:r>
        <w:rPr>
          <w:color w:val="1A1A1A"/>
          <w:sz w:val="21"/>
          <w:szCs w:val="21"/>
        </w:rPr>
        <w:t xml:space="preserve"> = 0.67) — essentially nothing.</w:t>
      </w:r>
    </w:p>
    <w:p>
      <w:pPr>
        <w:pStyle w:val="Heading2"/>
        <w:spacing w:after="120" w:before="260"/>
      </w:pPr>
      <w:r>
        <w:rPr>
          <w:b/>
          <w:bCs/>
          <w:color w:val="1A1A1A"/>
          <w:sz w:val="22"/>
          <w:szCs w:val="22"/>
        </w:rPr>
        <w:t xml:space="preserve">As a moment in time — yes</w:t>
      </w:r>
    </w:p>
    <w:p>
      <w:pPr>
        <w:spacing w:after="160" w:line="276"/>
      </w:pPr>
      <w:r>
        <w:rPr>
          <w:color w:val="1A1A1A"/>
          <w:sz w:val="21"/>
          <w:szCs w:val="21"/>
        </w:rPr>
        <w:t xml:space="preserve">Labelling each dean appointment by what the president's chair was doing that year:</w:t>
      </w:r>
    </w:p>
    <w:tbl>
      <w:tblPr>
        <w:tblW w:type="dxa" w:w="9360"/>
        <w:tblBorders>
          <w:top w:val="single" w:color="C8C8C8" w:sz="2"/>
          <w:left w:val="none" w:color="FFFFFF" w:sz="0"/>
          <w:bottom w:val="single" w:color="C8C8C8" w:sz="2"/>
          <w:right w:val="none" w:color="FFFFFF" w:sz="0"/>
          <w:insideH w:val="single" w:color="C8C8C8" w:sz="2"/>
          <w:insideV w:val="none" w:color="FFFFFF" w:sz="0"/>
        </w:tblBorders>
      </w:tblPr>
      <w:tblGrid>
        <w:gridCol w:w="3760"/>
        <w:gridCol w:w="1960"/>
        <w:gridCol w:w="1960"/>
        <w:gridCol w:w="1680"/>
      </w:tblGrid>
      <w:tr>
        <w:trPr>
          <w:tblHeader/>
        </w:trPr>
        <w:tc>
          <w:tcPr>
            <w:tcW w:type="dxa" w:w="3760"/>
            <w:shd w:fill="EFEFEF" w:color="auto" w:val="clear"/>
            <w:tcMar>
              <w:top w:type="dxa" w:w="80"/>
              <w:left w:type="dxa" w:w="120"/>
              <w:bottom w:type="dxa" w:w="80"/>
              <w:right w:type="dxa" w:w="120"/>
            </w:tcMar>
          </w:tcPr>
          <w:p>
            <w:pPr>
              <w:spacing w:after="0" w:line="252"/>
              <w:jc w:val="left"/>
            </w:pPr>
            <w:r>
              <w:rPr>
                <w:b/>
                <w:bCs/>
                <w:color w:val="1A1A1A"/>
                <w:sz w:val="20"/>
                <w:szCs w:val="20"/>
              </w:rPr>
              <w:t xml:space="preserve">President's chair</w:t>
            </w:r>
          </w:p>
        </w:tc>
        <w:tc>
          <w:tcPr>
            <w:tcW w:type="dxa" w:w="19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Dean appointments</w:t>
            </w:r>
          </w:p>
        </w:tc>
        <w:tc>
          <w:tcPr>
            <w:tcW w:type="dxa" w:w="19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Interim deans</w:t>
            </w:r>
          </w:p>
        </w:tc>
        <w:tc>
          <w:tcPr>
            <w:tcW w:type="dxa" w:w="1680"/>
            <w:shd w:fill="EFEFEF" w:color="auto" w:val="clear"/>
            <w:tcMar>
              <w:top w:type="dxa" w:w="80"/>
              <w:left w:type="dxa" w:w="120"/>
              <w:bottom w:type="dxa" w:w="80"/>
              <w:right w:type="dxa" w:w="120"/>
            </w:tcMar>
          </w:tcPr>
          <w:p>
            <w:pPr>
              <w:spacing w:after="0" w:line="252"/>
              <w:jc w:val="right"/>
            </w:pPr>
            <w:r>
              <w:rPr>
                <w:b/>
                <w:bCs/>
                <w:color w:val="1A1A1A"/>
                <w:sz w:val="20"/>
                <w:szCs w:val="20"/>
              </w:rPr>
              <w:t xml:space="preserve">Rate</w:t>
            </w:r>
          </w:p>
        </w:tc>
      </w:tr>
      <w:tr>
        <w:tc>
          <w:tcPr>
            <w:tcW w:type="dxa" w:w="3760"/>
            <w:tcMar>
              <w:top w:type="dxa" w:w="80"/>
              <w:left w:type="dxa" w:w="120"/>
              <w:bottom w:type="dxa" w:w="80"/>
              <w:right w:type="dxa" w:w="120"/>
            </w:tcMar>
          </w:tcPr>
          <w:p>
            <w:pPr>
              <w:spacing w:after="0" w:line="252"/>
              <w:jc w:val="left"/>
            </w:pPr>
            <w:r>
              <w:rPr>
                <w:b w:val="false"/>
                <w:bCs w:val="false"/>
                <w:color w:val="1A1A1A"/>
                <w:sz w:val="20"/>
                <w:szCs w:val="20"/>
              </w:rPr>
              <w:t xml:space="preserve">Interim (sitting that year)</w:t>
            </w:r>
          </w:p>
        </w:tc>
        <w:tc>
          <w:tcPr>
            <w:tcW w:type="dxa" w:w="1960"/>
            <w:tcMar>
              <w:top w:type="dxa" w:w="80"/>
              <w:left w:type="dxa" w:w="120"/>
              <w:bottom w:type="dxa" w:w="80"/>
              <w:right w:type="dxa" w:w="120"/>
            </w:tcMar>
          </w:tcPr>
          <w:p>
            <w:pPr>
              <w:spacing w:after="0" w:line="252"/>
              <w:jc w:val="right"/>
            </w:pPr>
            <w:r>
              <w:rPr>
                <w:b w:val="false"/>
                <w:bCs w:val="false"/>
                <w:color w:val="1A1A1A"/>
                <w:sz w:val="20"/>
                <w:szCs w:val="20"/>
              </w:rPr>
              <w:t xml:space="preserve">72</w:t>
            </w:r>
          </w:p>
        </w:tc>
        <w:tc>
          <w:tcPr>
            <w:tcW w:type="dxa" w:w="1960"/>
            <w:tcMar>
              <w:top w:type="dxa" w:w="80"/>
              <w:left w:type="dxa" w:w="120"/>
              <w:bottom w:type="dxa" w:w="80"/>
              <w:right w:type="dxa" w:w="120"/>
            </w:tcMar>
          </w:tcPr>
          <w:p>
            <w:pPr>
              <w:spacing w:after="0" w:line="252"/>
              <w:jc w:val="right"/>
            </w:pPr>
            <w:r>
              <w:rPr>
                <w:b w:val="false"/>
                <w:bCs w:val="false"/>
                <w:color w:val="1A1A1A"/>
                <w:sz w:val="20"/>
                <w:szCs w:val="20"/>
              </w:rPr>
              <w:t xml:space="preserve">33</w:t>
            </w:r>
          </w:p>
        </w:tc>
        <w:tc>
          <w:tcPr>
            <w:tcW w:type="dxa" w:w="1680"/>
            <w:tcMar>
              <w:top w:type="dxa" w:w="80"/>
              <w:left w:type="dxa" w:w="120"/>
              <w:bottom w:type="dxa" w:w="80"/>
              <w:right w:type="dxa" w:w="120"/>
            </w:tcMar>
          </w:tcPr>
          <w:p>
            <w:pPr>
              <w:spacing w:after="0" w:line="252"/>
              <w:jc w:val="right"/>
            </w:pPr>
            <w:r>
              <w:rPr>
                <w:b/>
                <w:bCs/>
                <w:color w:val="1A1A1A"/>
                <w:sz w:val="20"/>
                <w:szCs w:val="20"/>
              </w:rPr>
              <w:t xml:space="preserve">45.8%</w:t>
            </w:r>
          </w:p>
        </w:tc>
      </w:tr>
      <w:tr>
        <w:tc>
          <w:tcPr>
            <w:tcW w:type="dxa" w:w="3760"/>
            <w:shd w:fill="F8F8F8" w:color="auto" w:val="clear"/>
            <w:tcMar>
              <w:top w:type="dxa" w:w="80"/>
              <w:left w:type="dxa" w:w="120"/>
              <w:bottom w:type="dxa" w:w="80"/>
              <w:right w:type="dxa" w:w="120"/>
            </w:tcMar>
          </w:tcPr>
          <w:p>
            <w:pPr>
              <w:spacing w:after="0" w:line="252"/>
              <w:jc w:val="left"/>
            </w:pPr>
            <w:r>
              <w:rPr>
                <w:b w:val="false"/>
                <w:bCs w:val="false"/>
                <w:color w:val="1A1A1A"/>
                <w:sz w:val="20"/>
                <w:szCs w:val="20"/>
              </w:rPr>
              <w:t xml:space="preserve">Permanent</w:t>
            </w:r>
          </w:p>
        </w:tc>
        <w:tc>
          <w:tcPr>
            <w:tcW w:type="dxa" w:w="19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659</w:t>
            </w:r>
          </w:p>
        </w:tc>
        <w:tc>
          <w:tcPr>
            <w:tcW w:type="dxa" w:w="19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204</w:t>
            </w:r>
          </w:p>
        </w:tc>
        <w:tc>
          <w:tcPr>
            <w:tcW w:type="dxa" w:w="1680"/>
            <w:shd w:fill="F8F8F8" w:color="auto" w:val="clear"/>
            <w:tcMar>
              <w:top w:type="dxa" w:w="80"/>
              <w:left w:type="dxa" w:w="120"/>
              <w:bottom w:type="dxa" w:w="80"/>
              <w:right w:type="dxa" w:w="120"/>
            </w:tcMar>
          </w:tcPr>
          <w:p>
            <w:pPr>
              <w:spacing w:after="0" w:line="252"/>
              <w:jc w:val="right"/>
            </w:pPr>
            <w:r>
              <w:rPr>
                <w:b/>
                <w:bCs/>
                <w:color w:val="1A1A1A"/>
                <w:sz w:val="20"/>
                <w:szCs w:val="20"/>
              </w:rPr>
              <w:t xml:space="preserve">31.0%</w:t>
            </w:r>
          </w:p>
        </w:tc>
      </w:tr>
    </w:tbl>
    <w:p>
      <w:pPr>
        <w:spacing w:after="160" w:line="276"/>
      </w:pPr>
      <w:r>
        <w:rPr>
          <w:color w:val="1A1A1A"/>
          <w:sz w:val="21"/>
          <w:szCs w:val="21"/>
        </w:rPr>
        <w:t xml:space="preserve">A 14.9pp gap, </w:t>
      </w:r>
      <w:r>
        <w:rPr>
          <w:i/>
          <w:iCs/>
          <w:color w:val="1A1A1A"/>
          <w:sz w:val="21"/>
          <w:szCs w:val="21"/>
        </w:rPr>
        <w:t xml:space="preserve">p</w:t>
      </w:r>
      <w:r>
        <w:rPr>
          <w:color w:val="1A1A1A"/>
          <w:sz w:val="21"/>
          <w:szCs w:val="21"/>
        </w:rPr>
        <w:t xml:space="preserve"> = 0.010. Widening the definition to an interim president spell overlapping a ±2-year window keeps it: 40.7% against 29.9%, a 10.7pp gap at </w:t>
      </w:r>
      <w:r>
        <w:rPr>
          <w:i/>
          <w:iCs/>
          <w:color w:val="1A1A1A"/>
          <w:sz w:val="21"/>
          <w:szCs w:val="21"/>
        </w:rPr>
        <w:t xml:space="preserve">p</w:t>
      </w:r>
      <w:r>
        <w:rPr>
          <w:color w:val="1A1A1A"/>
          <w:sz w:val="21"/>
          <w:szCs w:val="21"/>
        </w:rPr>
        <w:t xml:space="preserve"> = 0.008.</w:t>
      </w:r>
    </w:p>
    <w:p>
      <w:pPr>
        <w:spacing w:after="160" w:line="276"/>
      </w:pPr>
      <w:r>
        <w:rPr>
          <w:color w:val="1A1A1A"/>
          <w:sz w:val="21"/>
          <w:szCs w:val="21"/>
        </w:rPr>
        <w:t xml:space="preserve">The gap survives period stratification, so it is not two independent upward trends sharing a calendar — though it is concentrated in the middle period:</w:t>
      </w:r>
    </w:p>
    <w:tbl>
      <w:tblPr>
        <w:tblW w:type="dxa" w:w="9360"/>
        <w:tblBorders>
          <w:top w:val="single" w:color="C8C8C8" w:sz="2"/>
          <w:left w:val="none" w:color="FFFFFF" w:sz="0"/>
          <w:bottom w:val="single" w:color="C8C8C8" w:sz="2"/>
          <w:right w:val="none" w:color="FFFFFF" w:sz="0"/>
          <w:insideH w:val="single" w:color="C8C8C8" w:sz="2"/>
          <w:insideV w:val="none" w:color="FFFFFF" w:sz="0"/>
        </w:tblBorders>
      </w:tblPr>
      <w:tblGrid>
        <w:gridCol w:w="2760"/>
        <w:gridCol w:w="2360"/>
        <w:gridCol w:w="2360"/>
        <w:gridCol w:w="1880"/>
      </w:tblGrid>
      <w:tr>
        <w:trPr>
          <w:tblHeader/>
        </w:trPr>
        <w:tc>
          <w:tcPr>
            <w:tcW w:type="dxa" w:w="2760"/>
            <w:shd w:fill="EFEFEF" w:color="auto" w:val="clear"/>
            <w:tcMar>
              <w:top w:type="dxa" w:w="80"/>
              <w:left w:type="dxa" w:w="120"/>
              <w:bottom w:type="dxa" w:w="80"/>
              <w:right w:type="dxa" w:w="120"/>
            </w:tcMar>
          </w:tcPr>
          <w:p>
            <w:pPr>
              <w:spacing w:after="0" w:line="252"/>
              <w:jc w:val="left"/>
            </w:pPr>
            <w:r>
              <w:rPr>
                <w:b/>
                <w:bCs/>
                <w:color w:val="1A1A1A"/>
                <w:sz w:val="20"/>
                <w:szCs w:val="20"/>
              </w:rPr>
              <w:t xml:space="preserve">Period</w:t>
            </w:r>
          </w:p>
        </w:tc>
        <w:tc>
          <w:tcPr>
            <w:tcW w:type="dxa" w:w="23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Under interim chair</w:t>
            </w:r>
          </w:p>
        </w:tc>
        <w:tc>
          <w:tcPr>
            <w:tcW w:type="dxa" w:w="2360"/>
            <w:shd w:fill="EFEFEF" w:color="auto" w:val="clear"/>
            <w:tcMar>
              <w:top w:type="dxa" w:w="80"/>
              <w:left w:type="dxa" w:w="120"/>
              <w:bottom w:type="dxa" w:w="80"/>
              <w:right w:type="dxa" w:w="120"/>
            </w:tcMar>
          </w:tcPr>
          <w:p>
            <w:pPr>
              <w:spacing w:after="0" w:line="252"/>
              <w:jc w:val="right"/>
            </w:pPr>
            <w:r>
              <w:rPr>
                <w:b/>
                <w:bCs/>
                <w:color w:val="1A1A1A"/>
                <w:sz w:val="20"/>
                <w:szCs w:val="20"/>
              </w:rPr>
              <w:t xml:space="preserve">Under permanent chair</w:t>
            </w:r>
          </w:p>
        </w:tc>
        <w:tc>
          <w:tcPr>
            <w:tcW w:type="dxa" w:w="1880"/>
            <w:shd w:fill="EFEFEF" w:color="auto" w:val="clear"/>
            <w:tcMar>
              <w:top w:type="dxa" w:w="80"/>
              <w:left w:type="dxa" w:w="120"/>
              <w:bottom w:type="dxa" w:w="80"/>
              <w:right w:type="dxa" w:w="120"/>
            </w:tcMar>
          </w:tcPr>
          <w:p>
            <w:pPr>
              <w:spacing w:after="0" w:line="252"/>
              <w:jc w:val="right"/>
            </w:pPr>
            <w:r>
              <w:rPr>
                <w:b/>
                <w:bCs/>
                <w:color w:val="1A1A1A"/>
                <w:sz w:val="20"/>
                <w:szCs w:val="20"/>
              </w:rPr>
              <w:t xml:space="preserve">Difference</w:t>
            </w:r>
          </w:p>
        </w:tc>
      </w:tr>
      <w:tr>
        <w:tc>
          <w:tcPr>
            <w:tcW w:type="dxa" w:w="2760"/>
            <w:tcMar>
              <w:top w:type="dxa" w:w="80"/>
              <w:left w:type="dxa" w:w="120"/>
              <w:bottom w:type="dxa" w:w="80"/>
              <w:right w:type="dxa" w:w="120"/>
            </w:tcMar>
          </w:tcPr>
          <w:p>
            <w:pPr>
              <w:spacing w:after="0" w:line="252"/>
              <w:jc w:val="left"/>
            </w:pPr>
            <w:r>
              <w:rPr>
                <w:b w:val="false"/>
                <w:bCs w:val="false"/>
                <w:color w:val="1A1A1A"/>
                <w:sz w:val="20"/>
                <w:szCs w:val="20"/>
              </w:rPr>
              <w:t xml:space="preserve">1996–2005</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31.0% (9/29)</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25.6% (42/164)</w:t>
            </w:r>
          </w:p>
        </w:tc>
        <w:tc>
          <w:tcPr>
            <w:tcW w:type="dxa" w:w="1880"/>
            <w:tcMar>
              <w:top w:type="dxa" w:w="80"/>
              <w:left w:type="dxa" w:w="120"/>
              <w:bottom w:type="dxa" w:w="80"/>
              <w:right w:type="dxa" w:w="120"/>
            </w:tcMar>
          </w:tcPr>
          <w:p>
            <w:pPr>
              <w:spacing w:after="0" w:line="252"/>
              <w:jc w:val="right"/>
            </w:pPr>
            <w:r>
              <w:rPr>
                <w:b w:val="false"/>
                <w:bCs w:val="false"/>
                <w:color w:val="1A1A1A"/>
                <w:sz w:val="20"/>
                <w:szCs w:val="20"/>
              </w:rPr>
              <w:t xml:space="preserve">+5.4pp</w:t>
            </w:r>
          </w:p>
        </w:tc>
      </w:tr>
      <w:tr>
        <w:tc>
          <w:tcPr>
            <w:tcW w:type="dxa" w:w="2760"/>
            <w:shd w:fill="F8F8F8" w:color="auto" w:val="clear"/>
            <w:tcMar>
              <w:top w:type="dxa" w:w="80"/>
              <w:left w:type="dxa" w:w="120"/>
              <w:bottom w:type="dxa" w:w="80"/>
              <w:right w:type="dxa" w:w="120"/>
            </w:tcMar>
          </w:tcPr>
          <w:p>
            <w:pPr>
              <w:spacing w:after="0" w:line="252"/>
              <w:jc w:val="left"/>
            </w:pPr>
            <w:r>
              <w:rPr>
                <w:b w:val="false"/>
                <w:bCs w:val="false"/>
                <w:color w:val="1A1A1A"/>
                <w:sz w:val="20"/>
                <w:szCs w:val="20"/>
              </w:rPr>
              <w:t xml:space="preserve">2006–2015</w:t>
            </w:r>
          </w:p>
        </w:tc>
        <w:tc>
          <w:tcPr>
            <w:tcW w:type="dxa" w:w="23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42.9% (24/56)</w:t>
            </w:r>
          </w:p>
        </w:tc>
        <w:tc>
          <w:tcPr>
            <w:tcW w:type="dxa" w:w="236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26.3% (47/179)</w:t>
            </w:r>
          </w:p>
        </w:tc>
        <w:tc>
          <w:tcPr>
            <w:tcW w:type="dxa" w:w="1880"/>
            <w:shd w:fill="F8F8F8" w:color="auto" w:val="clear"/>
            <w:tcMar>
              <w:top w:type="dxa" w:w="80"/>
              <w:left w:type="dxa" w:w="120"/>
              <w:bottom w:type="dxa" w:w="80"/>
              <w:right w:type="dxa" w:w="120"/>
            </w:tcMar>
          </w:tcPr>
          <w:p>
            <w:pPr>
              <w:spacing w:after="0" w:line="252"/>
              <w:jc w:val="right"/>
            </w:pPr>
            <w:r>
              <w:rPr>
                <w:b w:val="false"/>
                <w:bCs w:val="false"/>
                <w:color w:val="1A1A1A"/>
                <w:sz w:val="20"/>
                <w:szCs w:val="20"/>
              </w:rPr>
              <w:t xml:space="preserve">+16.6pp</w:t>
            </w:r>
          </w:p>
        </w:tc>
      </w:tr>
      <w:tr>
        <w:tc>
          <w:tcPr>
            <w:tcW w:type="dxa" w:w="2760"/>
            <w:tcMar>
              <w:top w:type="dxa" w:w="80"/>
              <w:left w:type="dxa" w:w="120"/>
              <w:bottom w:type="dxa" w:w="80"/>
              <w:right w:type="dxa" w:w="120"/>
            </w:tcMar>
          </w:tcPr>
          <w:p>
            <w:pPr>
              <w:spacing w:after="0" w:line="252"/>
              <w:jc w:val="left"/>
            </w:pPr>
            <w:r>
              <w:rPr>
                <w:b w:val="false"/>
                <w:bCs w:val="false"/>
                <w:color w:val="1A1A1A"/>
                <w:sz w:val="20"/>
                <w:szCs w:val="20"/>
              </w:rPr>
              <w:t xml:space="preserve">2016–2026</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42.4% (39/92)</w:t>
            </w:r>
          </w:p>
        </w:tc>
        <w:tc>
          <w:tcPr>
            <w:tcW w:type="dxa" w:w="2360"/>
            <w:tcMar>
              <w:top w:type="dxa" w:w="80"/>
              <w:left w:type="dxa" w:w="120"/>
              <w:bottom w:type="dxa" w:w="80"/>
              <w:right w:type="dxa" w:w="120"/>
            </w:tcMar>
          </w:tcPr>
          <w:p>
            <w:pPr>
              <w:spacing w:after="0" w:line="252"/>
              <w:jc w:val="right"/>
            </w:pPr>
            <w:r>
              <w:rPr>
                <w:b w:val="false"/>
                <w:bCs w:val="false"/>
                <w:color w:val="1A1A1A"/>
                <w:sz w:val="20"/>
                <w:szCs w:val="20"/>
              </w:rPr>
              <w:t xml:space="preserve">36.2% (79/218)</w:t>
            </w:r>
          </w:p>
        </w:tc>
        <w:tc>
          <w:tcPr>
            <w:tcW w:type="dxa" w:w="1880"/>
            <w:tcMar>
              <w:top w:type="dxa" w:w="80"/>
              <w:left w:type="dxa" w:w="120"/>
              <w:bottom w:type="dxa" w:w="80"/>
              <w:right w:type="dxa" w:w="120"/>
            </w:tcMar>
          </w:tcPr>
          <w:p>
            <w:pPr>
              <w:spacing w:after="0" w:line="252"/>
              <w:jc w:val="right"/>
            </w:pPr>
            <w:r>
              <w:rPr>
                <w:b w:val="false"/>
                <w:bCs w:val="false"/>
                <w:color w:val="1A1A1A"/>
                <w:sz w:val="20"/>
                <w:szCs w:val="20"/>
              </w:rPr>
              <w:t xml:space="preserve">+6.2pp</w:t>
            </w:r>
          </w:p>
        </w:tc>
      </w:tr>
    </w:tbl>
    <w:p>
      <w:pPr>
        <w:spacing w:after="160" w:line="276"/>
      </w:pPr>
      <w:r>
        <w:rPr>
          <w:b/>
          <w:bCs/>
          <w:color w:val="1A1A1A"/>
          <w:sz w:val="21"/>
          <w:szCs w:val="21"/>
        </w:rPr>
        <w:t xml:space="preserve">The reading: </w:t>
      </w:r>
      <w:r>
        <w:rPr>
          <w:color w:val="1A1A1A"/>
          <w:sz w:val="21"/>
          <w:szCs w:val="21"/>
        </w:rPr>
        <w:t xml:space="preserve">interim leadership is a synchronised event, not an institutional disposition. Universities that churn their president are not, over thirty years, the universities that churn their dean. But a business school hiring while the president's chair is empty is about 50% more likely to appoint an interim — which is what you would expect if the deanship is being held open until whoever runs the university next can choose the dean.</w:t>
      </w:r>
    </w:p>
    <w:p>
      <w:pPr>
        <w:pStyle w:val="Heading1"/>
        <w:spacing w:after="160" w:before="360"/>
      </w:pPr>
      <w:r>
        <w:rPr>
          <w:b/>
          <w:bCs/>
          <w:color w:val="1A1A1A"/>
          <w:sz w:val="26"/>
          <w:szCs w:val="26"/>
        </w:rPr>
        <w:t xml:space="preserve">Method</w:t>
      </w:r>
    </w:p>
    <w:p>
      <w:pPr>
        <w:spacing w:after="160" w:line="276"/>
      </w:pPr>
      <w:r>
        <w:rPr>
          <w:color w:val="1A1A1A"/>
          <w:sz w:val="21"/>
          <w:szCs w:val="21"/>
        </w:rPr>
        <w:t xml:space="preserve">Three measurement decisions carry the result.</w:t>
      </w:r>
    </w:p>
    <w:p>
      <w:pPr>
        <w:pStyle w:val="ListParagraph"/>
        <w:numPr>
          <w:ilvl w:val="0"/>
          <w:numId w:val="2"/>
        </w:numPr>
        <w:spacing w:after="120" w:line="276"/>
      </w:pPr>
      <w:r>
        <w:rPr>
          <w:b/>
          <w:bCs/>
          <w:color w:val="1A1A1A"/>
          <w:sz w:val="21"/>
          <w:szCs w:val="21"/>
        </w:rPr>
        <w:t xml:space="preserve">Which rows are appointments. </w:t>
      </w:r>
      <w:r>
        <w:rPr>
          <w:color w:val="1A1A1A"/>
          <w:sz w:val="21"/>
          <w:szCs w:val="21"/>
        </w:rPr>
        <w:t xml:space="preserve">Each leadership file mixes appointment spells with the current administrative roster — the sitting VPs, chiefs of staff and associate deans. Roster rows carry no start year (1378 of 2699 rows in the R1 president file), so start year presence separates them. Counting rows without separating the two measures the size of a president's cabinet, not churn in the chair. For presidents the seat title is checked as well, because a few cabinet rows do carry a start year; the check consults each institution's own leader title so the three institutions led by a Dean or a Senior Vice President and Provost are not silently dropped.</w:t>
      </w:r>
    </w:p>
    <w:p>
      <w:pPr>
        <w:pStyle w:val="ListParagraph"/>
        <w:numPr>
          <w:ilvl w:val="0"/>
          <w:numId w:val="2"/>
        </w:numPr>
        <w:spacing w:after="120" w:line="276"/>
      </w:pPr>
      <w:r>
        <w:rPr>
          <w:b/>
          <w:bCs/>
          <w:color w:val="1A1A1A"/>
          <w:sz w:val="21"/>
          <w:szCs w:val="21"/>
        </w:rPr>
        <w:t xml:space="preserve">Why 1996. </w:t>
      </w:r>
      <w:r>
        <w:rPr>
          <w:color w:val="1A1A1A"/>
          <w:sz w:val="21"/>
          <w:szCs w:val="21"/>
        </w:rPr>
        <w:t xml:space="preserve">R2/R3 research was capped at appointments from about 1996 onward, while the R1 index runs back to the 1950s. Comparing uncapped would make R1 look calmer than it is, because a president who sat from 1962 to 1984 contributes one non-interim appointment to a stretch of years in which R2/R3 contributes nothing. Every cross-tier number uses the 1996+ window.</w:t>
      </w:r>
    </w:p>
    <w:p>
      <w:pPr>
        <w:pStyle w:val="ListParagraph"/>
        <w:numPr>
          <w:ilvl w:val="0"/>
          <w:numId w:val="2"/>
        </w:numPr>
        <w:spacing w:after="120" w:line="276"/>
      </w:pPr>
      <w:r>
        <w:rPr>
          <w:b/>
          <w:bCs/>
          <w:color w:val="1A1A1A"/>
          <w:sz w:val="21"/>
          <w:szCs w:val="21"/>
        </w:rPr>
        <w:t xml:space="preserve">An interim later confirmed is two appointments. </w:t>
      </w:r>
      <w:r>
        <w:rPr>
          <w:color w:val="1A1A1A"/>
          <w:sz w:val="21"/>
          <w:szCs w:val="21"/>
        </w:rPr>
        <w:t xml:space="preserve">38 presidents in the panel were appointed interim and then confirmed. Deduplication that folds those into one spell deletes a permanent appointment from the denominator while keeping the interim one in the numerator, biasing every rate upward.</w:t>
      </w:r>
    </w:p>
    <w:p>
      <w:pPr>
        <w:pStyle w:val="Heading1"/>
        <w:spacing w:after="160" w:before="360"/>
      </w:pPr>
      <w:r>
        <w:rPr>
          <w:b/>
          <w:bCs/>
          <w:color w:val="1A1A1A"/>
          <w:sz w:val="26"/>
          <w:szCs w:val="26"/>
        </w:rPr>
        <w:t xml:space="preserve">Caveats</w:t>
      </w:r>
    </w:p>
    <w:p>
      <w:pPr>
        <w:pStyle w:val="ListParagraph"/>
        <w:numPr>
          <w:ilvl w:val="0"/>
          <w:numId w:val="2"/>
        </w:numPr>
        <w:spacing w:after="120" w:line="276"/>
      </w:pPr>
      <w:r>
        <w:rPr>
          <w:b/>
          <w:bCs/>
          <w:color w:val="1A1A1A"/>
          <w:sz w:val="21"/>
          <w:szCs w:val="21"/>
        </w:rPr>
        <w:t xml:space="preserve">The R3 rate is a floor. </w:t>
      </w:r>
      <w:r>
        <w:rPr>
          <w:color w:val="1A1A1A"/>
          <w:sz w:val="21"/>
          <w:szCs w:val="21"/>
        </w:rPr>
        <w:t xml:space="preserve">R3 records 3.53 appointments per institution over the window against 4.63 for R1 and R2. That is either longer R3 tenures or thinner research, and single-year interim spells are the first thing thin research misses.</w:t>
      </w:r>
    </w:p>
    <w:p>
      <w:pPr>
        <w:pStyle w:val="ListParagraph"/>
        <w:numPr>
          <w:ilvl w:val="0"/>
          <w:numId w:val="2"/>
        </w:numPr>
        <w:spacing w:after="120" w:line="276"/>
      </w:pPr>
      <w:r>
        <w:rPr>
          <w:b/>
          <w:bCs/>
          <w:color w:val="1A1A1A"/>
          <w:sz w:val="21"/>
          <w:szCs w:val="21"/>
        </w:rPr>
        <w:t xml:space="preserve">The point-in-time reading is the weakest number. </w:t>
      </w:r>
      <w:r>
        <w:rPr>
          <w:color w:val="1A1A1A"/>
          <w:sz w:val="21"/>
          <w:szCs w:val="21"/>
        </w:rPr>
        <w:t xml:space="preserve">The share of chairs sitting interim today (R1 8.1%, R2 7.5%, R3 5.0%) is reported only as a truncation-free cross-check. Against a curated snapshot of the sitting R1 president at 170 institutions it disagrees on nine, nearly all of them interim spells the index never closed out after a permanent successor arrived. Stale incumbency inflates it in every tier, so the ordering survives but the levels read high.</w:t>
      </w:r>
    </w:p>
    <w:p>
      <w:pPr>
        <w:pStyle w:val="ListParagraph"/>
        <w:numPr>
          <w:ilvl w:val="0"/>
          <w:numId w:val="2"/>
        </w:numPr>
        <w:spacing w:after="120" w:line="276"/>
      </w:pPr>
      <w:r>
        <w:rPr>
          <w:b/>
          <w:bCs/>
          <w:color w:val="1A1A1A"/>
          <w:sz w:val="21"/>
          <w:szCs w:val="21"/>
        </w:rPr>
        <w:t xml:space="preserve">Tier vintage. </w:t>
      </w:r>
      <w:r>
        <w:rPr>
          <w:color w:val="1A1A1A"/>
          <w:sz w:val="21"/>
          <w:szCs w:val="21"/>
        </w:rPr>
        <w:t xml:space="preserve">Eleven institutions sit in both the R1 index and the R2/R3 index, because the R1 index follows the 2025 Carnegie vintage (which promoted Boise State, Chapman, TCU, Wake Forest, Stevens, UAH and NC A&amp;T) while the R2/R3 universe is the 2021 vintage. They are counted as R1 here; counting them as R2/R3 instead moves nothing material — R1 28.2%, R2 27.4%, R3 19.8%.</w:t>
      </w:r>
    </w:p>
    <w:p>
      <w:pPr>
        <w:pStyle w:val="ListParagraph"/>
        <w:numPr>
          <w:ilvl w:val="0"/>
          <w:numId w:val="2"/>
        </w:numPr>
        <w:spacing w:after="120" w:line="276"/>
      </w:pPr>
      <w:r>
        <w:rPr>
          <w:b/>
          <w:bCs/>
          <w:color w:val="1A1A1A"/>
          <w:sz w:val="21"/>
          <w:szCs w:val="21"/>
        </w:rPr>
        <w:t xml:space="preserve">Association, not causation. </w:t>
      </w:r>
      <w:r>
        <w:rPr>
          <w:color w:val="1A1A1A"/>
          <w:sz w:val="21"/>
          <w:szCs w:val="21"/>
        </w:rPr>
        <w:t xml:space="preserve">The temporal result says the two vacancies co-occur. It does not establish that presidential turnover causes schools to appoint interim deans, though the holding-pattern reading is the most natural mechanism.</w:t>
      </w:r>
    </w:p>
    <w:p>
      <w:pPr>
        <w:pStyle w:val="Heading1"/>
        <w:spacing w:after="160" w:before="360"/>
      </w:pPr>
      <w:r>
        <w:rPr>
          <w:b/>
          <w:bCs/>
          <w:color w:val="1A1A1A"/>
          <w:sz w:val="26"/>
          <w:szCs w:val="26"/>
        </w:rPr>
        <w:t xml:space="preserve">Reproducing</w:t>
      </w:r>
    </w:p>
    <w:p>
      <w:pPr>
        <w:spacing w:after="160" w:line="276"/>
      </w:pPr>
      <w:r>
        <w:rPr>
          <w:color w:val="1A1A1A"/>
          <w:sz w:val="21"/>
          <w:szCs w:val="21"/>
        </w:rPr>
        <w:t xml:space="preserve">Run from </w:t>
      </w:r>
      <w:r>
        <w:rPr>
          <w:rFonts w:ascii="Consolas" w:cs="Consolas" w:eastAsia="Consolas" w:hAnsi="Consolas"/>
          <w:color w:val="1A1A1A"/>
          <w:sz w:val="20"/>
          <w:szCs w:val="20"/>
        </w:rPr>
        <w:t xml:space="preserve">artifacts/dean-dashboard</w:t>
      </w:r>
      <w:r>
        <w:rPr>
          <w:color w:val="1A1A1A"/>
          <w:sz w:val="21"/>
          <w:szCs w:val="21"/>
        </w:rPr>
        <w:t xml:space="preserve">:</w:t>
      </w:r>
    </w:p>
    <w:p>
      <w:pPr>
        <w:shd w:fill="F4F4F4" w:color="auto" w:val="clear"/>
        <w:spacing w:after="80"/>
      </w:pPr>
      <w:r>
        <w:rPr>
          <w:rFonts w:ascii="Consolas" w:cs="Consolas" w:eastAsia="Consolas" w:hAnsi="Consolas"/>
          <w:color w:val="1A1A1A"/>
          <w:sz w:val="20"/>
          <w:szCs w:val="20"/>
        </w:rPr>
        <w:t xml:space="preserve">node scripts/analyze-interim-rates.mjs</w:t>
      </w:r>
    </w:p>
    <w:p>
      <w:pPr>
        <w:shd w:fill="F4F4F4" w:color="auto" w:val="clear"/>
        <w:spacing w:after="160"/>
      </w:pPr>
      <w:r>
        <w:rPr>
          <w:rFonts w:ascii="Consolas" w:cs="Consolas" w:eastAsia="Consolas" w:hAnsi="Consolas"/>
          <w:color w:val="1A1A1A"/>
          <w:sz w:val="20"/>
          <w:szCs w:val="20"/>
        </w:rPr>
        <w:t xml:space="preserve">node scripts/analyze-interim-rates.mjs --swap-vintage   # tier-assignment sensitivity</w:t>
      </w:r>
    </w:p>
    <w:p>
      <w:pPr>
        <w:spacing w:after="160" w:line="276"/>
      </w:pPr>
      <w:r>
        <w:rPr>
          <w:color w:val="1A1A1A"/>
          <w:sz w:val="21"/>
          <w:szCs w:val="21"/>
        </w:rPr>
        <w:t xml:space="preserve">Analysis: </w:t>
      </w:r>
      <w:r>
        <w:rPr>
          <w:rFonts w:ascii="Consolas" w:cs="Consolas" w:eastAsia="Consolas" w:hAnsi="Consolas"/>
          <w:color w:val="1A1A1A"/>
          <w:sz w:val="20"/>
          <w:szCs w:val="20"/>
        </w:rPr>
        <w:t xml:space="preserve">artifacts/dean-dashboard/scripts/analyze-interim-rates.mjs</w:t>
      </w:r>
      <w:r>
        <w:rPr>
          <w:color w:val="1A1A1A"/>
          <w:sz w:val="21"/>
          <w:szCs w:val="21"/>
        </w:rPr>
        <w:t xml:space="preserve"> and </w:t>
      </w:r>
      <w:r>
        <w:rPr>
          <w:rFonts w:ascii="Consolas" w:cs="Consolas" w:eastAsia="Consolas" w:hAnsi="Consolas"/>
          <w:color w:val="1A1A1A"/>
          <w:sz w:val="20"/>
          <w:szCs w:val="20"/>
        </w:rPr>
        <w:t xml:space="preserve">scripts/lib/interim-panel.mjs</w:t>
      </w:r>
      <w:r>
        <w:rPr>
          <w:color w:val="1A1A1A"/>
          <w:sz w:val="21"/>
          <w:szCs w:val="21"/>
        </w:rPr>
        <w:t xml:space="preserve">. Markdown source of these findings: </w:t>
      </w:r>
      <w:r>
        <w:rPr>
          <w:rFonts w:ascii="Consolas" w:cs="Consolas" w:eastAsia="Consolas" w:hAnsi="Consolas"/>
          <w:color w:val="1A1A1A"/>
          <w:sz w:val="20"/>
          <w:szCs w:val="20"/>
        </w:rPr>
        <w:t xml:space="preserve">docs/interim-rate-by-tier.md</w:t>
      </w:r>
      <w:r>
        <w:rPr>
          <w:color w:val="1A1A1A"/>
          <w:sz w:val="21"/>
          <w:szCs w:val="21"/>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Interim Rate in the President's Chair, by Carnegie Tier</dc:title>
  <dc:creator>Baton Index</dc:creator>
  <dc:description>Interim appointment rates for R1/R2/R3 presidents and their relationship to B-school dean rates</dc:description>
  <cp:lastModifiedBy>Un-named</cp:lastModifiedBy>
  <cp:revision>1</cp:revision>
  <dcterms:created xsi:type="dcterms:W3CDTF">2026-09-13T13:18:42.840Z</dcterms:created>
  <dcterms:modified xsi:type="dcterms:W3CDTF">2026-09-13T13:18:42.840Z</dcterms:modified>
</cp:coreProperties>
</file>

<file path=docProps/custom.xml><?xml version="1.0" encoding="utf-8"?>
<Properties xmlns="http://schemas.openxmlformats.org/officeDocument/2006/custom-properties" xmlns:vt="http://schemas.openxmlformats.org/officeDocument/2006/docPropsVTypes"/>
</file>