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9A6A10"/>
          <w:sz w:val="17"/>
          <w:szCs w:val="17"/>
          <w:spacing w:val="40"/>
        </w:rPr>
        <w:t xml:space="preserve">BATON INDEX · INSIGHT BRIEF</w:t>
      </w:r>
    </w:p>
    <w:p>
      <w:pPr>
        <w:spacing w:after="80"/>
      </w:pPr>
      <w:r>
        <w:rPr>
          <w:b/>
          <w:bCs/>
          <w:color w:val="011F5B"/>
          <w:sz w:val="40"/>
          <w:szCs w:val="40"/>
        </w:rPr>
        <w:t xml:space="preserve">Calibrating the Career Map: when is a leader “ripe to move,” and how far do they roam?</w:t>
      </w:r>
    </w:p>
    <w:p>
      <w:pPr>
        <w:spacing w:after="160" w:line="276"/>
      </w:pPr>
      <w:r>
        <w:rPr>
          <w:i/>
          <w:iCs/>
          <w:color w:val="5F5E58"/>
          <w:sz w:val="24"/>
          <w:szCs w:val="24"/>
        </w:rPr>
        <w:t xml:space="preserve">Two signals need peer-relative, data-grounded thresholds before we roll them out. Here is what the record says.</w:t>
      </w:r>
    </w:p>
    <w:p>
      <w:pPr>
        <w:spacing w:after="220" w:line="276"/>
      </w:pPr>
      <w:r>
        <w:rPr>
          <w:color w:val="5F5E58"/>
          <w:sz w:val="18"/>
          <w:szCs w:val="18"/>
        </w:rPr>
        <w:t xml:space="preserve">2026-07-26  ·  Basis: 7,523 completed tenures  ·  Mobility: 48-leader geocoded sample  ·  Status: for review</w:t>
      </w:r>
    </w:p>
    <w:p>
      <w:pPr>
        <w:spacing w:after="120" w:line="276"/>
      </w:pPr>
      <w:r>
        <w:t xml:space="preserve">The Career Map currently rates a sitting leader Ripe / Could / Not up to move using a fixed 75th-percentile tenure cut, and bins geographic reach at 100 / 500 / 1500 miles. Both were reasonable placeholders. This brief tests them against the full tenure record and a geocoded sample of career paths, and recommends peer-relative replacements. Nothing in the app has been changed yet.</w:t>
      </w:r>
    </w:p>
    <w:p>
      <w:pPr>
        <w:pStyle w:val="Heading1"/>
        <w:spacing w:before="260" w:after="60"/>
      </w:pPr>
      <w:r>
        <w:rPr>
          <w:color w:val="011F5B"/>
        </w:rPr>
        <w:t xml:space="preserve">Finding 1 — Tenure norms differ nearly two-fold across peer groups</w:t>
      </w:r>
    </w:p>
    <w:p>
      <w:pPr>
        <w:spacing w:after="120" w:line="276"/>
      </w:pPr>
      <w:r>
        <w:t xml:space="preserve">A provost is typically gone by year 5; a pharmacy dean often stays past 10. Rating everyone against one number would call long-tenure deans “settled” while they sit at the same percentile that makes a provost overdue. The rating must run against each leader’s own cohort (it already does, per index).</w:t>
      </w:r>
    </w:p>
    <w:tbl>
      <w:tblPr>
        <w:tblW w:type="dxa" w:w="9360"/>
        <w:tblBorders>
          <w:top w:val="single" w:color="D9D6CC" w:sz="2"/>
          <w:left w:val="none"/>
          <w:bottom w:val="single" w:color="D9D6CC" w:sz="2"/>
          <w:right w:val="none"/>
          <w:insideH w:val="single" w:color="D9D6CC" w:sz="2"/>
          <w:insideV w:val="none"/>
        </w:tblBorders>
      </w:tblPr>
      <w:tblGrid>
        <w:gridCol w:w="336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3360"/>
            <w:shd w:fill="EDEA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5F5E58"/>
                <w:sz w:val="17"/>
                <w:szCs w:val="17"/>
              </w:rPr>
              <w:t xml:space="preserve">Peer group</w:t>
            </w:r>
          </w:p>
        </w:tc>
        <w:tc>
          <w:tcPr>
            <w:tcW w:type="dxa" w:w="1200"/>
            <w:shd w:fill="EDEA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5F5E58"/>
                <w:sz w:val="17"/>
                <w:szCs w:val="17"/>
              </w:rPr>
              <w:t xml:space="preserve">n</w:t>
            </w:r>
          </w:p>
        </w:tc>
        <w:tc>
          <w:tcPr>
            <w:tcW w:type="dxa" w:w="1200"/>
            <w:shd w:fill="EDEA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5F5E58"/>
                <w:sz w:val="17"/>
                <w:szCs w:val="17"/>
              </w:rPr>
              <w:t xml:space="preserve">25th</w:t>
            </w:r>
          </w:p>
        </w:tc>
        <w:tc>
          <w:tcPr>
            <w:tcW w:type="dxa" w:w="1200"/>
            <w:shd w:fill="EDEA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5F5E58"/>
                <w:sz w:val="17"/>
                <w:szCs w:val="17"/>
              </w:rPr>
              <w:t xml:space="preserve">Median</w:t>
            </w:r>
          </w:p>
        </w:tc>
        <w:tc>
          <w:tcPr>
            <w:tcW w:type="dxa" w:w="1200"/>
            <w:shd w:fill="EDEA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5F5E58"/>
                <w:sz w:val="17"/>
                <w:szCs w:val="17"/>
              </w:rPr>
              <w:t xml:space="preserve">75th</w:t>
            </w:r>
          </w:p>
        </w:tc>
        <w:tc>
          <w:tcPr>
            <w:tcW w:type="dxa" w:w="1200"/>
            <w:shd w:fill="EDEA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5F5E58"/>
                <w:sz w:val="17"/>
                <w:szCs w:val="17"/>
              </w:rPr>
              <w:t xml:space="preserve">90th</w:t>
            </w:r>
          </w:p>
        </w:tc>
      </w:tr>
      <w:tr>
        <w:tc>
          <w:tcPr>
            <w:tcW w:type="dxa" w:w="3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Pharmacy deans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388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16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3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Vet / Ag / Nursing deans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~1,330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8–9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13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18–19</w:t>
            </w:r>
          </w:p>
        </w:tc>
      </w:tr>
      <w:tr>
        <w:tc>
          <w:tcPr>
            <w:tcW w:type="dxa" w:w="3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Presidents (R1)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799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3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 / Law / Education / A&amp;S deans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~2,400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4–5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6–7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9–11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12–16</w:t>
            </w:r>
          </w:p>
        </w:tc>
      </w:tr>
      <w:tr>
        <w:tc>
          <w:tcPr>
            <w:tcW w:type="dxa" w:w="3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B-school deans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468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3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Provosts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971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10</w:t>
            </w:r>
          </w:p>
        </w:tc>
      </w:tr>
    </w:tbl>
    <w:p>
      <w:pPr>
        <w:spacing w:after="160" w:line="276"/>
      </w:pPr>
      <w:r>
        <w:rPr>
          <w:color w:val="5F5E58"/>
          <w:sz w:val="18"/>
          <w:szCs w:val="18"/>
        </w:rPr>
        <w:t xml:space="preserve">Years in seat, completed permanent tenures only. Provost tenure is shortest because the role is so often a launchpad to a presidency.</w:t>
      </w:r>
    </w:p>
    <w:p>
      <w:pPr>
        <w:pStyle w:val="Heading1"/>
        <w:spacing w:before="260" w:after="60"/>
      </w:pPr>
      <w:r>
        <w:rPr>
          <w:color w:val="011F5B"/>
        </w:rPr>
        <w:t xml:space="preserve">Finding 2 — Being past the cohort norm really does mean elevated odds of leaving</w:t>
      </w:r>
    </w:p>
    <w:p>
      <w:pPr>
        <w:spacing w:after="120" w:line="276"/>
      </w:pPr>
      <w:r>
        <w:t xml:space="preserve">Annual departure hazard (the chance of leaving in a given year, given still serving) climbs steeply through the first five years, then plateaus in the mid-teens. Provosts run far hotter, near one-in-four every year past the median. A leader beyond their cohort’s 75th percentile is squarely in this high-turnover tail.</w:t>
      </w:r>
    </w:p>
    <w:tbl>
      <w:tblPr>
        <w:tblW w:type="dxa" w:w="9360"/>
        <w:tblBorders>
          <w:top w:val="single" w:color="D9D6CC" w:sz="2"/>
          <w:left w:val="none"/>
          <w:bottom w:val="single" w:color="D9D6CC" w:sz="2"/>
          <w:right w:val="none"/>
          <w:insideH w:val="single" w:color="D9D6CC" w:sz="2"/>
          <w:insideV w:val="none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shd w:fill="EDEA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5F5E58"/>
                <w:sz w:val="17"/>
                <w:szCs w:val="17"/>
              </w:rPr>
              <w:t xml:space="preserve">Departure hazard</w:t>
            </w:r>
          </w:p>
        </w:tc>
        <w:tc>
          <w:tcPr>
            <w:tcW w:type="dxa" w:w="2400"/>
            <w:shd w:fill="EDEA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5F5E58"/>
                <w:sz w:val="17"/>
                <w:szCs w:val="17"/>
              </w:rPr>
              <w:t xml:space="preserve">Year 3</w:t>
            </w:r>
          </w:p>
        </w:tc>
        <w:tc>
          <w:tcPr>
            <w:tcW w:type="dxa" w:w="2400"/>
            <w:shd w:fill="EDEA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5F5E58"/>
                <w:sz w:val="17"/>
                <w:szCs w:val="17"/>
              </w:rPr>
              <w:t xml:space="preserve">Year 5</w:t>
            </w:r>
          </w:p>
        </w:tc>
        <w:tc>
          <w:tcPr>
            <w:tcW w:type="dxa" w:w="2400"/>
            <w:shd w:fill="EDEA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5F5E58"/>
                <w:sz w:val="17"/>
                <w:szCs w:val="17"/>
              </w:rPr>
              <w:t xml:space="preserve">Year 8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 cohorts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9%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16%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16%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Presidents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8%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12%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14%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Provosts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19%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25%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28%</w:t>
            </w:r>
          </w:p>
        </w:tc>
      </w:tr>
    </w:tbl>
    <w:p>
      <w:pPr>
        <w:pStyle w:val="Heading1"/>
        <w:spacing w:before="260" w:after="60"/>
      </w:pPr>
      <w:r>
        <w:rPr>
          <w:color w:val="011F5B"/>
        </w:rPr>
        <w:t xml:space="preserve">Finding 3 — Tenures are shrinking, so an all-time benchmark is already stale</w:t>
      </w:r>
    </w:p>
    <w:p>
      <w:pPr>
        <w:spacing w:after="120" w:line="276"/>
      </w:pPr>
      <w:r>
        <w:t xml:space="preserve">Median completed tenure has slid from 9 years for 1970s starters to 6 for the 2010s (partly a real trend, partly because the longest recent tenures have not finished yet and so are not yet counted). An all-history distribution overstates how long today’s leaders will stay, making “ripe” too forgiving. The benchmark should be drawn from a recent window, e.g. tenures that ended in the last ~15 years.</w:t>
      </w:r>
    </w:p>
    <w:p>
      <w:pPr>
        <w:pStyle w:val="Heading1"/>
        <w:spacing w:before="260" w:after="60"/>
      </w:pPr>
      <w:r>
        <w:rPr>
          <w:color w:val="011F5B"/>
        </w:rPr>
        <w:t xml:space="preserve">Finding 4 — At the 75th-percentile cut, the flag is pleasantly selective (~9%)</w:t>
      </w:r>
    </w:p>
    <w:p>
      <w:pPr>
        <w:spacing w:after="120" w:line="276"/>
      </w:pPr>
      <w:r>
        <w:t xml:space="preserve">Across all indices, 173 of 1,860 current leaders (9%) sit at or beyond their cohort’s 75th percentile, ranging from 3% in the long-staying professional-school cohorts to 17% among system heads. That is a usable shortlist, not a dragnet, and a good argument for keeping the top tier near p75 while adding a middle “watch” band.</w:t>
      </w:r>
    </w:p>
    <w:p>
      <w:pPr>
        <w:pStyle w:val="Heading1"/>
        <w:spacing w:before="260" w:after="60"/>
      </w:pPr>
      <w:r>
        <w:rPr>
          <w:color w:val="011F5B"/>
        </w:rPr>
        <w:t xml:space="preserve">Finding 5 — Academic leaders move far; staying regional is the exception</w:t>
      </w:r>
    </w:p>
    <w:p>
      <w:pPr>
        <w:spacing w:after="120" w:line="276"/>
      </w:pPr>
      <w:r>
        <w:t xml:space="preserve">In the geocoded sample, the median relocation is 705 miles; only 3% of moves are local (under 100 miles). One in five leaders spends an entire career within ~100 miles, and those rooted profiles are the genuinely distinctive ones. The current bands treat “local” as a common case; the data says the opposite.</w:t>
      </w:r>
    </w:p>
    <w:tbl>
      <w:tblPr>
        <w:tblW w:type="dxa" w:w="9360"/>
        <w:tblBorders>
          <w:top w:val="single" w:color="D9D6CC" w:sz="2"/>
          <w:left w:val="none"/>
          <w:bottom w:val="single" w:color="D9D6CC" w:sz="2"/>
          <w:right w:val="none"/>
          <w:insideH w:val="single" w:color="D9D6CC" w:sz="2"/>
          <w:insideV w:val="none"/>
        </w:tblBorders>
      </w:tblPr>
      <w:tblGrid>
        <w:gridCol w:w="336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360"/>
            <w:shd w:fill="EDEA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5F5E58"/>
                <w:sz w:val="17"/>
                <w:szCs w:val="17"/>
              </w:rPr>
              <w:t xml:space="preserve">Distance measure</w:t>
            </w:r>
          </w:p>
        </w:tc>
        <w:tc>
          <w:tcPr>
            <w:tcW w:type="dxa" w:w="1500"/>
            <w:shd w:fill="EDEA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5F5E58"/>
                <w:sz w:val="17"/>
                <w:szCs w:val="17"/>
              </w:rPr>
              <w:t xml:space="preserve">25th</w:t>
            </w:r>
          </w:p>
        </w:tc>
        <w:tc>
          <w:tcPr>
            <w:tcW w:type="dxa" w:w="1500"/>
            <w:shd w:fill="EDEA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5F5E58"/>
                <w:sz w:val="17"/>
                <w:szCs w:val="17"/>
              </w:rPr>
              <w:t xml:space="preserve">Median</w:t>
            </w:r>
          </w:p>
        </w:tc>
        <w:tc>
          <w:tcPr>
            <w:tcW w:type="dxa" w:w="1500"/>
            <w:shd w:fill="EDEA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5F5E58"/>
                <w:sz w:val="17"/>
                <w:szCs w:val="17"/>
              </w:rPr>
              <w:t xml:space="preserve">75th</w:t>
            </w:r>
          </w:p>
        </w:tc>
        <w:tc>
          <w:tcPr>
            <w:tcW w:type="dxa" w:w="1500"/>
            <w:shd w:fill="EDEA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5F5E58"/>
                <w:sz w:val="17"/>
                <w:szCs w:val="17"/>
              </w:rPr>
              <w:t xml:space="preserve">90th</w:t>
            </w:r>
          </w:p>
        </w:tc>
      </w:tr>
      <w:tr>
        <w:tc>
          <w:tcPr>
            <w:tcW w:type="dxa" w:w="3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Single relocation (mi)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306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705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1,333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1,979</w:t>
            </w:r>
          </w:p>
        </w:tc>
      </w:tr>
      <w:tr>
        <w:tc>
          <w:tcPr>
            <w:tcW w:type="dxa" w:w="3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Career footprint, farthest two stops (mi)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190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737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1,767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011F5B"/>
                <w:sz w:val="19"/>
                <w:szCs w:val="19"/>
              </w:rPr>
              <w:t xml:space="preserve">2,319</w:t>
            </w:r>
          </w:p>
        </w:tc>
      </w:tr>
    </w:tbl>
    <w:p>
      <w:pPr>
        <w:spacing w:after="160" w:line="276"/>
      </w:pPr>
      <w:r>
        <w:rPr>
          <w:color w:val="5F5E58"/>
          <w:sz w:val="18"/>
          <w:szCs w:val="18"/>
        </w:rPr>
        <w:t xml:space="preserve">Also: 8% of sampled leaders have at least one non-US posting (5 of 207 steps) — enough to justify the multi-country map for a real minority.</w:t>
      </w:r>
    </w:p>
    <w:p>
      <w:pPr>
        <w:pStyle w:val="Heading1"/>
        <w:spacing w:before="260" w:after="60"/>
      </w:pPr>
      <w:r>
        <w:rPr>
          <w:color w:val="011F5B"/>
        </w:rPr>
        <w:t xml:space="preserve">Recommendations (for review, not yet applied)</w:t>
      </w:r>
    </w:p>
    <w:p>
      <w:pPr>
        <w:pStyle w:val="Heading2"/>
        <w:spacing w:before="220" w:after="40"/>
      </w:pPr>
      <w:r>
        <w:rPr>
          <w:color w:val="011F5B"/>
        </w:rPr>
        <w:t xml:space="preserve">Movability rating — cohort- and era-relative, three tiers</w:t>
      </w:r>
    </w:p>
    <w:p>
      <w:pPr>
        <w:spacing w:after="120" w:line="276"/>
      </w:pPr>
      <w:r>
        <w:t xml:space="preserve">Benchmark each sitting leader against completed tenures in their own index that ended in the last ~15 years, then: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Settled — below the cohort median.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Watch — between the median and the 75th percentile.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Ripe — at or above the 75th percentile (optionally flag “Long overdue” at the 90th).</w:t>
      </w:r>
    </w:p>
    <w:p>
      <w:pPr>
        <w:spacing w:after="120" w:line="276"/>
      </w:pPr>
      <w:r>
        <w:t xml:space="preserve">Keep the personal-history nudge: if current tenure exceeds ~1.3× the leader’s own past average, bump up one tier. Retain the “statistical signal only” disclaimer — it is doing real work (Michael Crow reads “ripe” at 24 years yet is an ASU institution).</w:t>
      </w:r>
    </w:p>
    <w:p>
      <w:pPr>
        <w:pStyle w:val="Heading2"/>
        <w:spacing w:before="220" w:after="40"/>
      </w:pPr>
      <w:r>
        <w:rPr>
          <w:color w:val="011F5B"/>
        </w:rPr>
        <w:t xml:space="preserve">Reach bands — from the footprint distribution, not round numbers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Rooted — career footprint under 200 miles (~1 in 5; the rare, informative label).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Multi-region — 200 to 1,200 miles.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National — over 1,200 miles.</w:t>
      </w:r>
    </w:p>
    <w:p>
      <w:pPr>
        <w:spacing w:after="120" w:line="276"/>
      </w:pPr>
      <w:r>
        <w:t xml:space="preserve">Relocation cadence: 0 = rooted, 1–2 = typical, 3+ = frequent mover (top ~20%).</w:t>
      </w:r>
    </w:p>
    <w:p>
      <w:pPr>
        <w:pStyle w:val="Heading2"/>
        <w:spacing w:before="220" w:after="40"/>
      </w:pPr>
      <w:r>
        <w:rPr>
          <w:color w:val="011F5B"/>
        </w:rPr>
        <w:t xml:space="preserve">Build the multi-country map</w:t>
      </w:r>
    </w:p>
    <w:p>
      <w:pPr>
        <w:spacing w:after="120" w:line="276"/>
      </w:pPr>
      <w:r>
        <w:t xml:space="preserve">~8% of leaders need it. Switch to a world projection when any step is non-US; keep the US map for the domestic majority.</w:t>
      </w:r>
    </w:p>
    <w:p>
      <w:pPr>
        <w:pStyle w:val="Heading1"/>
        <w:spacing w:before="260" w:after="60"/>
      </w:pPr>
      <w:r>
        <w:rPr>
          <w:color w:val="011F5B"/>
        </w:rPr>
        <w:t xml:space="preserve">Caveats</w:t>
      </w:r>
    </w:p>
    <w:p>
      <w:pPr>
        <w:spacing w:after="120" w:line="276"/>
      </w:pPr>
      <w:r>
        <w:rPr>
          <w:color w:val="5F5E58"/>
        </w:rPr>
        <w:t xml:space="preserve">The mobility figures come from a 48-leader geocoded sample; widening the geocoding will firm up the percentiles (expect the shape to hold). Tenure percentiles are exact but the era trend is partly a right-censoring artifact, so a proper survival estimate would refine, not overturn, the “recent-window” recommendation. All ratings remain statistical: they measure exposure to a move, not intent.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2026-07-26T13:04:55.031Z</dcterms:created>
  <dcterms:modified xsi:type="dcterms:W3CDTF">2026-07-26T13:04:55.032Z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