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 </w:t>
      </w:r>
      <w:r>
        <w:t>13 first- or corresponding-author publications (12 journal articles and 1 conference paper); 1 accepted article; 6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6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5.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and accepted papers (first or corresponding author) 14</w:t>
      </w:r>
    </w:p>
    <w:p w14:paraId="2BD03CE1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Accepted 9 October 2026; in production.</w:t>
      </w:r>
    </w:p>
    <w:p w14:paraId="0312F374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7.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8.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14.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Water-balance-based catchment storage indicator and daily hydrological-state classification.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22 entries</w:t>
      </w:r>
    </w:p>
    <w:p w14:paraId="051558D5">
      <w:pPr>
        <w:pStyle w:val="4"/>
      </w:pPr>
      <w:r>
        <w:t>Honors and scholarships</w:t>
      </w:r>
    </w:p>
    <w:p w14:paraId="6BCF715D">
      <w:pPr>
        <w:keepNext w:val="0"/>
        <w:keepLines/>
        <w:ind w:left="317" w:hanging="317"/>
        <w:jc w:val="both"/>
      </w:pPr>
      <w:r>
        <w:t>1. National Scholarship; 2025.</w:t>
      </w:r>
    </w:p>
    <w:p w14:paraId="4FA29AB0">
      <w:pPr>
        <w:keepNext w:val="0"/>
        <w:keepLines/>
        <w:ind w:left="317" w:hanging="317"/>
        <w:jc w:val="both"/>
      </w:pPr>
      <w:r>
        <w:t>2.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3.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4.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5.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6.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7. National Scholarship; 2021.</w:t>
      </w:r>
    </w:p>
    <w:p w14:paraId="1A760F13">
      <w:pPr>
        <w:keepNext w:val="0"/>
        <w:keepLines/>
        <w:ind w:left="317" w:hanging="317"/>
        <w:jc w:val="both"/>
      </w:pPr>
      <w:r>
        <w:t>8.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9.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10.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2026-10-05T01:15:07Z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