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2DC50A">
      <w:pPr>
        <w:pStyle w:val="27"/>
        <w:spacing w:after="326"/>
      </w:pPr>
      <w:r>
        <w:rPr>
          <w:rFonts w:hint="eastAsia"/>
        </w:rPr>
        <w:t>电路模型探究装置（</w:t>
      </w:r>
      <w:r>
        <w:rPr>
          <w:rFonts w:hint="default"/>
          <w:lang w:val="en-US"/>
        </w:rPr>
        <w:t>G</w:t>
      </w:r>
      <w:r>
        <w:rPr>
          <w:rFonts w:hint="eastAsia"/>
        </w:rPr>
        <w:t xml:space="preserve"> 题）</w:t>
      </w:r>
    </w:p>
    <w:p w14:paraId="58D2F47C"/>
    <w:p w14:paraId="71AC0717">
      <w:r>
        <w:rPr>
          <w:rFonts w:ascii="宋体" w:hAnsi="宋体" w:cs="Times New Roman"/>
          <w:b/>
        </w:rPr>
        <w:t>摘要</w:t>
      </w:r>
      <w:r>
        <w:rPr>
          <w:rFonts w:ascii="宋体" w:hAnsi="宋体" w:cs="Times New Roman"/>
        </w:rPr>
        <w:t>：</w:t>
      </w:r>
      <w:r>
        <w:t>本装置以STM32F40</w:t>
      </w:r>
      <w:r>
        <w:rPr>
          <w:rFonts w:hint="eastAsia"/>
          <w:lang w:val="en-US" w:eastAsia="zh-CN"/>
        </w:rPr>
        <w:t>7</w:t>
      </w:r>
      <w:r>
        <w:t>微控制器为核心，结合DDS信号源、高精度ADC采样及数字信号处理技术，对已知及未知电路模型的自动化分析与控制。本系统分两大功能模块。第一，针对</w:t>
      </w:r>
      <w:r>
        <w:rPr>
          <w:b w:val="0"/>
          <w:bCs w:val="0"/>
        </w:rPr>
        <w:t>已知二阶系统模型</w:t>
      </w:r>
      <w:r>
        <w:t>，装置能够根据用户设定的目标输出频率（100Hz-3kHz）和电压（1-2V），通过传递函数H(s)反算出所需的输入电压，并精确控制DDS输出</w:t>
      </w:r>
      <w:r>
        <w:rPr>
          <w:rFonts w:hint="eastAsia"/>
          <w:lang w:eastAsia="zh-CN"/>
        </w:rPr>
        <w:t>。</w:t>
      </w:r>
      <w:r>
        <w:t>第二，针对</w:t>
      </w:r>
      <w:r>
        <w:rPr>
          <w:b w:val="0"/>
          <w:bCs w:val="0"/>
        </w:rPr>
        <w:t>未知RLC电路模型</w:t>
      </w:r>
      <w:r>
        <w:t>，装置具备自主学习与建模能力。通过自动扫频（1kHz-500kHz）获取电路的幅频响应数据，采用基于Levenberg-Marquardt（LM）算</w:t>
      </w:r>
      <w:bookmarkStart w:id="3" w:name="_GoBack"/>
      <w:bookmarkEnd w:id="3"/>
      <w:r>
        <w:t>法的专家拟合系统，精确辨识出电路的滤波类型（低通、高通、带通、带阻）及其关键参数（k, f0, Q）。学习完成后，装置能实时采集外部信号，通过数字IIR滤波器模拟未知电路的响应，</w:t>
      </w:r>
      <w:r>
        <w:rPr>
          <w:rFonts w:hint="eastAsia"/>
          <w:lang w:val="en-US" w:eastAsia="zh-CN"/>
        </w:rPr>
        <w:t>与实际信号</w:t>
      </w:r>
      <w:r>
        <w:t>峰峰值相对误差小于10%，波形稳定无失真。</w:t>
      </w:r>
    </w:p>
    <w:p w14:paraId="44AD8F6F">
      <w:r>
        <w:rPr>
          <w:b/>
          <w:bCs/>
        </w:rPr>
        <w:t>关键词</w:t>
      </w:r>
      <w:r>
        <w:t>：电路模型，系统辨识，自动控制，数字滤波器，STM32</w:t>
      </w:r>
    </w:p>
    <w:p w14:paraId="39E546D4">
      <w:pPr>
        <w:widowControl/>
        <w:spacing w:line="240" w:lineRule="auto"/>
        <w:jc w:val="left"/>
      </w:pPr>
      <w:r>
        <w:br w:type="page"/>
      </w:r>
    </w:p>
    <w:p w14:paraId="2DB5C89D">
      <w:pPr>
        <w:pStyle w:val="2"/>
      </w:pPr>
      <w:r>
        <w:rPr>
          <w:rFonts w:hint="eastAsia"/>
        </w:rPr>
        <w:t>方案对比与论证</w:t>
      </w:r>
    </w:p>
    <w:p w14:paraId="31A2E39F">
      <w:pPr>
        <w:pStyle w:val="3"/>
      </w:pPr>
      <w:r>
        <w:rPr>
          <w:rFonts w:hint="eastAsia"/>
          <w:lang w:val="en-US" w:eastAsia="zh-CN"/>
        </w:rPr>
        <w:t>波形</w:t>
      </w:r>
      <w:r>
        <w:rPr>
          <w:rFonts w:hint="eastAsia"/>
        </w:rPr>
        <w:t>发生电路</w:t>
      </w:r>
    </w:p>
    <w:p w14:paraId="31100B05">
      <w:pPr>
        <w:rPr>
          <w:rFonts w:ascii="宋体" w:hAnsi="宋体"/>
        </w:rPr>
      </w:pPr>
      <w:r>
        <w:rPr>
          <w:rFonts w:hint="eastAsia" w:ascii="宋体" w:hAnsi="宋体"/>
        </w:rPr>
        <w:t>【方案一】采用DDS集成模块，由单片机控制输出可调固定频率、幅值的正弦波，AD</w:t>
      </w:r>
      <w:r>
        <w:rPr>
          <w:rFonts w:ascii="宋体" w:hAnsi="宋体"/>
        </w:rPr>
        <w:t>9910</w:t>
      </w:r>
      <w:r>
        <w:rPr>
          <w:rFonts w:hint="eastAsia" w:ascii="宋体" w:hAnsi="宋体"/>
        </w:rPr>
        <w:t>输出的正弦波的最高频率可达4</w:t>
      </w:r>
      <w:r>
        <w:rPr>
          <w:rFonts w:ascii="宋体" w:hAnsi="宋体"/>
        </w:rPr>
        <w:t>20</w:t>
      </w:r>
      <w:r>
        <w:rPr>
          <w:rFonts w:hint="eastAsia" w:ascii="宋体" w:hAnsi="宋体"/>
        </w:rPr>
        <w:t>MHz，具有扫频功能。该方案的优点是频率分辨率高，相关波形参数可调，缺点是成本较高。</w:t>
      </w:r>
    </w:p>
    <w:p w14:paraId="7DAF0149">
      <w:pPr>
        <w:rPr>
          <w:rFonts w:ascii="宋体" w:hAnsi="宋体"/>
        </w:rPr>
      </w:pPr>
      <w:r>
        <w:rPr>
          <w:rFonts w:hint="eastAsia" w:ascii="宋体" w:hAnsi="宋体"/>
        </w:rPr>
        <w:t>【方案二】采用锁相环频率合成，该方法可以产生频率稳定精确、且频率大范围可调的信号，优点是频率相对更稳定精确，缺点是电路更复杂，且工作频率范围由电路参数控制，不易直接调节。</w:t>
      </w:r>
    </w:p>
    <w:p w14:paraId="220160EB">
      <w:pPr>
        <w:rPr>
          <w:rFonts w:ascii="宋体" w:hAnsi="宋体"/>
        </w:rPr>
      </w:pPr>
      <w:r>
        <w:rPr>
          <w:rFonts w:ascii="宋体" w:hAnsi="宋体"/>
        </w:rPr>
        <w:tab/>
      </w:r>
      <w:r>
        <w:rPr>
          <w:rFonts w:hint="eastAsia" w:ascii="宋体" w:hAnsi="宋体"/>
          <w:lang w:val="en-US" w:eastAsia="zh-CN"/>
        </w:rPr>
        <w:t>波形</w:t>
      </w:r>
      <w:r>
        <w:rPr>
          <w:rFonts w:hint="eastAsia" w:ascii="宋体" w:hAnsi="宋体"/>
        </w:rPr>
        <w:t>发生的目的是为装置提供频率稳定的测量正弦波信号，考虑到在进一步的电路设计分析中，需要尝试不同频率的测量信号，因此更希望波</w:t>
      </w:r>
      <w:r>
        <w:rPr>
          <w:rFonts w:hint="eastAsia" w:ascii="宋体" w:hAnsi="宋体"/>
          <w:lang w:val="en-US" w:eastAsia="zh-CN"/>
        </w:rPr>
        <w:t>形</w:t>
      </w:r>
      <w:r>
        <w:rPr>
          <w:rFonts w:hint="eastAsia" w:ascii="宋体" w:hAnsi="宋体"/>
        </w:rPr>
        <w:t>发生电路频率稳定便于调节，结构简单。因此选择方案一。</w:t>
      </w:r>
    </w:p>
    <w:p w14:paraId="4D05A1B3">
      <w:pPr>
        <w:rPr>
          <w:rFonts w:ascii="宋体" w:hAnsi="宋体"/>
        </w:rPr>
      </w:pPr>
    </w:p>
    <w:p w14:paraId="50594D90">
      <w:pPr>
        <w:rPr>
          <w:rFonts w:ascii="宋体" w:hAnsi="宋体"/>
        </w:rPr>
      </w:pPr>
    </w:p>
    <w:p w14:paraId="34132994">
      <w:pPr>
        <w:pStyle w:val="3"/>
      </w:pPr>
      <w:r>
        <w:rPr>
          <w:rFonts w:hint="eastAsia" w:ascii="Times New Roman" w:hAnsi="Times New Roman" w:eastAsia="宋体"/>
          <w:sz w:val="28"/>
          <w:szCs w:val="28"/>
        </w:rPr>
        <w:t>信号输入方案</w:t>
      </w:r>
      <w:r>
        <w:rPr>
          <w:rFonts w:ascii="Times New Roman" w:hAnsi="宋体" w:eastAsia="宋体"/>
          <w:sz w:val="28"/>
          <w:szCs w:val="28"/>
        </w:rPr>
        <w:t>的论证与选择</w:t>
      </w:r>
    </w:p>
    <w:p w14:paraId="45427485">
      <w:pPr>
        <w:rPr>
          <w:rFonts w:hint="eastAsia" w:hAnsi="宋体"/>
          <w:sz w:val="24"/>
          <w:szCs w:val="24"/>
        </w:rPr>
      </w:pPr>
      <w:r>
        <w:rPr>
          <w:rFonts w:hint="eastAsia"/>
        </w:rPr>
        <w:t>【方案一】</w:t>
      </w:r>
      <w:r>
        <w:rPr>
          <w:rFonts w:hint="eastAsia" w:hAnsi="宋体"/>
          <w:sz w:val="24"/>
          <w:szCs w:val="24"/>
        </w:rPr>
        <w:t>外挂ADC模块（如TI的ADS1115或AD7606）可提供更高分辨率（16-24位）和更宽动态范围</w:t>
      </w:r>
      <w:r>
        <w:rPr>
          <w:rFonts w:hint="eastAsia" w:hAnsi="宋体"/>
          <w:sz w:val="24"/>
          <w:szCs w:val="24"/>
          <w:lang w:eastAsia="zh-CN"/>
        </w:rPr>
        <w:t>。</w:t>
      </w:r>
      <w:r>
        <w:rPr>
          <w:rFonts w:hint="eastAsia" w:hAnsi="宋体"/>
          <w:sz w:val="24"/>
          <w:szCs w:val="24"/>
        </w:rPr>
        <w:t>部分高速</w:t>
      </w:r>
      <w:r>
        <w:rPr>
          <w:rFonts w:hint="default" w:hAnsi="宋体"/>
          <w:sz w:val="24"/>
          <w:szCs w:val="24"/>
          <w:lang w:val="en-US"/>
        </w:rPr>
        <w:t>ADC</w:t>
      </w:r>
      <w:r>
        <w:rPr>
          <w:rFonts w:hint="eastAsia" w:hAnsi="宋体"/>
          <w:sz w:val="24"/>
          <w:szCs w:val="24"/>
        </w:rPr>
        <w:t>型号（如AD9288）采样率可达100MSPS，远超STM32板载ADC。其优势在于信号调理电路可独立设计，减少数字噪声干扰，提高信噪比；高精度型号（如24位Σ-Δ型ADC）适合微弱信号采集。然而，该方案存在关键缺陷：外挂ADC使用独立时钟源（通常为外部晶振），与STM32系统时钟不同步，导致采样时钟存在固有偏差（±30ppm或更高）；在进行数字滤波和信号处理时，时钟漂移将引起相位误差累积，严重影响频率响应测量精度；</w:t>
      </w:r>
    </w:p>
    <w:p w14:paraId="736DFC09">
      <w:pPr>
        <w:spacing w:line="300" w:lineRule="auto"/>
      </w:pPr>
      <w:r>
        <w:rPr>
          <w:rFonts w:hint="eastAsia"/>
        </w:rPr>
        <w:t>【方案二】</w:t>
      </w:r>
      <w:r>
        <w:rPr>
          <w:rFonts w:hint="eastAsia" w:hAnsi="宋体"/>
          <w:sz w:val="24"/>
          <w:szCs w:val="24"/>
        </w:rPr>
        <w:t>采用STM32板载ADC</w:t>
      </w:r>
      <w:r>
        <w:rPr>
          <w:rFonts w:hint="eastAsia"/>
        </w:rPr>
        <w:t>。STM32F407ZGT6集成3个12位精度ADC，总采样率可达8.4MSPS（3</w:t>
      </w:r>
      <w:r>
        <w:rPr>
          <w:rFonts w:hint="eastAsia"/>
          <w:lang w:val="en-US" w:eastAsia="zh-CN"/>
        </w:rPr>
        <w:t>交错</w:t>
      </w:r>
      <w:r>
        <w:rPr>
          <w:rFonts w:hint="eastAsia"/>
        </w:rPr>
        <w:t>采样），单通道最高2.4MSPS，理论可采集1.2MHz以下信号（满足奈奎斯特准则）。其核心优势在于与主控时钟完全同步，ADC采样时钟源自APB2总线（经分频后最高30MHz），与系统时钟严格一致，彻底消除时钟漂移问题；内置硬件过采样功能可提升有效分辨率至14位；支持DMA直接内存访问，减轻CPU负担；</w:t>
      </w:r>
    </w:p>
    <w:p w14:paraId="4286EB5E">
      <w:r>
        <w:tab/>
      </w:r>
      <w:r>
        <w:rPr>
          <w:rFonts w:hint="eastAsia"/>
        </w:rPr>
        <w:t>综上，考虑到</w:t>
      </w:r>
      <w:r>
        <w:rPr>
          <w:rFonts w:hint="eastAsia"/>
          <w:lang w:val="en-US" w:eastAsia="zh-CN"/>
        </w:rPr>
        <w:t>题目</w:t>
      </w:r>
      <w:r>
        <w:rPr>
          <w:rFonts w:hint="eastAsia"/>
        </w:rPr>
        <w:t>的要求，方案二能更直接、更</w:t>
      </w:r>
      <w:r>
        <w:rPr>
          <w:rFonts w:hint="eastAsia"/>
          <w:lang w:val="en-US" w:eastAsia="zh-CN"/>
        </w:rPr>
        <w:t>精确的实现信号的采样与同步输出的兼容</w:t>
      </w:r>
      <w:r>
        <w:rPr>
          <w:rFonts w:hint="eastAsia"/>
        </w:rPr>
        <w:t>，因此选择方案二。</w:t>
      </w:r>
    </w:p>
    <w:p w14:paraId="36C990D6"/>
    <w:p w14:paraId="0692EDBE"/>
    <w:p w14:paraId="09D85DD9"/>
    <w:p w14:paraId="67BF9E91">
      <w:pPr>
        <w:pStyle w:val="3"/>
      </w:pPr>
      <w:bookmarkStart w:id="0" w:name="_Toc426537776"/>
      <w:r>
        <w:rPr>
          <w:rFonts w:hint="eastAsia"/>
        </w:rPr>
        <w:t>交流信号输出方案</w:t>
      </w:r>
      <w:r>
        <w:t>的论证与选择</w:t>
      </w:r>
      <w:bookmarkEnd w:id="0"/>
    </w:p>
    <w:p w14:paraId="2D7CE65A">
      <w:pPr>
        <w:spacing w:line="300" w:lineRule="auto"/>
        <w:rPr>
          <w:rFonts w:hint="eastAsia" w:hAnsi="宋体"/>
          <w:sz w:val="24"/>
          <w:szCs w:val="24"/>
        </w:rPr>
      </w:pPr>
      <w:r>
        <w:rPr>
          <w:rFonts w:hint="eastAsia"/>
        </w:rPr>
        <w:t>【方案一】</w:t>
      </w:r>
      <w:r>
        <w:rPr>
          <w:rFonts w:hint="eastAsia" w:hAnsi="宋体"/>
          <w:sz w:val="24"/>
          <w:szCs w:val="24"/>
        </w:rPr>
        <w:t>STM32板载DAC</w:t>
      </w:r>
      <w:r>
        <w:rPr>
          <w:rFonts w:hint="eastAsia"/>
        </w:rPr>
        <w:t>。</w:t>
      </w:r>
      <w:r>
        <w:rPr>
          <w:rFonts w:hint="eastAsia" w:hAnsi="宋体"/>
          <w:sz w:val="24"/>
          <w:szCs w:val="24"/>
        </w:rPr>
        <w:t>STM32F407ZGT6内置双通道12位DAC，最高更新率达1MSPS，理论输出正弦波频率可达500kHz（满足奈奎斯特准则）。其优势在于与主控时钟完全同步，无时钟漂移问题，可确保输出信号与系统时钟严格同频；数字信号处理直接在MCU内部完成，延迟低且可控。通过软件实现IIR滤波算法，能精确复现目标系统的频率响应特性。但受限于DAC更新率，单一通道最高输出频率不足1MHz；输出电压范围为0-3.3V，需通过精密运放（如OPA2211）构建放大与偏置电路才能达到3V峰峰值要求；高频段谐波失真增加，影响信号纯度。</w:t>
      </w:r>
    </w:p>
    <w:p w14:paraId="0A9EA6BD">
      <w:pPr>
        <w:spacing w:line="300" w:lineRule="auto"/>
        <w:rPr>
          <w:rFonts w:hint="eastAsia" w:hAnsi="宋体"/>
          <w:sz w:val="24"/>
          <w:szCs w:val="24"/>
        </w:rPr>
      </w:pPr>
      <w:r>
        <w:rPr>
          <w:rFonts w:hint="eastAsia"/>
        </w:rPr>
        <w:t>【方案二】</w:t>
      </w:r>
      <w:r>
        <w:rPr>
          <w:rFonts w:hint="eastAsia" w:hAnsi="宋体"/>
          <w:sz w:val="24"/>
          <w:szCs w:val="24"/>
        </w:rPr>
        <w:t>FPGA结合并行传输DAC</w:t>
      </w:r>
      <w:r>
        <w:rPr>
          <w:rFonts w:hint="eastAsia"/>
        </w:rPr>
        <w:t>。</w:t>
      </w:r>
      <w:r>
        <w:rPr>
          <w:rFonts w:hint="eastAsia" w:hAnsi="宋体"/>
          <w:sz w:val="24"/>
          <w:szCs w:val="24"/>
        </w:rPr>
        <w:t>采用FPGA（如Xilinx Artix-7）配合高速DAC（如AD9767，125MSPS）可实现高达40MHz的输出频率，远超题目要求。FPGA的并行处理架构能实时计算复杂波形，支持多通道同步输出。但该方案系统复杂度高，需额外设计FPGA与STM32的高速通信接口（如FMC或并行总线），增加硬件设计难度和成本；两系统时钟不同步导致相位抖动，难以满足频率误差&lt;5%的要求；开发周期长，不利于竞赛时限内完成</w:t>
      </w:r>
    </w:p>
    <w:p w14:paraId="3C35AF71">
      <w:pPr>
        <w:spacing w:line="300" w:lineRule="auto"/>
        <w:rPr>
          <w:rFonts w:hint="eastAsia" w:hAnsi="宋体" w:eastAsia="宋体"/>
          <w:sz w:val="24"/>
          <w:szCs w:val="24"/>
          <w:lang w:val="en-US" w:eastAsia="zh-CN"/>
        </w:rPr>
      </w:pPr>
      <w:r>
        <w:rPr>
          <w:rFonts w:hint="eastAsia" w:hAnsi="宋体"/>
          <w:sz w:val="24"/>
          <w:szCs w:val="24"/>
          <w:lang w:eastAsia="zh-CN"/>
        </w:rPr>
        <w:t>【</w:t>
      </w:r>
      <w:r>
        <w:rPr>
          <w:rFonts w:hint="eastAsia" w:hAnsi="宋体"/>
          <w:sz w:val="24"/>
          <w:szCs w:val="24"/>
          <w:lang w:val="en-US" w:eastAsia="zh-CN"/>
        </w:rPr>
        <w:t>方案三</w:t>
      </w:r>
      <w:r>
        <w:rPr>
          <w:rFonts w:hint="eastAsia" w:hAnsi="宋体"/>
          <w:sz w:val="24"/>
          <w:szCs w:val="24"/>
          <w:lang w:eastAsia="zh-CN"/>
        </w:rPr>
        <w:t>】</w:t>
      </w:r>
      <w:r>
        <w:rPr>
          <w:rFonts w:hint="eastAsia" w:hAnsi="宋体"/>
          <w:sz w:val="24"/>
          <w:szCs w:val="24"/>
        </w:rPr>
        <w:t>STM32外挂DDS模块</w:t>
      </w:r>
      <w:r>
        <w:rPr>
          <w:rFonts w:hint="eastAsia" w:hAnsi="宋体"/>
          <w:sz w:val="24"/>
          <w:szCs w:val="24"/>
          <w:lang w:val="en-US" w:eastAsia="zh-CN"/>
        </w:rPr>
        <w:t xml:space="preserve"> </w:t>
      </w:r>
      <w:r>
        <w:rPr>
          <w:rFonts w:hint="eastAsia" w:hAnsi="宋体"/>
          <w:sz w:val="24"/>
          <w:szCs w:val="24"/>
        </w:rPr>
        <w:t>采用AD9850等DDS芯片（时钟70MHz），频率分辨率可达0.04Hz，输出频率范围0-40MHz，完全满足&gt;1MHz的要求。其优势在于频率切换速度快（&lt;100ns），扫频过程中无需等待稳定，可高效采集多频点数据用于H(s)建模；输出信号频谱纯净，THD&lt;-80dBc。但DDS使用独立晶振（通常±30ppm精度），与STM32系统时钟存在固有偏差，导致输出信号与输入信号存在频率漂移，无法满足"稳定同频显示"要求；输出幅度仅0.5Vpp，需多级放大才能达到3V峰峰值，增加电路复杂度。</w:t>
      </w:r>
    </w:p>
    <w:p w14:paraId="15F18E08">
      <w:pPr>
        <w:ind w:firstLine="420"/>
        <w:rPr>
          <w:rFonts w:hint="eastAsia" w:hAnsi="宋体"/>
          <w:sz w:val="24"/>
          <w:szCs w:val="24"/>
          <w:lang w:eastAsia="zh-CN"/>
        </w:rPr>
      </w:pPr>
      <w:r>
        <w:rPr>
          <w:rFonts w:hint="eastAsia" w:hAnsi="宋体"/>
          <w:sz w:val="24"/>
          <w:szCs w:val="24"/>
        </w:rPr>
        <w:t>综合题目双重需求：基础任务要求快速扫频建模，拓展任务要求稳定同频显示。经</w:t>
      </w:r>
      <w:r>
        <w:rPr>
          <w:rFonts w:hint="eastAsia" w:hAnsi="宋体"/>
          <w:sz w:val="24"/>
          <w:szCs w:val="24"/>
          <w:lang w:val="en-US" w:eastAsia="zh-CN"/>
        </w:rPr>
        <w:t>如下</w:t>
      </w:r>
      <w:r>
        <w:rPr>
          <w:rFonts w:hint="eastAsia" w:hAnsi="宋体"/>
          <w:sz w:val="24"/>
          <w:szCs w:val="24"/>
        </w:rPr>
        <w:t>论证，采用方案一与方案三结合的策略</w:t>
      </w:r>
      <w:r>
        <w:rPr>
          <w:rFonts w:hint="eastAsia" w:hAnsi="宋体"/>
          <w:sz w:val="24"/>
          <w:szCs w:val="24"/>
          <w:lang w:eastAsia="zh-CN"/>
        </w:rPr>
        <w:t>：</w:t>
      </w:r>
    </w:p>
    <w:p w14:paraId="731E66D2">
      <w:pPr>
        <w:spacing w:line="300" w:lineRule="auto"/>
        <w:ind w:firstLine="537" w:firstLineChars="224"/>
        <w:rPr>
          <w:rFonts w:hint="eastAsia" w:hAnsi="宋体"/>
          <w:sz w:val="24"/>
          <w:szCs w:val="24"/>
        </w:rPr>
      </w:pPr>
      <w:r>
        <w:rPr>
          <w:rFonts w:hint="eastAsia" w:hAnsi="宋体"/>
          <w:sz w:val="24"/>
          <w:szCs w:val="24"/>
        </w:rPr>
        <w:t>1. 扫频建模阶段：使用DDS模块（方案三）实现100Hz-1.5MHz范围内的快速扫频，其高频率精度和快速切换特性可高效获取未知电路的频率响应数据，满足H(s)建模需求；</w:t>
      </w:r>
    </w:p>
    <w:p w14:paraId="3B8B4590">
      <w:pPr>
        <w:spacing w:line="300" w:lineRule="auto"/>
        <w:ind w:firstLine="537" w:firstLineChars="224"/>
        <w:rPr>
          <w:rFonts w:hint="eastAsia" w:hAnsi="宋体"/>
          <w:sz w:val="24"/>
          <w:szCs w:val="24"/>
        </w:rPr>
      </w:pPr>
      <w:r>
        <w:rPr>
          <w:rFonts w:hint="eastAsia" w:hAnsi="宋体"/>
          <w:sz w:val="24"/>
          <w:szCs w:val="24"/>
        </w:rPr>
        <w:t>2. 同频显示阶段：采用STM32板载DAC（方案一）结合数字IIR滤波，输出与输入信号严格同步的预测响应，避免晶振误差导致的频率漂移；</w:t>
      </w:r>
    </w:p>
    <w:p w14:paraId="0468ADCD">
      <w:pPr>
        <w:spacing w:line="300" w:lineRule="auto"/>
        <w:ind w:firstLine="537" w:firstLineChars="224"/>
        <w:rPr>
          <w:rFonts w:hint="eastAsia" w:hAnsi="宋体"/>
          <w:sz w:val="24"/>
          <w:szCs w:val="24"/>
        </w:rPr>
      </w:pPr>
      <w:r>
        <w:rPr>
          <w:rFonts w:hint="eastAsia" w:hAnsi="宋体"/>
          <w:sz w:val="24"/>
          <w:szCs w:val="24"/>
        </w:rPr>
        <w:t>3. 信号调理：两路输出分别经由NE5532构建的精密放大电路，实现0-3.3V至±1.5V的电平转换与增益调节，确保峰峰值&gt;3V，利用模拟开关整合至同一输出。</w:t>
      </w:r>
    </w:p>
    <w:p w14:paraId="4C03993C">
      <w:pPr>
        <w:spacing w:line="300" w:lineRule="auto"/>
        <w:ind w:firstLine="537" w:firstLineChars="224"/>
        <w:rPr>
          <w:rFonts w:hint="eastAsia" w:hAnsi="宋体"/>
          <w:sz w:val="24"/>
          <w:szCs w:val="24"/>
          <w:lang w:eastAsia="zh-CN"/>
        </w:rPr>
      </w:pPr>
      <w:r>
        <w:rPr>
          <w:rFonts w:hint="eastAsia" w:hAnsi="宋体"/>
          <w:sz w:val="24"/>
          <w:szCs w:val="24"/>
        </w:rPr>
        <w:t>该方案充分发挥了DDS的频率精度优势和STM32 DAC的时钟同步优势，既满足了快速建模需求，又保证了同频显示的稳定性，同时避免了FPGA方案的复杂性，是本系统最优解。</w:t>
      </w:r>
    </w:p>
    <w:p w14:paraId="18FDF345">
      <w:pPr>
        <w:ind w:firstLine="420"/>
        <w:rPr>
          <w:rFonts w:hint="eastAsia" w:hAnsi="宋体"/>
          <w:sz w:val="24"/>
          <w:szCs w:val="24"/>
        </w:rPr>
      </w:pPr>
    </w:p>
    <w:p w14:paraId="542B6CBD">
      <w:pPr>
        <w:pStyle w:val="2"/>
      </w:pPr>
      <w:r>
        <w:rPr>
          <w:rFonts w:hint="eastAsia"/>
        </w:rPr>
        <w:t>理论分析与计算</w:t>
      </w:r>
    </w:p>
    <w:p w14:paraId="20F77218">
      <w:pPr>
        <w:pStyle w:val="3"/>
      </w:pPr>
      <w:r>
        <w:rPr>
          <w:rFonts w:hint="eastAsia"/>
          <w:lang w:val="en-US" w:eastAsia="zh-CN"/>
        </w:rPr>
        <w:t>已知模型电路的分析与计算</w:t>
      </w:r>
    </w:p>
    <w:p w14:paraId="227E3C91">
      <w:pPr>
        <w:numPr>
          <w:ilvl w:val="0"/>
          <w:numId w:val="2"/>
        </w:numPr>
        <w:ind w:firstLine="420"/>
        <w:jc w:val="center"/>
        <w:rPr>
          <w:rStyle w:val="65"/>
          <w:rFonts w:hint="eastAsia" w:ascii="Open Sans" w:hAnsi="Open Sans" w:cs="Open Sans"/>
          <w:color w:val="333333"/>
          <w:shd w:val="clear" w:color="auto" w:fill="FFFFFF"/>
          <w:lang w:val="en-US" w:eastAsia="zh-CN"/>
        </w:rPr>
      </w:pPr>
      <w:r>
        <w:rPr>
          <w:rStyle w:val="65"/>
          <w:rFonts w:hint="eastAsia" w:ascii="Open Sans" w:hAnsi="Open Sans" w:cs="Open Sans"/>
          <w:color w:val="333333"/>
          <w:shd w:val="clear" w:color="auto" w:fill="FFFFFF"/>
          <w:lang w:val="en-US" w:eastAsia="zh-CN"/>
        </w:rPr>
        <w:t>电路结构与拓扑分析</w:t>
      </w:r>
    </w:p>
    <w:p w14:paraId="4F2F80BE">
      <w:pPr>
        <w:spacing w:line="300" w:lineRule="auto"/>
        <w:ind w:firstLine="537" w:firstLineChars="224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根据题目给出的H(s)响应函数可以知道已知模型为一个二阶低通滤波电路，直流增益为5倍，故可利用有源二阶滤波电路结合同相放大器实现，为了实现题目要求输入电阻大于100kΩ，采用NE5532音频放大器构建跟随器，输入电阻约为NE5532输入电阻300kΩ，为了避免有源二阶滤波器产生自激现象，采用单位增益的Sallen-Key结构有源二阶滤波器，滤波完成后经过同相放大器放大至5倍后，再经跟随器输出，降低输出电阻。</w:t>
      </w:r>
      <w:bookmarkStart w:id="1" w:name="_Toc426537781"/>
    </w:p>
    <w:p w14:paraId="1EC627DC">
      <w:pPr>
        <w:spacing w:line="300" w:lineRule="auto"/>
        <w:jc w:val="center"/>
        <w:rPr>
          <w:rFonts w:hint="eastAsia"/>
          <w:sz w:val="24"/>
          <w:szCs w:val="24"/>
        </w:rPr>
      </w:pPr>
      <w:r>
        <w:rPr>
          <w:sz w:val="24"/>
          <w:szCs w:val="24"/>
        </w:rPr>
        <w:t>（2）</w:t>
      </w:r>
      <w:bookmarkEnd w:id="1"/>
      <w:r>
        <w:rPr>
          <w:rFonts w:hint="eastAsia"/>
          <w:sz w:val="24"/>
          <w:szCs w:val="24"/>
        </w:rPr>
        <w:t>电路参数设计</w:t>
      </w:r>
    </w:p>
    <w:p w14:paraId="643858D3">
      <w:pPr>
        <w:spacing w:line="30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有源二阶低通滤波器：采用Sallen-Key结构，H(s) = 1 / ( (R1R2C1*C2) * s² + ((R1+R2)C1) * s + 1 )，故R1 * R2 * C1 * C2 = 1e-8；(R1 + R2) * C1 = 3e-4。设定C1=C2=100nF，计算R1=2618Ω,R2=382Ω</w:t>
      </w:r>
    </w:p>
    <w:p w14:paraId="4B9C1B93">
      <w:pPr>
        <w:spacing w:line="30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同相放大器：同相输入后在反相输入端设定2kΩ电阻接地，反馈电阻应设定为10kΩ</w:t>
      </w:r>
    </w:p>
    <w:p w14:paraId="5BCB5F36">
      <w:pPr>
        <w:pStyle w:val="3"/>
        <w:bidi w:val="0"/>
        <w:ind w:left="576" w:leftChars="0" w:hanging="576" w:firstLineChars="0"/>
        <w:rPr>
          <w:rFonts w:hint="eastAsia"/>
          <w:sz w:val="24"/>
          <w:szCs w:val="24"/>
        </w:rPr>
      </w:pPr>
      <w:r>
        <w:rPr>
          <w:rFonts w:hint="eastAsia"/>
        </w:rPr>
        <w:t>精密信号放缩电路分析设计与计算</w:t>
      </w:r>
      <w:bookmarkStart w:id="2" w:name="_Toc426537784"/>
    </w:p>
    <w:p w14:paraId="13C65A25">
      <w:pPr>
        <w:pStyle w:val="3"/>
        <w:numPr>
          <w:ilvl w:val="1"/>
          <w:numId w:val="0"/>
        </w:numPr>
        <w:bidi w:val="0"/>
        <w:ind w:leftChars="0"/>
        <w:jc w:val="center"/>
        <w:rPr>
          <w:rFonts w:hint="eastAsia"/>
          <w:sz w:val="24"/>
          <w:szCs w:val="24"/>
        </w:rPr>
      </w:pPr>
      <w:r>
        <w:rPr>
          <w:sz w:val="24"/>
          <w:szCs w:val="24"/>
        </w:rPr>
        <w:t>（1）</w:t>
      </w:r>
      <w:bookmarkEnd w:id="2"/>
      <w:r>
        <w:rPr>
          <w:rFonts w:hint="eastAsia"/>
          <w:sz w:val="24"/>
          <w:szCs w:val="24"/>
        </w:rPr>
        <w:t>需求分析</w:t>
      </w:r>
    </w:p>
    <w:p w14:paraId="5563DEB5">
      <w:pPr>
        <w:spacing w:line="300" w:lineRule="auto"/>
        <w:ind w:firstLine="537" w:firstLineChars="224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DDS输出信号峰峰值最大1.17V，需要给予放大倍率以满足最大输出电压高于3V的需求，STM32ADC输入限幅0~3.3V，需要对信号进行放缩并加以直流偏置以避免烧毁单片机</w:t>
      </w:r>
    </w:p>
    <w:p w14:paraId="55F34EF4">
      <w:pPr>
        <w:pStyle w:val="4"/>
        <w:numPr>
          <w:ilvl w:val="0"/>
          <w:numId w:val="3"/>
        </w:numPr>
        <w:spacing w:before="0" w:after="0" w:line="300" w:lineRule="auto"/>
        <w:ind w:left="852" w:leftChars="0"/>
        <w:jc w:val="center"/>
        <w:rPr>
          <w:rFonts w:hint="eastAsia" w:ascii="Times New Roman" w:hAnsi="Times New Roman" w:eastAsia="宋体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theme="minorBidi"/>
          <w:kern w:val="2"/>
          <w:sz w:val="24"/>
          <w:szCs w:val="24"/>
          <w:lang w:val="en-US" w:eastAsia="zh-CN" w:bidi="ar-SA"/>
        </w:rPr>
        <w:t>设计与参数计算</w:t>
      </w:r>
    </w:p>
    <w:p w14:paraId="0E399CA6">
      <w:pPr>
        <w:ind w:firstLine="42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由于同时存在放大与缩小需求，需要同时保留信号放大与缩小的功能，同时由于放大信号频率最大值需要大于1MHz较高，需要选用OPA1612高GBW运放辅以多阶放大以避免失真问题，初级放大采用同相输入端直接输入辅以1~5倍可调增益，第二级采用电位器可调0~10/11衰减后接入20倍同相放大器，最后通过电容直接耦合加入可调直流偏置，最终实现直流偏置0.57V~12V可调，交流增益0~100倍任意可调，同时满足DDS放大输出与ADC衰减输入的需求。</w:t>
      </w:r>
    </w:p>
    <w:p w14:paraId="5985FFFC">
      <w:pPr>
        <w:spacing w:line="300" w:lineRule="auto"/>
        <w:ind w:firstLine="537" w:firstLineChars="224"/>
        <w:rPr>
          <w:rFonts w:hint="eastAsia"/>
          <w:sz w:val="24"/>
          <w:szCs w:val="24"/>
        </w:rPr>
      </w:pPr>
    </w:p>
    <w:p w14:paraId="63164E46"/>
    <w:p w14:paraId="279B601A">
      <w:pPr>
        <w:pStyle w:val="2"/>
        <w:rPr>
          <w:rFonts w:hint="eastAsia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600710</wp:posOffset>
            </wp:positionH>
            <wp:positionV relativeFrom="paragraph">
              <wp:posOffset>1450340</wp:posOffset>
            </wp:positionV>
            <wp:extent cx="4156710" cy="2550795"/>
            <wp:effectExtent l="0" t="0" r="8890" b="14605"/>
            <wp:wrapSquare wrapText="bothSides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56710" cy="255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</w:rPr>
        <w:t>电路与程序设计</w:t>
      </w:r>
    </w:p>
    <w:p w14:paraId="6D28F166"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电路设计</w:t>
      </w:r>
    </w:p>
    <w:p w14:paraId="6570E078">
      <w:pPr>
        <w:rPr>
          <w:rFonts w:hint="eastAsia"/>
          <w:lang w:val="en-US" w:eastAsia="zh-CN"/>
        </w:rPr>
      </w:pPr>
    </w:p>
    <w:p w14:paraId="3803600C">
      <w:pPr>
        <w:rPr>
          <w:rFonts w:hint="eastAsia"/>
          <w:lang w:val="en-US" w:eastAsia="zh-CN"/>
        </w:rPr>
      </w:pPr>
    </w:p>
    <w:p w14:paraId="19083494"/>
    <w:p w14:paraId="0FA164A7">
      <w:r>
        <w:drawing>
          <wp:inline distT="0" distB="0" distL="114300" distR="114300">
            <wp:extent cx="4156710" cy="2550795"/>
            <wp:effectExtent l="0" t="0" r="8890" b="1460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56710" cy="255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D56BB2"/>
    <w:p w14:paraId="16FC41D6"/>
    <w:p w14:paraId="2AC0A615"/>
    <w:p w14:paraId="1FD6E837">
      <w:pPr>
        <w:ind w:firstLine="420"/>
        <w:jc w:val="center"/>
        <w:rPr>
          <w:rFonts w:hint="eastAsia"/>
        </w:rPr>
      </w:pPr>
    </w:p>
    <w:p w14:paraId="042E83C7">
      <w:pPr>
        <w:ind w:firstLine="420"/>
        <w:jc w:val="center"/>
        <w:rPr>
          <w:rFonts w:hint="eastAsia"/>
        </w:rPr>
      </w:pPr>
    </w:p>
    <w:p w14:paraId="4DD4819A">
      <w:pPr>
        <w:ind w:firstLine="420"/>
        <w:jc w:val="center"/>
        <w:rPr>
          <w:rFonts w:hint="eastAsia"/>
        </w:rPr>
      </w:pPr>
    </w:p>
    <w:p w14:paraId="3DBF3CE3">
      <w:pPr>
        <w:ind w:firstLine="420"/>
        <w:jc w:val="center"/>
        <w:rPr>
          <w:rFonts w:hint="eastAsia"/>
        </w:rPr>
      </w:pPr>
    </w:p>
    <w:p w14:paraId="403F8C0F">
      <w:pPr>
        <w:jc w:val="both"/>
        <w:rPr>
          <w:rFonts w:hint="eastAsia"/>
        </w:rPr>
      </w:pPr>
    </w:p>
    <w:p w14:paraId="2D9C0F53">
      <w:pPr>
        <w:ind w:firstLine="420"/>
        <w:jc w:val="center"/>
      </w:pPr>
      <w:r>
        <w:rPr>
          <w:rFonts w:hint="eastAsia"/>
        </w:rPr>
        <w:t>图2</w:t>
      </w:r>
      <w:r>
        <w:t xml:space="preserve">. </w:t>
      </w:r>
      <w:r>
        <w:rPr>
          <w:rFonts w:hint="eastAsia"/>
        </w:rPr>
        <w:t>系统框图</w:t>
      </w:r>
    </w:p>
    <w:p w14:paraId="0AC53609">
      <w:pPr>
        <w:pStyle w:val="3"/>
        <w:rPr>
          <w:sz w:val="32"/>
          <w:szCs w:val="36"/>
        </w:rPr>
      </w:pPr>
      <w:r>
        <w:rPr>
          <w:rFonts w:hint="eastAsia"/>
          <w:sz w:val="28"/>
          <w:szCs w:val="28"/>
        </w:rPr>
        <w:t>已知模型电路</w:t>
      </w:r>
      <w:r>
        <w:rPr>
          <w:rFonts w:hAnsi="宋体"/>
          <w:sz w:val="28"/>
          <w:szCs w:val="28"/>
        </w:rPr>
        <w:t>子系统电路</w:t>
      </w:r>
    </w:p>
    <w:p w14:paraId="1B2B6E7F"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1066800</wp:posOffset>
            </wp:positionH>
            <wp:positionV relativeFrom="paragraph">
              <wp:posOffset>111125</wp:posOffset>
            </wp:positionV>
            <wp:extent cx="3164205" cy="2237740"/>
            <wp:effectExtent l="0" t="0" r="10795" b="22860"/>
            <wp:wrapTopAndBottom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64205" cy="2237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58576F0">
      <w:pPr>
        <w:jc w:val="center"/>
        <w:rPr>
          <w:rFonts w:hint="eastAsia"/>
        </w:rPr>
      </w:pPr>
      <w:r>
        <w:rPr>
          <w:rFonts w:hint="eastAsia"/>
        </w:rPr>
        <w:t>图</w:t>
      </w:r>
      <w:r>
        <w:t>3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  <w:lang w:val="en-US" w:eastAsia="zh-CN"/>
        </w:rPr>
        <w:t>已知模型</w:t>
      </w:r>
      <w:r>
        <w:rPr>
          <w:rFonts w:hint="eastAsia"/>
        </w:rPr>
        <w:t>电路</w:t>
      </w:r>
    </w:p>
    <w:p w14:paraId="589C3572">
      <w:pPr>
        <w:pStyle w:val="3"/>
      </w:pPr>
      <w:r>
        <w:rPr>
          <w:rFonts w:hint="eastAsia"/>
        </w:rPr>
        <w:t>DAC信号输出电路</w:t>
      </w:r>
      <w:r>
        <w:t>子系统框图与电路原理图</w:t>
      </w:r>
    </w:p>
    <w:p w14:paraId="535727AD">
      <w:pPr>
        <w:ind w:firstLine="420"/>
        <w:jc w:val="center"/>
      </w:pPr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875665</wp:posOffset>
            </wp:positionH>
            <wp:positionV relativeFrom="paragraph">
              <wp:posOffset>87630</wp:posOffset>
            </wp:positionV>
            <wp:extent cx="3709670" cy="2058670"/>
            <wp:effectExtent l="0" t="0" r="24130" b="24130"/>
            <wp:wrapTopAndBottom/>
            <wp:docPr id="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09670" cy="205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</w:rPr>
        <w:t>图</w:t>
      </w:r>
      <w:r>
        <w:t>4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  <w:sz w:val="24"/>
          <w:szCs w:val="24"/>
        </w:rPr>
        <w:t>DAC信号输出</w:t>
      </w:r>
      <w:r>
        <w:rPr>
          <w:rFonts w:hint="eastAsia" w:hAnsi="宋体"/>
          <w:sz w:val="24"/>
          <w:szCs w:val="24"/>
        </w:rPr>
        <w:t>电路</w:t>
      </w:r>
      <w:r>
        <w:rPr>
          <w:rFonts w:hAnsi="宋体"/>
          <w:sz w:val="24"/>
          <w:szCs w:val="24"/>
        </w:rPr>
        <w:t>子系统框图</w:t>
      </w:r>
    </w:p>
    <w:p w14:paraId="7C16F6F1">
      <w:pPr>
        <w:ind w:firstLine="420"/>
      </w:pPr>
    </w:p>
    <w:p w14:paraId="4E374694">
      <w:pPr>
        <w:pStyle w:val="3"/>
      </w:pPr>
      <w:r>
        <w:rPr>
          <w:rFonts w:hint="eastAsia"/>
        </w:rPr>
        <w:t>DAC信号输出电路</w:t>
      </w:r>
      <w:r>
        <w:t>子系统电路</w:t>
      </w:r>
    </w:p>
    <w:p w14:paraId="48BDBFB4">
      <w:pPr>
        <w:ind w:firstLine="420"/>
        <w:rPr>
          <w:rFonts w:hint="eastAsia"/>
        </w:rPr>
      </w:pPr>
    </w:p>
    <w:p w14:paraId="0E6A3D47">
      <w:pPr>
        <w:ind w:firstLine="420"/>
        <w:rPr>
          <w:rFonts w:hint="eastAsia"/>
        </w:rPr>
      </w:pPr>
    </w:p>
    <w:p w14:paraId="1813B30E">
      <w:pPr>
        <w:ind w:firstLine="420"/>
        <w:rPr>
          <w:rFonts w:hint="eastAsia"/>
        </w:rPr>
      </w:pPr>
    </w:p>
    <w:p w14:paraId="4B1C189E">
      <w:pPr>
        <w:ind w:firstLine="420"/>
        <w:rPr>
          <w:rFonts w:hint="eastAsia"/>
        </w:rPr>
      </w:pPr>
    </w:p>
    <w:p w14:paraId="7638ACD0">
      <w:pPr>
        <w:ind w:firstLine="420"/>
        <w:rPr>
          <w:rFonts w:hint="eastAsia"/>
        </w:rPr>
      </w:pPr>
    </w:p>
    <w:p w14:paraId="4566FE26">
      <w:pPr>
        <w:ind w:firstLine="420"/>
      </w:pPr>
      <w:r>
        <w:rPr>
          <w:rFonts w:hAnsi="宋体"/>
          <w:sz w:val="24"/>
          <w:szCs w:val="24"/>
        </w:rPr>
        <w:t>电源</w:t>
      </w:r>
      <w: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982345</wp:posOffset>
            </wp:positionH>
            <wp:positionV relativeFrom="paragraph">
              <wp:posOffset>20320</wp:posOffset>
            </wp:positionV>
            <wp:extent cx="3418840" cy="2415540"/>
            <wp:effectExtent l="0" t="0" r="10160" b="22860"/>
            <wp:wrapTopAndBottom/>
            <wp:docPr id="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18840" cy="2415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eastAsia="zh-CN"/>
        </w:rPr>
        <w:t>：</w:t>
      </w:r>
      <w:r>
        <w:rPr>
          <w:rFonts w:hint="eastAsia" w:ascii="Times New Roman" w:hAnsi="Times New Roman" w:eastAsia="宋体"/>
          <w:b w:val="0"/>
          <w:bCs w:val="0"/>
          <w:sz w:val="24"/>
          <w:szCs w:val="24"/>
        </w:rPr>
        <w:t>整体电路设计中用到+-12V与+-5V供电，+-12V供电由学生电源提供，+5V供电采用+12V经LM317 LDO降压输出，最大电流满足需求，-5V由+12V经DCDC降压芯片降至-5V输出</w:t>
      </w:r>
    </w:p>
    <w:p w14:paraId="7298668B">
      <w:pPr>
        <w:widowControl/>
        <w:spacing w:line="240" w:lineRule="auto"/>
        <w:jc w:val="left"/>
      </w:pPr>
    </w:p>
    <w:p w14:paraId="041F26C8">
      <w:pPr>
        <w:widowControl/>
        <w:spacing w:line="240" w:lineRule="auto"/>
        <w:jc w:val="left"/>
        <w:rPr>
          <w:rFonts w:hint="eastAsia"/>
        </w:rPr>
      </w:pPr>
    </w:p>
    <w:p w14:paraId="078D71D6">
      <w:pPr>
        <w:pStyle w:val="2"/>
      </w:pPr>
      <w:r>
        <w:rPr>
          <w:rFonts w:hint="eastAsia"/>
        </w:rPr>
        <w:t>测试方案与测试结果</w:t>
      </w:r>
    </w:p>
    <w:p w14:paraId="1CDA83E5">
      <w:pPr>
        <w:pStyle w:val="3"/>
      </w:pPr>
      <w:r>
        <w:rPr>
          <w:rFonts w:hint="eastAsia"/>
          <w:lang w:val="en-US" w:eastAsia="zh-CN"/>
        </w:rPr>
        <w:t>测试结果</w:t>
      </w:r>
    </w:p>
    <w:p w14:paraId="47F02D06">
      <w:pPr>
        <w:spacing w:line="300" w:lineRule="auto"/>
        <w:ind w:firstLine="537" w:firstLineChars="224"/>
        <w:rPr>
          <w:sz w:val="24"/>
          <w:szCs w:val="24"/>
        </w:rPr>
      </w:pPr>
      <w:r>
        <w:rPr>
          <w:rFonts w:hint="eastAsia" w:hAnsi="宋体"/>
          <w:sz w:val="24"/>
          <w:szCs w:val="24"/>
        </w:rPr>
        <w:t>向已知模型电路中输入各频率的1Vpp，偏置1V的信号，分别测量输出电压，与理想H(s)的增益对比，</w:t>
      </w:r>
      <w:r>
        <w:rPr>
          <w:rFonts w:hAnsi="宋体"/>
          <w:sz w:val="24"/>
          <w:szCs w:val="24"/>
        </w:rPr>
        <w:t>测试结果好</w:t>
      </w:r>
      <w:r>
        <w:rPr>
          <w:rFonts w:hint="eastAsia" w:hAnsi="宋体"/>
          <w:sz w:val="24"/>
          <w:szCs w:val="24"/>
        </w:rPr>
        <w:t>，如</w:t>
      </w:r>
      <w:r>
        <w:rPr>
          <w:rFonts w:hAnsi="宋体"/>
          <w:sz w:val="24"/>
          <w:szCs w:val="24"/>
        </w:rPr>
        <w:t>下表所示：</w:t>
      </w:r>
    </w:p>
    <w:tbl>
      <w:tblPr>
        <w:tblStyle w:val="29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4"/>
        <w:gridCol w:w="760"/>
        <w:gridCol w:w="972"/>
        <w:gridCol w:w="972"/>
        <w:gridCol w:w="972"/>
        <w:gridCol w:w="972"/>
        <w:gridCol w:w="972"/>
        <w:gridCol w:w="972"/>
        <w:gridCol w:w="972"/>
      </w:tblGrid>
      <w:tr w14:paraId="55F943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  <w:jc w:val="center"/>
        </w:trPr>
        <w:tc>
          <w:tcPr>
            <w:tcW w:w="1184" w:type="dxa"/>
            <w:noWrap w:val="0"/>
            <w:vAlign w:val="center"/>
          </w:tcPr>
          <w:p w14:paraId="3D9DDEE6">
            <w:pPr>
              <w:spacing w:line="300" w:lineRule="auto"/>
              <w:jc w:val="center"/>
            </w:pPr>
            <w:r>
              <w:rPr>
                <w:rFonts w:hAnsi="宋体"/>
              </w:rPr>
              <w:t>信号</w:t>
            </w:r>
            <w:r>
              <w:rPr>
                <w:rFonts w:hint="eastAsia" w:hAnsi="宋体"/>
              </w:rPr>
              <w:t>频率(kHz)</w:t>
            </w:r>
          </w:p>
        </w:tc>
        <w:tc>
          <w:tcPr>
            <w:tcW w:w="760" w:type="dxa"/>
            <w:noWrap w:val="0"/>
            <w:vAlign w:val="center"/>
          </w:tcPr>
          <w:p w14:paraId="461AE1B3">
            <w:pPr>
              <w:spacing w:line="300" w:lineRule="auto"/>
              <w:jc w:val="center"/>
            </w:pPr>
            <w:r>
              <w:rPr>
                <w:rFonts w:hint="eastAsia"/>
              </w:rPr>
              <w:t>直流</w:t>
            </w:r>
          </w:p>
        </w:tc>
        <w:tc>
          <w:tcPr>
            <w:tcW w:w="972" w:type="dxa"/>
            <w:noWrap w:val="0"/>
            <w:vAlign w:val="center"/>
          </w:tcPr>
          <w:p w14:paraId="498B1BC5">
            <w:pPr>
              <w:spacing w:line="300" w:lineRule="auto"/>
              <w:jc w:val="center"/>
            </w:pPr>
            <w:r>
              <w:rPr>
                <w:rFonts w:hint="eastAsia"/>
              </w:rPr>
              <w:t>0.1</w:t>
            </w:r>
          </w:p>
        </w:tc>
        <w:tc>
          <w:tcPr>
            <w:tcW w:w="972" w:type="dxa"/>
            <w:noWrap w:val="0"/>
            <w:vAlign w:val="center"/>
          </w:tcPr>
          <w:p w14:paraId="2B757CB6">
            <w:pPr>
              <w:spacing w:line="300" w:lineRule="auto"/>
              <w:jc w:val="center"/>
            </w:pPr>
            <w:r>
              <w:rPr>
                <w:rFonts w:hint="eastAsia"/>
              </w:rPr>
              <w:t>0.3</w:t>
            </w:r>
          </w:p>
        </w:tc>
        <w:tc>
          <w:tcPr>
            <w:tcW w:w="972" w:type="dxa"/>
            <w:noWrap w:val="0"/>
            <w:vAlign w:val="center"/>
          </w:tcPr>
          <w:p w14:paraId="58B390A5">
            <w:pPr>
              <w:spacing w:line="300" w:lineRule="auto"/>
              <w:jc w:val="center"/>
            </w:pPr>
            <w:r>
              <w:rPr>
                <w:rFonts w:hint="eastAsia"/>
              </w:rPr>
              <w:t>0.5</w:t>
            </w:r>
          </w:p>
        </w:tc>
        <w:tc>
          <w:tcPr>
            <w:tcW w:w="972" w:type="dxa"/>
            <w:noWrap w:val="0"/>
            <w:vAlign w:val="center"/>
          </w:tcPr>
          <w:p w14:paraId="06F2E798">
            <w:pPr>
              <w:spacing w:line="300" w:lineRule="auto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972" w:type="dxa"/>
            <w:noWrap w:val="0"/>
            <w:vAlign w:val="center"/>
          </w:tcPr>
          <w:p w14:paraId="6B70866B">
            <w:pPr>
              <w:spacing w:line="300" w:lineRule="auto"/>
              <w:jc w:val="center"/>
            </w:pPr>
            <w:r>
              <w:rPr>
                <w:rFonts w:hint="eastAsia"/>
              </w:rPr>
              <w:t>1.5</w:t>
            </w:r>
          </w:p>
        </w:tc>
        <w:tc>
          <w:tcPr>
            <w:tcW w:w="972" w:type="dxa"/>
            <w:noWrap w:val="0"/>
            <w:vAlign w:val="center"/>
          </w:tcPr>
          <w:p w14:paraId="7550F2D2">
            <w:pPr>
              <w:spacing w:line="300" w:lineRule="auto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972" w:type="dxa"/>
            <w:noWrap w:val="0"/>
            <w:vAlign w:val="center"/>
          </w:tcPr>
          <w:p w14:paraId="13CF9B86">
            <w:pPr>
              <w:spacing w:line="30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</w:t>
            </w:r>
          </w:p>
        </w:tc>
      </w:tr>
      <w:tr w14:paraId="237F29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  <w:jc w:val="center"/>
        </w:trPr>
        <w:tc>
          <w:tcPr>
            <w:tcW w:w="1184" w:type="dxa"/>
            <w:noWrap w:val="0"/>
            <w:vAlign w:val="center"/>
          </w:tcPr>
          <w:p w14:paraId="17107717">
            <w:pPr>
              <w:spacing w:line="300" w:lineRule="auto"/>
              <w:jc w:val="center"/>
            </w:pPr>
            <w:r>
              <w:rPr>
                <w:rFonts w:hint="eastAsia"/>
              </w:rPr>
              <w:t>输出Vpp增益(V/V)</w:t>
            </w:r>
          </w:p>
        </w:tc>
        <w:tc>
          <w:tcPr>
            <w:tcW w:w="760" w:type="dxa"/>
            <w:noWrap w:val="0"/>
            <w:vAlign w:val="center"/>
          </w:tcPr>
          <w:p w14:paraId="77FE5041">
            <w:pPr>
              <w:spacing w:line="300" w:lineRule="auto"/>
              <w:jc w:val="center"/>
            </w:pPr>
            <w:r>
              <w:rPr>
                <w:rFonts w:hint="eastAsia"/>
              </w:rPr>
              <w:t>5.001</w:t>
            </w:r>
          </w:p>
        </w:tc>
        <w:tc>
          <w:tcPr>
            <w:tcW w:w="972" w:type="dxa"/>
            <w:noWrap w:val="0"/>
            <w:vAlign w:val="center"/>
          </w:tcPr>
          <w:p w14:paraId="1493A937">
            <w:pPr>
              <w:spacing w:line="300" w:lineRule="auto"/>
              <w:jc w:val="center"/>
            </w:pPr>
            <w:r>
              <w:rPr>
                <w:rFonts w:hint="eastAsia"/>
              </w:rPr>
              <w:t>5.045</w:t>
            </w:r>
          </w:p>
        </w:tc>
        <w:tc>
          <w:tcPr>
            <w:tcW w:w="972" w:type="dxa"/>
            <w:noWrap w:val="0"/>
            <w:vAlign w:val="center"/>
          </w:tcPr>
          <w:p w14:paraId="339268E9">
            <w:pPr>
              <w:spacing w:line="300" w:lineRule="auto"/>
              <w:jc w:val="center"/>
            </w:pPr>
            <w:r>
              <w:rPr>
                <w:rFonts w:hint="eastAsia"/>
              </w:rPr>
              <w:t>4.522</w:t>
            </w:r>
          </w:p>
        </w:tc>
        <w:tc>
          <w:tcPr>
            <w:tcW w:w="972" w:type="dxa"/>
            <w:noWrap w:val="0"/>
            <w:vAlign w:val="center"/>
          </w:tcPr>
          <w:p w14:paraId="6C37ABAA">
            <w:pPr>
              <w:spacing w:line="300" w:lineRule="auto"/>
              <w:jc w:val="center"/>
            </w:pPr>
            <w:r>
              <w:rPr>
                <w:rFonts w:hint="eastAsia"/>
              </w:rPr>
              <w:t>3.822</w:t>
            </w:r>
          </w:p>
        </w:tc>
        <w:tc>
          <w:tcPr>
            <w:tcW w:w="972" w:type="dxa"/>
            <w:noWrap w:val="0"/>
            <w:vAlign w:val="center"/>
          </w:tcPr>
          <w:p w14:paraId="240FF4B6">
            <w:pPr>
              <w:spacing w:line="300" w:lineRule="auto"/>
              <w:jc w:val="center"/>
            </w:pPr>
            <w:r>
              <w:rPr>
                <w:rFonts w:hint="eastAsia"/>
              </w:rPr>
              <w:t>2.473</w:t>
            </w:r>
          </w:p>
        </w:tc>
        <w:tc>
          <w:tcPr>
            <w:tcW w:w="972" w:type="dxa"/>
            <w:noWrap w:val="0"/>
            <w:vAlign w:val="center"/>
          </w:tcPr>
          <w:p w14:paraId="2679F169">
            <w:pPr>
              <w:spacing w:line="300" w:lineRule="auto"/>
              <w:jc w:val="center"/>
            </w:pPr>
            <w:r>
              <w:t>1.</w:t>
            </w:r>
            <w:r>
              <w:rPr>
                <w:rFonts w:hint="eastAsia"/>
              </w:rPr>
              <w:t>726</w:t>
            </w:r>
          </w:p>
        </w:tc>
        <w:tc>
          <w:tcPr>
            <w:tcW w:w="972" w:type="dxa"/>
            <w:noWrap w:val="0"/>
            <w:vAlign w:val="center"/>
          </w:tcPr>
          <w:p w14:paraId="08305938">
            <w:pPr>
              <w:spacing w:line="300" w:lineRule="auto"/>
              <w:jc w:val="center"/>
            </w:pPr>
            <w:r>
              <w:rPr>
                <w:rFonts w:hint="eastAsia"/>
              </w:rPr>
              <w:t>1.286</w:t>
            </w:r>
          </w:p>
        </w:tc>
        <w:tc>
          <w:tcPr>
            <w:tcW w:w="972" w:type="dxa"/>
            <w:noWrap w:val="0"/>
            <w:vAlign w:val="center"/>
          </w:tcPr>
          <w:p w14:paraId="0684F87D">
            <w:pPr>
              <w:spacing w:line="300" w:lineRule="auto"/>
              <w:jc w:val="center"/>
            </w:pPr>
            <w:r>
              <w:rPr>
                <w:rFonts w:hint="eastAsia"/>
              </w:rPr>
              <w:t>0.802</w:t>
            </w:r>
          </w:p>
        </w:tc>
      </w:tr>
      <w:tr w14:paraId="1AEF33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  <w:jc w:val="center"/>
        </w:trPr>
        <w:tc>
          <w:tcPr>
            <w:tcW w:w="1184" w:type="dxa"/>
            <w:noWrap w:val="0"/>
            <w:vAlign w:val="center"/>
          </w:tcPr>
          <w:p w14:paraId="407488F6">
            <w:pPr>
              <w:spacing w:line="300" w:lineRule="auto"/>
              <w:jc w:val="center"/>
              <w:rPr>
                <w:rFonts w:hAnsi="宋体"/>
              </w:rPr>
            </w:pPr>
            <w:r>
              <w:rPr>
                <w:rFonts w:hint="eastAsia" w:hAnsi="宋体"/>
              </w:rPr>
              <w:t>理想增益Av(V/V)</w:t>
            </w:r>
          </w:p>
        </w:tc>
        <w:tc>
          <w:tcPr>
            <w:tcW w:w="760" w:type="dxa"/>
            <w:noWrap w:val="0"/>
            <w:vAlign w:val="center"/>
          </w:tcPr>
          <w:p w14:paraId="38E68902">
            <w:pPr>
              <w:spacing w:line="300" w:lineRule="auto"/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972" w:type="dxa"/>
            <w:noWrap w:val="0"/>
            <w:vAlign w:val="center"/>
          </w:tcPr>
          <w:p w14:paraId="244EFCE7">
            <w:pPr>
              <w:spacing w:line="300" w:lineRule="auto"/>
              <w:jc w:val="center"/>
            </w:pPr>
            <w:r>
              <w:rPr>
                <w:rFonts w:hint="eastAsia"/>
              </w:rPr>
              <w:t>4.932</w:t>
            </w:r>
          </w:p>
        </w:tc>
        <w:tc>
          <w:tcPr>
            <w:tcW w:w="972" w:type="dxa"/>
            <w:noWrap w:val="0"/>
            <w:vAlign w:val="center"/>
          </w:tcPr>
          <w:p w14:paraId="265772E6">
            <w:pPr>
              <w:spacing w:line="300" w:lineRule="auto"/>
              <w:jc w:val="center"/>
            </w:pPr>
            <w:r>
              <w:rPr>
                <w:rFonts w:hint="eastAsia"/>
              </w:rPr>
              <w:t>4.472</w:t>
            </w:r>
          </w:p>
        </w:tc>
        <w:tc>
          <w:tcPr>
            <w:tcW w:w="972" w:type="dxa"/>
            <w:noWrap w:val="0"/>
            <w:vAlign w:val="center"/>
          </w:tcPr>
          <w:p w14:paraId="0F3DC3EF">
            <w:pPr>
              <w:spacing w:line="300" w:lineRule="auto"/>
              <w:jc w:val="center"/>
            </w:pPr>
            <w:r>
              <w:rPr>
                <w:rFonts w:hint="eastAsia"/>
              </w:rPr>
              <w:t>3.834</w:t>
            </w:r>
          </w:p>
        </w:tc>
        <w:tc>
          <w:tcPr>
            <w:tcW w:w="972" w:type="dxa"/>
            <w:noWrap w:val="0"/>
            <w:vAlign w:val="center"/>
          </w:tcPr>
          <w:p w14:paraId="1551EE89">
            <w:pPr>
              <w:spacing w:line="300" w:lineRule="auto"/>
              <w:jc w:val="center"/>
            </w:pPr>
            <w:r>
              <w:rPr>
                <w:rFonts w:hint="eastAsia"/>
              </w:rPr>
              <w:t>2.526</w:t>
            </w:r>
          </w:p>
        </w:tc>
        <w:tc>
          <w:tcPr>
            <w:tcW w:w="972" w:type="dxa"/>
            <w:noWrap w:val="0"/>
            <w:vAlign w:val="center"/>
          </w:tcPr>
          <w:p w14:paraId="42C3B802">
            <w:pPr>
              <w:spacing w:line="300" w:lineRule="auto"/>
              <w:jc w:val="center"/>
            </w:pPr>
            <w:r>
              <w:rPr>
                <w:rFonts w:hint="eastAsia"/>
              </w:rPr>
              <w:t>1.767</w:t>
            </w:r>
          </w:p>
        </w:tc>
        <w:tc>
          <w:tcPr>
            <w:tcW w:w="972" w:type="dxa"/>
            <w:noWrap w:val="0"/>
            <w:vAlign w:val="center"/>
          </w:tcPr>
          <w:p w14:paraId="510B8ADB">
            <w:pPr>
              <w:spacing w:line="300" w:lineRule="auto"/>
              <w:jc w:val="center"/>
            </w:pPr>
            <w:r>
              <w:rPr>
                <w:rFonts w:hint="eastAsia"/>
              </w:rPr>
              <w:t>1.311</w:t>
            </w:r>
          </w:p>
        </w:tc>
        <w:tc>
          <w:tcPr>
            <w:tcW w:w="972" w:type="dxa"/>
            <w:noWrap w:val="0"/>
            <w:vAlign w:val="center"/>
          </w:tcPr>
          <w:p w14:paraId="777FD6F1">
            <w:pPr>
              <w:spacing w:line="300" w:lineRule="auto"/>
              <w:jc w:val="center"/>
            </w:pPr>
            <w:r>
              <w:rPr>
                <w:rFonts w:hint="eastAsia"/>
              </w:rPr>
              <w:t>0.806</w:t>
            </w:r>
          </w:p>
        </w:tc>
      </w:tr>
      <w:tr w14:paraId="30BF69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  <w:jc w:val="center"/>
        </w:trPr>
        <w:tc>
          <w:tcPr>
            <w:tcW w:w="1184" w:type="dxa"/>
            <w:noWrap w:val="0"/>
            <w:vAlign w:val="center"/>
          </w:tcPr>
          <w:p w14:paraId="1020EF79">
            <w:pPr>
              <w:spacing w:line="300" w:lineRule="auto"/>
              <w:jc w:val="center"/>
              <w:rPr>
                <w:rFonts w:hint="eastAsia" w:hAnsi="宋体"/>
              </w:rPr>
            </w:pPr>
            <w:r>
              <w:rPr>
                <w:rFonts w:hint="eastAsia" w:hAnsi="宋体"/>
              </w:rPr>
              <w:t>相对误差</w:t>
            </w:r>
          </w:p>
        </w:tc>
        <w:tc>
          <w:tcPr>
            <w:tcW w:w="760" w:type="dxa"/>
            <w:noWrap w:val="0"/>
            <w:vAlign w:val="center"/>
          </w:tcPr>
          <w:p w14:paraId="214F1DB5">
            <w:pPr>
              <w:spacing w:line="300" w:lineRule="auto"/>
              <w:jc w:val="center"/>
            </w:pPr>
            <w:r>
              <w:rPr>
                <w:rFonts w:hint="eastAsia"/>
              </w:rPr>
              <w:t>0.02%</w:t>
            </w:r>
          </w:p>
        </w:tc>
        <w:tc>
          <w:tcPr>
            <w:tcW w:w="972" w:type="dxa"/>
            <w:noWrap w:val="0"/>
            <w:vAlign w:val="center"/>
          </w:tcPr>
          <w:p w14:paraId="18AB5388">
            <w:pPr>
              <w:spacing w:line="300" w:lineRule="auto"/>
              <w:jc w:val="center"/>
            </w:pPr>
            <w:r>
              <w:rPr>
                <w:rFonts w:hint="eastAsia"/>
              </w:rPr>
              <w:t>2.29%</w:t>
            </w:r>
          </w:p>
        </w:tc>
        <w:tc>
          <w:tcPr>
            <w:tcW w:w="972" w:type="dxa"/>
            <w:noWrap w:val="0"/>
            <w:vAlign w:val="center"/>
          </w:tcPr>
          <w:p w14:paraId="2EACDCE4">
            <w:pPr>
              <w:spacing w:line="300" w:lineRule="auto"/>
              <w:jc w:val="center"/>
            </w:pPr>
            <w:r>
              <w:rPr>
                <w:rFonts w:hint="eastAsia"/>
              </w:rPr>
              <w:t>1.11%</w:t>
            </w:r>
          </w:p>
        </w:tc>
        <w:tc>
          <w:tcPr>
            <w:tcW w:w="972" w:type="dxa"/>
            <w:noWrap w:val="0"/>
            <w:vAlign w:val="center"/>
          </w:tcPr>
          <w:p w14:paraId="169D0A34">
            <w:pPr>
              <w:spacing w:line="300" w:lineRule="auto"/>
              <w:jc w:val="center"/>
            </w:pPr>
            <w:r>
              <w:rPr>
                <w:rFonts w:hint="eastAsia"/>
              </w:rPr>
              <w:t>0.32%</w:t>
            </w:r>
          </w:p>
        </w:tc>
        <w:tc>
          <w:tcPr>
            <w:tcW w:w="972" w:type="dxa"/>
            <w:noWrap w:val="0"/>
            <w:vAlign w:val="center"/>
          </w:tcPr>
          <w:p w14:paraId="57472223">
            <w:pPr>
              <w:spacing w:line="300" w:lineRule="auto"/>
              <w:jc w:val="center"/>
            </w:pPr>
            <w:r>
              <w:rPr>
                <w:rFonts w:hint="eastAsia"/>
              </w:rPr>
              <w:t>2.10%</w:t>
            </w:r>
          </w:p>
        </w:tc>
        <w:tc>
          <w:tcPr>
            <w:tcW w:w="972" w:type="dxa"/>
            <w:noWrap w:val="0"/>
            <w:vAlign w:val="center"/>
          </w:tcPr>
          <w:p w14:paraId="6A3E22D5">
            <w:pPr>
              <w:spacing w:line="300" w:lineRule="auto"/>
              <w:jc w:val="center"/>
            </w:pPr>
            <w:r>
              <w:rPr>
                <w:rFonts w:hint="eastAsia"/>
              </w:rPr>
              <w:t>2.42%</w:t>
            </w:r>
          </w:p>
        </w:tc>
        <w:tc>
          <w:tcPr>
            <w:tcW w:w="972" w:type="dxa"/>
            <w:noWrap w:val="0"/>
            <w:vAlign w:val="center"/>
          </w:tcPr>
          <w:p w14:paraId="763E41C6">
            <w:pPr>
              <w:spacing w:line="300" w:lineRule="auto"/>
              <w:jc w:val="center"/>
            </w:pPr>
            <w:r>
              <w:rPr>
                <w:rFonts w:hint="eastAsia"/>
              </w:rPr>
              <w:t>1.91%</w:t>
            </w:r>
          </w:p>
        </w:tc>
        <w:tc>
          <w:tcPr>
            <w:tcW w:w="972" w:type="dxa"/>
            <w:noWrap w:val="0"/>
            <w:vAlign w:val="center"/>
          </w:tcPr>
          <w:p w14:paraId="02F7DD83">
            <w:pPr>
              <w:spacing w:line="300" w:lineRule="auto"/>
              <w:jc w:val="center"/>
            </w:pPr>
            <w:r>
              <w:rPr>
                <w:rFonts w:hint="eastAsia"/>
              </w:rPr>
              <w:t>0.50%</w:t>
            </w:r>
          </w:p>
        </w:tc>
      </w:tr>
    </w:tbl>
    <w:p w14:paraId="4DD0A8A8"/>
    <w:p w14:paraId="2FB9F8A4">
      <w:pPr>
        <w:pStyle w:val="3"/>
      </w:pPr>
      <w:r>
        <w:rPr>
          <w:rFonts w:hint="eastAsia"/>
        </w:rPr>
        <w:t>校正DDS输出后设定已知模型电路输出电压测试</w:t>
      </w:r>
    </w:p>
    <w:tbl>
      <w:tblPr>
        <w:tblStyle w:val="29"/>
        <w:tblW w:w="8597" w:type="dxa"/>
        <w:jc w:val="righ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7"/>
        <w:gridCol w:w="762"/>
        <w:gridCol w:w="844"/>
        <w:gridCol w:w="772"/>
        <w:gridCol w:w="844"/>
        <w:gridCol w:w="772"/>
        <w:gridCol w:w="844"/>
        <w:gridCol w:w="772"/>
        <w:gridCol w:w="844"/>
        <w:gridCol w:w="772"/>
        <w:gridCol w:w="844"/>
      </w:tblGrid>
      <w:tr w14:paraId="2B3AFD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715" w:hRule="atLeast"/>
          <w:jc w:val="right"/>
        </w:trPr>
        <w:tc>
          <w:tcPr>
            <w:tcW w:w="527" w:type="dxa"/>
            <w:shd w:val="clear" w:color="auto" w:fill="auto"/>
            <w:noWrap w:val="0"/>
            <w:vAlign w:val="top"/>
          </w:tcPr>
          <w:p w14:paraId="39B4B52A">
            <w:r>
              <w:rPr>
                <w:rFonts w:hint="eastAsia"/>
              </w:rPr>
              <w:t>频率</w:t>
            </w:r>
          </w:p>
        </w:tc>
        <w:tc>
          <w:tcPr>
            <w:tcW w:w="1606" w:type="dxa"/>
            <w:gridSpan w:val="2"/>
            <w:shd w:val="clear" w:color="auto" w:fill="auto"/>
            <w:noWrap w:val="0"/>
            <w:vAlign w:val="top"/>
          </w:tcPr>
          <w:p w14:paraId="28D829C5">
            <w:r>
              <w:rPr>
                <w:rFonts w:hint="eastAsia"/>
              </w:rPr>
              <w:t>100Hz</w:t>
            </w:r>
          </w:p>
        </w:tc>
        <w:tc>
          <w:tcPr>
            <w:tcW w:w="1616" w:type="dxa"/>
            <w:gridSpan w:val="2"/>
            <w:shd w:val="clear" w:color="auto" w:fill="auto"/>
            <w:noWrap w:val="0"/>
            <w:vAlign w:val="top"/>
          </w:tcPr>
          <w:p w14:paraId="1E94366B">
            <w:r>
              <w:rPr>
                <w:rFonts w:hint="eastAsia"/>
              </w:rPr>
              <w:t>500Hz</w:t>
            </w:r>
          </w:p>
        </w:tc>
        <w:tc>
          <w:tcPr>
            <w:tcW w:w="1616" w:type="dxa"/>
            <w:gridSpan w:val="2"/>
            <w:shd w:val="clear" w:color="auto" w:fill="auto"/>
            <w:noWrap w:val="0"/>
            <w:vAlign w:val="top"/>
          </w:tcPr>
          <w:p w14:paraId="4AE10C4B">
            <w:r>
              <w:rPr>
                <w:rFonts w:hint="eastAsia"/>
              </w:rPr>
              <w:t>1kHz</w:t>
            </w:r>
          </w:p>
        </w:tc>
        <w:tc>
          <w:tcPr>
            <w:tcW w:w="1616" w:type="dxa"/>
            <w:gridSpan w:val="2"/>
            <w:shd w:val="clear" w:color="auto" w:fill="auto"/>
            <w:noWrap w:val="0"/>
            <w:vAlign w:val="top"/>
          </w:tcPr>
          <w:p w14:paraId="5B8B07DC">
            <w:r>
              <w:rPr>
                <w:rFonts w:hint="eastAsia"/>
              </w:rPr>
              <w:t>2kHz</w:t>
            </w:r>
          </w:p>
        </w:tc>
        <w:tc>
          <w:tcPr>
            <w:tcW w:w="1616" w:type="dxa"/>
            <w:gridSpan w:val="2"/>
            <w:shd w:val="clear" w:color="auto" w:fill="auto"/>
            <w:noWrap w:val="0"/>
            <w:vAlign w:val="top"/>
          </w:tcPr>
          <w:p w14:paraId="4199566B">
            <w:r>
              <w:rPr>
                <w:rFonts w:hint="eastAsia"/>
              </w:rPr>
              <w:t>3kHz</w:t>
            </w:r>
          </w:p>
        </w:tc>
      </w:tr>
      <w:tr w14:paraId="7CEC66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5" w:hRule="atLeast"/>
          <w:jc w:val="right"/>
        </w:trPr>
        <w:tc>
          <w:tcPr>
            <w:tcW w:w="527" w:type="dxa"/>
            <w:shd w:val="clear" w:color="auto" w:fill="auto"/>
            <w:noWrap w:val="0"/>
            <w:vAlign w:val="top"/>
          </w:tcPr>
          <w:p w14:paraId="7E4DE3B3">
            <w:r>
              <w:rPr>
                <w:rFonts w:hint="eastAsia"/>
              </w:rPr>
              <w:t>幅值</w:t>
            </w:r>
          </w:p>
        </w:tc>
        <w:tc>
          <w:tcPr>
            <w:tcW w:w="762" w:type="dxa"/>
            <w:shd w:val="clear" w:color="auto" w:fill="auto"/>
            <w:noWrap w:val="0"/>
            <w:vAlign w:val="top"/>
          </w:tcPr>
          <w:p w14:paraId="24FF7748">
            <w:r>
              <w:rPr>
                <w:rFonts w:hint="eastAsia"/>
              </w:rPr>
              <w:t>1V</w:t>
            </w:r>
          </w:p>
        </w:tc>
        <w:tc>
          <w:tcPr>
            <w:tcW w:w="844" w:type="dxa"/>
            <w:shd w:val="clear" w:color="auto" w:fill="auto"/>
            <w:noWrap w:val="0"/>
            <w:vAlign w:val="top"/>
          </w:tcPr>
          <w:p w14:paraId="57142D3B">
            <w:r>
              <w:rPr>
                <w:rFonts w:hint="eastAsia"/>
              </w:rPr>
              <w:t>2V</w:t>
            </w:r>
          </w:p>
        </w:tc>
        <w:tc>
          <w:tcPr>
            <w:tcW w:w="772" w:type="dxa"/>
            <w:shd w:val="clear" w:color="auto" w:fill="auto"/>
            <w:noWrap w:val="0"/>
            <w:vAlign w:val="top"/>
          </w:tcPr>
          <w:p w14:paraId="1E76EFEA">
            <w:r>
              <w:rPr>
                <w:rFonts w:hint="eastAsia"/>
              </w:rPr>
              <w:t>1V</w:t>
            </w:r>
          </w:p>
        </w:tc>
        <w:tc>
          <w:tcPr>
            <w:tcW w:w="844" w:type="dxa"/>
            <w:shd w:val="clear" w:color="auto" w:fill="auto"/>
            <w:noWrap w:val="0"/>
            <w:vAlign w:val="top"/>
          </w:tcPr>
          <w:p w14:paraId="6EDBA07E">
            <w:r>
              <w:rPr>
                <w:rFonts w:hint="eastAsia"/>
              </w:rPr>
              <w:t>2V</w:t>
            </w:r>
          </w:p>
        </w:tc>
        <w:tc>
          <w:tcPr>
            <w:tcW w:w="772" w:type="dxa"/>
            <w:shd w:val="clear" w:color="auto" w:fill="auto"/>
            <w:noWrap w:val="0"/>
            <w:vAlign w:val="top"/>
          </w:tcPr>
          <w:p w14:paraId="0665A659">
            <w:r>
              <w:rPr>
                <w:rFonts w:hint="eastAsia"/>
              </w:rPr>
              <w:t>1V</w:t>
            </w:r>
          </w:p>
        </w:tc>
        <w:tc>
          <w:tcPr>
            <w:tcW w:w="844" w:type="dxa"/>
            <w:shd w:val="clear" w:color="auto" w:fill="auto"/>
            <w:noWrap w:val="0"/>
            <w:vAlign w:val="top"/>
          </w:tcPr>
          <w:p w14:paraId="70F18870">
            <w:r>
              <w:rPr>
                <w:rFonts w:hint="eastAsia"/>
              </w:rPr>
              <w:t>2V</w:t>
            </w:r>
          </w:p>
        </w:tc>
        <w:tc>
          <w:tcPr>
            <w:tcW w:w="772" w:type="dxa"/>
            <w:shd w:val="clear" w:color="auto" w:fill="auto"/>
            <w:noWrap w:val="0"/>
            <w:vAlign w:val="top"/>
          </w:tcPr>
          <w:p w14:paraId="256D8ECF">
            <w:r>
              <w:rPr>
                <w:rFonts w:hint="eastAsia"/>
              </w:rPr>
              <w:t>1V</w:t>
            </w:r>
          </w:p>
        </w:tc>
        <w:tc>
          <w:tcPr>
            <w:tcW w:w="844" w:type="dxa"/>
            <w:shd w:val="clear" w:color="auto" w:fill="auto"/>
            <w:noWrap w:val="0"/>
            <w:vAlign w:val="top"/>
          </w:tcPr>
          <w:p w14:paraId="4C7C764F">
            <w:r>
              <w:rPr>
                <w:rFonts w:hint="eastAsia"/>
              </w:rPr>
              <w:t>2V</w:t>
            </w:r>
          </w:p>
        </w:tc>
        <w:tc>
          <w:tcPr>
            <w:tcW w:w="772" w:type="dxa"/>
            <w:shd w:val="clear" w:color="auto" w:fill="auto"/>
            <w:noWrap w:val="0"/>
            <w:vAlign w:val="top"/>
          </w:tcPr>
          <w:p w14:paraId="6FB700EB">
            <w:r>
              <w:rPr>
                <w:rFonts w:hint="eastAsia"/>
              </w:rPr>
              <w:t>1V</w:t>
            </w:r>
          </w:p>
        </w:tc>
        <w:tc>
          <w:tcPr>
            <w:tcW w:w="844" w:type="dxa"/>
            <w:shd w:val="clear" w:color="auto" w:fill="auto"/>
            <w:noWrap w:val="0"/>
            <w:vAlign w:val="top"/>
          </w:tcPr>
          <w:p w14:paraId="778D47D7">
            <w:r>
              <w:rPr>
                <w:rFonts w:hint="eastAsia"/>
              </w:rPr>
              <w:t>2V</w:t>
            </w:r>
          </w:p>
        </w:tc>
      </w:tr>
      <w:tr w14:paraId="6D0E72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8" w:hRule="atLeast"/>
          <w:jc w:val="right"/>
        </w:trPr>
        <w:tc>
          <w:tcPr>
            <w:tcW w:w="527" w:type="dxa"/>
            <w:shd w:val="clear" w:color="auto" w:fill="auto"/>
            <w:noWrap w:val="0"/>
            <w:vAlign w:val="top"/>
          </w:tcPr>
          <w:p w14:paraId="5C166560">
            <w:r>
              <w:rPr>
                <w:rFonts w:hint="eastAsia"/>
              </w:rPr>
              <w:t>实测值</w:t>
            </w:r>
          </w:p>
        </w:tc>
        <w:tc>
          <w:tcPr>
            <w:tcW w:w="762" w:type="dxa"/>
            <w:shd w:val="clear" w:color="auto" w:fill="auto"/>
            <w:noWrap w:val="0"/>
            <w:vAlign w:val="top"/>
          </w:tcPr>
          <w:p w14:paraId="37EC7B98">
            <w:r>
              <w:rPr>
                <w:rFonts w:hint="eastAsia"/>
              </w:rPr>
              <w:t>1.002</w:t>
            </w:r>
          </w:p>
        </w:tc>
        <w:tc>
          <w:tcPr>
            <w:tcW w:w="844" w:type="dxa"/>
            <w:shd w:val="clear" w:color="auto" w:fill="auto"/>
            <w:noWrap w:val="0"/>
            <w:vAlign w:val="top"/>
          </w:tcPr>
          <w:p w14:paraId="4C88DE1A">
            <w:r>
              <w:rPr>
                <w:rFonts w:hint="eastAsia"/>
              </w:rPr>
              <w:t>1.955</w:t>
            </w:r>
          </w:p>
        </w:tc>
        <w:tc>
          <w:tcPr>
            <w:tcW w:w="772" w:type="dxa"/>
            <w:shd w:val="clear" w:color="auto" w:fill="auto"/>
            <w:noWrap w:val="0"/>
            <w:vAlign w:val="top"/>
          </w:tcPr>
          <w:p w14:paraId="572F4B71">
            <w:r>
              <w:rPr>
                <w:rFonts w:hint="eastAsia"/>
              </w:rPr>
              <w:t>1.035</w:t>
            </w:r>
          </w:p>
        </w:tc>
        <w:tc>
          <w:tcPr>
            <w:tcW w:w="844" w:type="dxa"/>
            <w:shd w:val="clear" w:color="auto" w:fill="auto"/>
            <w:noWrap w:val="0"/>
            <w:vAlign w:val="top"/>
          </w:tcPr>
          <w:p w14:paraId="050AF01D">
            <w:r>
              <w:rPr>
                <w:rFonts w:hint="eastAsia"/>
              </w:rPr>
              <w:t>2.045</w:t>
            </w:r>
          </w:p>
        </w:tc>
        <w:tc>
          <w:tcPr>
            <w:tcW w:w="772" w:type="dxa"/>
            <w:shd w:val="clear" w:color="auto" w:fill="auto"/>
            <w:noWrap w:val="0"/>
            <w:vAlign w:val="top"/>
          </w:tcPr>
          <w:p w14:paraId="518C8977">
            <w:r>
              <w:rPr>
                <w:rFonts w:hint="eastAsia"/>
              </w:rPr>
              <w:t>1.045</w:t>
            </w:r>
          </w:p>
        </w:tc>
        <w:tc>
          <w:tcPr>
            <w:tcW w:w="844" w:type="dxa"/>
            <w:shd w:val="clear" w:color="auto" w:fill="auto"/>
            <w:noWrap w:val="0"/>
            <w:vAlign w:val="top"/>
          </w:tcPr>
          <w:p w14:paraId="2CD4A16F">
            <w:r>
              <w:rPr>
                <w:rFonts w:hint="eastAsia"/>
              </w:rPr>
              <w:t>2.056</w:t>
            </w:r>
          </w:p>
        </w:tc>
        <w:tc>
          <w:tcPr>
            <w:tcW w:w="772" w:type="dxa"/>
            <w:shd w:val="clear" w:color="auto" w:fill="auto"/>
            <w:noWrap w:val="0"/>
            <w:vAlign w:val="top"/>
          </w:tcPr>
          <w:p w14:paraId="4E0384AB">
            <w:r>
              <w:rPr>
                <w:rFonts w:hint="eastAsia"/>
              </w:rPr>
              <w:t>1.046</w:t>
            </w:r>
          </w:p>
        </w:tc>
        <w:tc>
          <w:tcPr>
            <w:tcW w:w="844" w:type="dxa"/>
            <w:shd w:val="clear" w:color="auto" w:fill="auto"/>
            <w:noWrap w:val="0"/>
            <w:vAlign w:val="top"/>
          </w:tcPr>
          <w:p w14:paraId="72E466D3">
            <w:r>
              <w:rPr>
                <w:rFonts w:hint="eastAsia"/>
              </w:rPr>
              <w:t>2.055</w:t>
            </w:r>
          </w:p>
        </w:tc>
        <w:tc>
          <w:tcPr>
            <w:tcW w:w="772" w:type="dxa"/>
            <w:shd w:val="clear" w:color="auto" w:fill="auto"/>
            <w:noWrap w:val="0"/>
            <w:vAlign w:val="top"/>
          </w:tcPr>
          <w:p w14:paraId="579490B3">
            <w:r>
              <w:rPr>
                <w:rFonts w:hint="eastAsia"/>
              </w:rPr>
              <w:t>1.047</w:t>
            </w:r>
          </w:p>
        </w:tc>
        <w:tc>
          <w:tcPr>
            <w:tcW w:w="844" w:type="dxa"/>
            <w:shd w:val="clear" w:color="auto" w:fill="auto"/>
            <w:noWrap w:val="0"/>
            <w:vAlign w:val="top"/>
          </w:tcPr>
          <w:p w14:paraId="0AF0DD76">
            <w:r>
              <w:rPr>
                <w:rFonts w:hint="eastAsia"/>
              </w:rPr>
              <w:t>2.053</w:t>
            </w:r>
          </w:p>
        </w:tc>
      </w:tr>
      <w:tr w14:paraId="28DF64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right"/>
        </w:trPr>
        <w:tc>
          <w:tcPr>
            <w:tcW w:w="527" w:type="dxa"/>
            <w:shd w:val="clear" w:color="auto" w:fill="auto"/>
            <w:noWrap w:val="0"/>
            <w:vAlign w:val="top"/>
          </w:tcPr>
          <w:p w14:paraId="54EA8798">
            <w:r>
              <w:rPr>
                <w:rFonts w:hint="eastAsia"/>
              </w:rPr>
              <w:t>相对误差</w:t>
            </w:r>
          </w:p>
        </w:tc>
        <w:tc>
          <w:tcPr>
            <w:tcW w:w="762" w:type="dxa"/>
            <w:shd w:val="clear" w:color="auto" w:fill="auto"/>
            <w:noWrap w:val="0"/>
            <w:vAlign w:val="top"/>
          </w:tcPr>
          <w:p w14:paraId="2933D69D">
            <w:r>
              <w:rPr>
                <w:rFonts w:hint="eastAsia"/>
              </w:rPr>
              <w:t>0.2%</w:t>
            </w:r>
          </w:p>
        </w:tc>
        <w:tc>
          <w:tcPr>
            <w:tcW w:w="844" w:type="dxa"/>
            <w:shd w:val="clear" w:color="auto" w:fill="auto"/>
            <w:noWrap w:val="0"/>
            <w:vAlign w:val="top"/>
          </w:tcPr>
          <w:p w14:paraId="11F0D044">
            <w:r>
              <w:rPr>
                <w:rFonts w:hint="eastAsia"/>
              </w:rPr>
              <w:t>2.25%</w:t>
            </w:r>
          </w:p>
        </w:tc>
        <w:tc>
          <w:tcPr>
            <w:tcW w:w="772" w:type="dxa"/>
            <w:shd w:val="clear" w:color="auto" w:fill="auto"/>
            <w:noWrap w:val="0"/>
            <w:vAlign w:val="top"/>
          </w:tcPr>
          <w:p w14:paraId="2C887617">
            <w:r>
              <w:rPr>
                <w:rFonts w:hint="eastAsia"/>
              </w:rPr>
              <w:t>3.5%</w:t>
            </w:r>
          </w:p>
        </w:tc>
        <w:tc>
          <w:tcPr>
            <w:tcW w:w="844" w:type="dxa"/>
            <w:shd w:val="clear" w:color="auto" w:fill="auto"/>
            <w:noWrap w:val="0"/>
            <w:vAlign w:val="top"/>
          </w:tcPr>
          <w:p w14:paraId="7B82DC6A">
            <w:r>
              <w:rPr>
                <w:rFonts w:hint="eastAsia"/>
              </w:rPr>
              <w:t>2.25%</w:t>
            </w:r>
          </w:p>
        </w:tc>
        <w:tc>
          <w:tcPr>
            <w:tcW w:w="772" w:type="dxa"/>
            <w:shd w:val="clear" w:color="auto" w:fill="auto"/>
            <w:noWrap w:val="0"/>
            <w:vAlign w:val="top"/>
          </w:tcPr>
          <w:p w14:paraId="1DA8A642">
            <w:r>
              <w:rPr>
                <w:rFonts w:hint="eastAsia"/>
              </w:rPr>
              <w:t>4.5%</w:t>
            </w:r>
          </w:p>
        </w:tc>
        <w:tc>
          <w:tcPr>
            <w:tcW w:w="844" w:type="dxa"/>
            <w:shd w:val="clear" w:color="auto" w:fill="auto"/>
            <w:noWrap w:val="0"/>
            <w:vAlign w:val="top"/>
          </w:tcPr>
          <w:p w14:paraId="1FD1BE27">
            <w:r>
              <w:rPr>
                <w:rFonts w:hint="eastAsia"/>
              </w:rPr>
              <w:t>2.28%</w:t>
            </w:r>
          </w:p>
        </w:tc>
        <w:tc>
          <w:tcPr>
            <w:tcW w:w="772" w:type="dxa"/>
            <w:shd w:val="clear" w:color="auto" w:fill="auto"/>
            <w:noWrap w:val="0"/>
            <w:vAlign w:val="top"/>
          </w:tcPr>
          <w:p w14:paraId="7760F755">
            <w:r>
              <w:rPr>
                <w:rFonts w:hint="eastAsia"/>
              </w:rPr>
              <w:t>4.6%</w:t>
            </w:r>
          </w:p>
        </w:tc>
        <w:tc>
          <w:tcPr>
            <w:tcW w:w="844" w:type="dxa"/>
            <w:shd w:val="clear" w:color="auto" w:fill="auto"/>
            <w:noWrap w:val="0"/>
            <w:vAlign w:val="top"/>
          </w:tcPr>
          <w:p w14:paraId="16CC289E">
            <w:r>
              <w:rPr>
                <w:rFonts w:hint="eastAsia"/>
              </w:rPr>
              <w:t>2.25%</w:t>
            </w:r>
          </w:p>
        </w:tc>
        <w:tc>
          <w:tcPr>
            <w:tcW w:w="772" w:type="dxa"/>
            <w:shd w:val="clear" w:color="auto" w:fill="auto"/>
            <w:noWrap w:val="0"/>
            <w:vAlign w:val="top"/>
          </w:tcPr>
          <w:p w14:paraId="5255F4F8">
            <w:r>
              <w:rPr>
                <w:rFonts w:hint="eastAsia"/>
              </w:rPr>
              <w:t>4.7%</w:t>
            </w:r>
          </w:p>
        </w:tc>
        <w:tc>
          <w:tcPr>
            <w:tcW w:w="844" w:type="dxa"/>
            <w:shd w:val="clear" w:color="auto" w:fill="auto"/>
            <w:noWrap w:val="0"/>
            <w:vAlign w:val="top"/>
          </w:tcPr>
          <w:p w14:paraId="7CA3998A">
            <w:r>
              <w:rPr>
                <w:rFonts w:hint="eastAsia"/>
              </w:rPr>
              <w:t>2.65%</w:t>
            </w:r>
          </w:p>
        </w:tc>
      </w:tr>
    </w:tbl>
    <w:p w14:paraId="4DB39B79">
      <w:pPr>
        <w:rPr>
          <w:rFonts w:hint="eastAsia" w:eastAsia="宋体"/>
          <w:lang w:eastAsia="zh-CN"/>
        </w:rPr>
      </w:pPr>
    </w:p>
    <w:p w14:paraId="1AD9FE78">
      <w:pPr>
        <w:pStyle w:val="3"/>
      </w:pPr>
      <w:r>
        <w:rPr>
          <w:rFonts w:hint="eastAsia"/>
        </w:rPr>
        <w:t>结果分析</w:t>
      </w:r>
    </w:p>
    <w:p w14:paraId="5B75ED45">
      <w:pPr>
        <w:spacing w:line="300" w:lineRule="auto"/>
        <w:ind w:firstLine="537" w:firstLineChars="224"/>
        <w:rPr>
          <w:sz w:val="24"/>
          <w:szCs w:val="24"/>
        </w:rPr>
      </w:pPr>
      <w:r>
        <w:rPr>
          <w:rFonts w:hAnsi="宋体"/>
          <w:sz w:val="24"/>
          <w:szCs w:val="24"/>
        </w:rPr>
        <w:t>根据上述测试数据</w:t>
      </w:r>
      <w:r>
        <w:rPr>
          <w:rFonts w:hint="eastAsia" w:hAnsi="宋体"/>
          <w:sz w:val="24"/>
          <w:szCs w:val="24"/>
        </w:rPr>
        <w:t>，</w:t>
      </w:r>
      <w:r>
        <w:rPr>
          <w:rFonts w:hAnsi="宋体"/>
          <w:sz w:val="24"/>
          <w:szCs w:val="24"/>
        </w:rPr>
        <w:t>可以得出以下结论：</w:t>
      </w:r>
    </w:p>
    <w:p w14:paraId="3063D581">
      <w:pPr>
        <w:spacing w:line="300" w:lineRule="auto"/>
        <w:ind w:firstLine="537" w:firstLineChars="224"/>
        <w:rPr>
          <w:sz w:val="24"/>
          <w:szCs w:val="24"/>
        </w:rPr>
      </w:pPr>
      <w:r>
        <w:rPr>
          <w:sz w:val="24"/>
          <w:szCs w:val="24"/>
        </w:rPr>
        <w:t>1</w:t>
      </w:r>
      <w:r>
        <w:rPr>
          <w:rFonts w:hAnsi="宋体"/>
          <w:sz w:val="24"/>
          <w:szCs w:val="24"/>
        </w:rPr>
        <w:t>、</w:t>
      </w:r>
      <w:r>
        <w:rPr>
          <w:rFonts w:hint="eastAsia" w:hAnsi="宋体"/>
          <w:sz w:val="24"/>
          <w:szCs w:val="24"/>
        </w:rPr>
        <w:t>已知模型电路可以接近给出的H(s)响应函数，相对误差最大不超过3%，远高于精度要求不超过10%</w:t>
      </w:r>
    </w:p>
    <w:p w14:paraId="04F11FD2">
      <w:pPr>
        <w:spacing w:line="300" w:lineRule="auto"/>
        <w:ind w:firstLine="537" w:firstLineChars="224"/>
        <w:rPr>
          <w:sz w:val="24"/>
          <w:szCs w:val="24"/>
        </w:rPr>
      </w:pPr>
      <w:r>
        <w:rPr>
          <w:sz w:val="24"/>
          <w:szCs w:val="24"/>
        </w:rPr>
        <w:t>2</w:t>
      </w:r>
      <w:r>
        <w:rPr>
          <w:rFonts w:hAnsi="宋体"/>
          <w:sz w:val="24"/>
          <w:szCs w:val="24"/>
        </w:rPr>
        <w:t>、</w:t>
      </w:r>
      <w:r>
        <w:rPr>
          <w:rFonts w:hint="eastAsia" w:hAnsi="宋体"/>
          <w:sz w:val="24"/>
          <w:szCs w:val="24"/>
        </w:rPr>
        <w:t>探究系统可以输出0.23Hz分度值的正弦波，最大不失真频率可达1.5MHz，峰峰值达4.5V，输出峰峰值不小于3V输出频率可达2MHz</w:t>
      </w:r>
    </w:p>
    <w:p w14:paraId="564711D6">
      <w:pPr>
        <w:spacing w:line="300" w:lineRule="auto"/>
        <w:ind w:firstLine="537" w:firstLineChars="224"/>
        <w:rPr>
          <w:rFonts w:hAnsi="宋体"/>
          <w:sz w:val="24"/>
          <w:szCs w:val="24"/>
        </w:rPr>
      </w:pPr>
      <w:r>
        <w:rPr>
          <w:sz w:val="24"/>
          <w:szCs w:val="24"/>
        </w:rPr>
        <w:t>3</w:t>
      </w:r>
      <w:r>
        <w:rPr>
          <w:rFonts w:hAnsi="宋体"/>
          <w:sz w:val="24"/>
          <w:szCs w:val="24"/>
        </w:rPr>
        <w:t>、</w:t>
      </w:r>
      <w:r>
        <w:rPr>
          <w:rFonts w:hint="eastAsia" w:hAnsi="宋体"/>
          <w:sz w:val="24"/>
          <w:szCs w:val="24"/>
        </w:rPr>
        <w:t>探究系统可输出1kHz信号，使得已知模型电路输出2V定值电压，实测输出2.04V，相对误差2%，远低于题目要求5%</w:t>
      </w:r>
    </w:p>
    <w:p w14:paraId="6B9CA3B7">
      <w:pPr>
        <w:spacing w:line="300" w:lineRule="auto"/>
        <w:ind w:firstLine="537" w:firstLineChars="224"/>
        <w:rPr>
          <w:rFonts w:hint="eastAsia" w:hAnsi="宋体"/>
          <w:sz w:val="24"/>
          <w:szCs w:val="24"/>
        </w:rPr>
      </w:pPr>
      <w:r>
        <w:rPr>
          <w:rFonts w:hint="eastAsia" w:hAnsi="宋体"/>
          <w:sz w:val="24"/>
          <w:szCs w:val="24"/>
        </w:rPr>
        <w:t>4、探究系统可输出100Hz~3kHz信号，使已知模型电路输出电压可以以0.1V步进调整，相对误差在5%以下</w:t>
      </w:r>
    </w:p>
    <w:p w14:paraId="761C2981">
      <w:pPr>
        <w:spacing w:line="300" w:lineRule="auto"/>
        <w:ind w:firstLine="537" w:firstLineChars="224"/>
        <w:rPr>
          <w:rFonts w:hint="eastAsia" w:hAnsi="宋体"/>
          <w:sz w:val="24"/>
          <w:szCs w:val="24"/>
        </w:rPr>
      </w:pPr>
      <w:r>
        <w:rPr>
          <w:rFonts w:hint="eastAsia" w:hAnsi="宋体"/>
          <w:sz w:val="24"/>
          <w:szCs w:val="24"/>
        </w:rPr>
        <w:t>5、探究系统可在40s内对未知模型电路进行学习建模，拟合其幅度谱并给出滤波器类型的判断。</w:t>
      </w:r>
    </w:p>
    <w:p w14:paraId="3DC2BA7B">
      <w:pPr>
        <w:spacing w:line="300" w:lineRule="auto"/>
        <w:ind w:firstLine="537" w:firstLineChars="224"/>
        <w:rPr>
          <w:rFonts w:hAnsi="宋体"/>
          <w:sz w:val="24"/>
          <w:szCs w:val="24"/>
        </w:rPr>
      </w:pPr>
      <w:r>
        <w:rPr>
          <w:rFonts w:hint="eastAsia" w:hAnsi="宋体"/>
          <w:sz w:val="24"/>
          <w:szCs w:val="24"/>
        </w:rPr>
        <w:t>6、探究系统可根据学习的幅度谱，对输入的1kHz~50kHz的信号进行模拟输出，与未知模型电路的幅值差距在10%以内。</w:t>
      </w:r>
    </w:p>
    <w:p w14:paraId="7DC89B36">
      <w:pPr>
        <w:ind w:firstLine="420"/>
        <w:rPr>
          <w:rFonts w:hint="eastAsia"/>
        </w:rPr>
      </w:pPr>
      <w:r>
        <w:rPr>
          <w:rFonts w:hAnsi="宋体"/>
          <w:sz w:val="24"/>
          <w:szCs w:val="24"/>
        </w:rPr>
        <w:t>综上所述，本设计达到设计要求。</w:t>
      </w:r>
    </w:p>
    <w:p w14:paraId="497E594C">
      <w:pPr>
        <w:ind w:firstLine="420"/>
        <w:rPr>
          <w:rFonts w:hint="eastAsia"/>
        </w:rPr>
      </w:pPr>
    </w:p>
    <w:sectPr>
      <w:footerReference r:id="rId5" w:type="default"/>
      <w:pgSz w:w="11906" w:h="16838"/>
      <w:pgMar w:top="1814" w:right="1797" w:bottom="1440" w:left="1797" w:header="851" w:footer="992" w:gutter="0"/>
      <w:pgNumType w:start="0"/>
      <w:cols w:space="425" w:num="1"/>
      <w:titlePg/>
      <w:docGrid w:type="lines" w:linePitch="326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Open Sans">
    <w:altName w:val="Times New Roman"/>
    <w:panose1 w:val="00000000000000000000"/>
    <w:charset w:val="00"/>
    <w:family w:val="swiss"/>
    <w:pitch w:val="default"/>
    <w:sig w:usb0="00000000" w:usb1="00000000" w:usb2="00000028" w:usb3="00000000" w:csb0="0000019F" w:csb1="00000000"/>
  </w:font>
  <w:font w:name="苹方-简">
    <w:altName w:val="宋体"/>
    <w:panose1 w:val="020B0400000000000000"/>
    <w:charset w:val="86"/>
    <w:family w:val="auto"/>
    <w:pitch w:val="default"/>
    <w:sig w:usb0="00000000" w:usb1="00000000" w:usb2="00000017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"/>
      <w:docPartObj>
        <w:docPartGallery w:val="autotext"/>
      </w:docPartObj>
    </w:sdtPr>
    <w:sdtContent>
      <w:p w14:paraId="26381FF6">
        <w:pPr>
          <w:pStyle w:val="19"/>
          <w:jc w:val="right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04E852DC">
    <w:pPr>
      <w:pStyle w:val="19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CFE98B7"/>
    <w:multiLevelType w:val="singleLevel"/>
    <w:tmpl w:val="FCFE98B7"/>
    <w:lvl w:ilvl="0" w:tentative="0">
      <w:start w:val="1"/>
      <w:numFmt w:val="decimal"/>
      <w:suff w:val="nothing"/>
      <w:lvlText w:val="（%1）"/>
      <w:lvlJc w:val="left"/>
    </w:lvl>
  </w:abstractNum>
  <w:abstractNum w:abstractNumId="1">
    <w:nsid w:val="00580A26"/>
    <w:multiLevelType w:val="singleLevel"/>
    <w:tmpl w:val="00580A26"/>
    <w:lvl w:ilvl="0" w:tentative="0">
      <w:start w:val="2"/>
      <w:numFmt w:val="decimal"/>
      <w:suff w:val="nothing"/>
      <w:lvlText w:val="（%1）"/>
      <w:lvlJc w:val="left"/>
      <w:pPr>
        <w:ind w:left="420"/>
      </w:pPr>
    </w:lvl>
  </w:abstractNum>
  <w:abstractNum w:abstractNumId="2">
    <w:nsid w:val="03812DC5"/>
    <w:multiLevelType w:val="multilevel"/>
    <w:tmpl w:val="03812DC5"/>
    <w:lvl w:ilvl="0" w:tentative="0">
      <w:start w:val="1"/>
      <w:numFmt w:val="decimal"/>
      <w:pStyle w:val="2"/>
      <w:lvlText w:val="%1"/>
      <w:lvlJc w:val="left"/>
      <w:pPr>
        <w:ind w:left="432" w:hanging="432"/>
      </w:pPr>
      <w:rPr>
        <w:rFonts w:hint="eastAsia"/>
      </w:rPr>
    </w:lvl>
    <w:lvl w:ilvl="1" w:tentative="0">
      <w:start w:val="1"/>
      <w:numFmt w:val="decimal"/>
      <w:pStyle w:val="3"/>
      <w:lvlText w:val="%1.%2"/>
      <w:lvlJc w:val="left"/>
      <w:pPr>
        <w:ind w:left="576" w:hanging="576"/>
      </w:pPr>
      <w:rPr>
        <w:rFonts w:hint="eastAsia"/>
      </w:rPr>
    </w:lvl>
    <w:lvl w:ilvl="2" w:tentative="0">
      <w:start w:val="1"/>
      <w:numFmt w:val="decimal"/>
      <w:pStyle w:val="4"/>
      <w:lvlText w:val="%1.%2.%3"/>
      <w:lvlJc w:val="left"/>
      <w:pPr>
        <w:ind w:left="720" w:hanging="720"/>
      </w:pPr>
      <w:rPr>
        <w:rFonts w:hint="eastAsia"/>
      </w:rPr>
    </w:lvl>
    <w:lvl w:ilvl="3" w:tentative="0">
      <w:start w:val="1"/>
      <w:numFmt w:val="decimal"/>
      <w:pStyle w:val="5"/>
      <w:suff w:val="space"/>
      <w:lvlText w:val="(%4)"/>
      <w:lvlJc w:val="left"/>
      <w:pPr>
        <w:ind w:left="864" w:hanging="864"/>
      </w:pPr>
      <w:rPr>
        <w:rFonts w:hint="eastAsia"/>
      </w:rPr>
    </w:lvl>
    <w:lvl w:ilvl="4" w:tentative="0">
      <w:start w:val="1"/>
      <w:numFmt w:val="decimal"/>
      <w:pStyle w:val="6"/>
      <w:lvlText w:val="%1.%2.%3.%4.%5"/>
      <w:lvlJc w:val="left"/>
      <w:pPr>
        <w:ind w:left="1008" w:hanging="1008"/>
      </w:pPr>
      <w:rPr>
        <w:rFonts w:hint="eastAsia"/>
      </w:rPr>
    </w:lvl>
    <w:lvl w:ilvl="5" w:tentative="0">
      <w:start w:val="1"/>
      <w:numFmt w:val="decimal"/>
      <w:pStyle w:val="7"/>
      <w:lvlText w:val="%1.%2.%3.%4.%5.%6"/>
      <w:lvlJc w:val="left"/>
      <w:pPr>
        <w:ind w:left="1152" w:hanging="1152"/>
      </w:pPr>
      <w:rPr>
        <w:rFonts w:hint="eastAsia"/>
      </w:rPr>
    </w:lvl>
    <w:lvl w:ilvl="6" w:tentative="0">
      <w:start w:val="1"/>
      <w:numFmt w:val="decimal"/>
      <w:pStyle w:val="8"/>
      <w:lvlText w:val="%1.%2.%3.%4.%5.%6.%7"/>
      <w:lvlJc w:val="left"/>
      <w:pPr>
        <w:ind w:left="1296" w:hanging="1296"/>
      </w:pPr>
      <w:rPr>
        <w:rFonts w:hint="eastAsia"/>
      </w:rPr>
    </w:lvl>
    <w:lvl w:ilvl="7" w:tentative="0">
      <w:start w:val="1"/>
      <w:numFmt w:val="decimal"/>
      <w:pStyle w:val="9"/>
      <w:lvlText w:val="%1.%2.%3.%4.%5.%6.%7.%8"/>
      <w:lvlJc w:val="left"/>
      <w:pPr>
        <w:ind w:left="1440" w:hanging="1440"/>
      </w:pPr>
      <w:rPr>
        <w:rFonts w:hint="eastAsia"/>
      </w:rPr>
    </w:lvl>
    <w:lvl w:ilvl="8" w:tentative="0">
      <w:start w:val="1"/>
      <w:numFmt w:val="decimal"/>
      <w:pStyle w:val="10"/>
      <w:lvlText w:val="%1.%2.%3.%4.%5.%6.%7.%8.%9"/>
      <w:lvlJc w:val="left"/>
      <w:pPr>
        <w:ind w:left="1584" w:hanging="1584"/>
      </w:pPr>
      <w:rPr>
        <w:rFonts w:hint="eastAsia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removePersonalInformation/>
  <w:bordersDoNotSurroundHeader w:val="1"/>
  <w:bordersDoNotSurroundFooter w:val="1"/>
  <w:attachedTemplate r:id="rId1"/>
  <w:documentProtection w:enforcement="0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2B12"/>
    <w:rsid w:val="00000401"/>
    <w:rsid w:val="00001682"/>
    <w:rsid w:val="000016C8"/>
    <w:rsid w:val="00003723"/>
    <w:rsid w:val="00005E1F"/>
    <w:rsid w:val="00013571"/>
    <w:rsid w:val="000202A3"/>
    <w:rsid w:val="00021059"/>
    <w:rsid w:val="00030630"/>
    <w:rsid w:val="00030ED7"/>
    <w:rsid w:val="00036858"/>
    <w:rsid w:val="000368F0"/>
    <w:rsid w:val="00044239"/>
    <w:rsid w:val="00047DCD"/>
    <w:rsid w:val="00050BD8"/>
    <w:rsid w:val="0005306C"/>
    <w:rsid w:val="00077091"/>
    <w:rsid w:val="00077D29"/>
    <w:rsid w:val="00086D78"/>
    <w:rsid w:val="000879F9"/>
    <w:rsid w:val="00094EFD"/>
    <w:rsid w:val="000A02D6"/>
    <w:rsid w:val="000A10A7"/>
    <w:rsid w:val="000A1388"/>
    <w:rsid w:val="000A7F99"/>
    <w:rsid w:val="000B179D"/>
    <w:rsid w:val="000B30B8"/>
    <w:rsid w:val="000B6600"/>
    <w:rsid w:val="000C34C2"/>
    <w:rsid w:val="000C4151"/>
    <w:rsid w:val="000D077B"/>
    <w:rsid w:val="000D1666"/>
    <w:rsid w:val="000D33DB"/>
    <w:rsid w:val="000E07E4"/>
    <w:rsid w:val="000E1B03"/>
    <w:rsid w:val="000E6A86"/>
    <w:rsid w:val="000F35D0"/>
    <w:rsid w:val="000F4066"/>
    <w:rsid w:val="000F50AC"/>
    <w:rsid w:val="000F7ECE"/>
    <w:rsid w:val="00103B71"/>
    <w:rsid w:val="00105352"/>
    <w:rsid w:val="00111543"/>
    <w:rsid w:val="00112008"/>
    <w:rsid w:val="00112095"/>
    <w:rsid w:val="00112A9C"/>
    <w:rsid w:val="0011615A"/>
    <w:rsid w:val="0011676B"/>
    <w:rsid w:val="00116E46"/>
    <w:rsid w:val="00117DFA"/>
    <w:rsid w:val="0012241E"/>
    <w:rsid w:val="0013315C"/>
    <w:rsid w:val="00133A5C"/>
    <w:rsid w:val="001366ED"/>
    <w:rsid w:val="00137179"/>
    <w:rsid w:val="001409DB"/>
    <w:rsid w:val="00140A5C"/>
    <w:rsid w:val="00141049"/>
    <w:rsid w:val="001411F1"/>
    <w:rsid w:val="00144BA7"/>
    <w:rsid w:val="001513B3"/>
    <w:rsid w:val="001513B5"/>
    <w:rsid w:val="0015548F"/>
    <w:rsid w:val="00157F03"/>
    <w:rsid w:val="00160A5A"/>
    <w:rsid w:val="00161565"/>
    <w:rsid w:val="00164EA8"/>
    <w:rsid w:val="0017063D"/>
    <w:rsid w:val="0017487C"/>
    <w:rsid w:val="00174D45"/>
    <w:rsid w:val="00180B9B"/>
    <w:rsid w:val="001852CA"/>
    <w:rsid w:val="001935EC"/>
    <w:rsid w:val="0019534C"/>
    <w:rsid w:val="001A3284"/>
    <w:rsid w:val="001A3B18"/>
    <w:rsid w:val="001A53C6"/>
    <w:rsid w:val="001B469F"/>
    <w:rsid w:val="001B5709"/>
    <w:rsid w:val="001C1287"/>
    <w:rsid w:val="001C222E"/>
    <w:rsid w:val="001C3F71"/>
    <w:rsid w:val="001C436A"/>
    <w:rsid w:val="001D6DB8"/>
    <w:rsid w:val="001E50D8"/>
    <w:rsid w:val="001F3054"/>
    <w:rsid w:val="001F678B"/>
    <w:rsid w:val="00202B29"/>
    <w:rsid w:val="0020368F"/>
    <w:rsid w:val="00206D6C"/>
    <w:rsid w:val="002109E2"/>
    <w:rsid w:val="00211E26"/>
    <w:rsid w:val="002126EA"/>
    <w:rsid w:val="00215293"/>
    <w:rsid w:val="00221060"/>
    <w:rsid w:val="00223DCF"/>
    <w:rsid w:val="002247CC"/>
    <w:rsid w:val="00225A65"/>
    <w:rsid w:val="00230B6C"/>
    <w:rsid w:val="00231D6E"/>
    <w:rsid w:val="00236BC2"/>
    <w:rsid w:val="0024277B"/>
    <w:rsid w:val="00243120"/>
    <w:rsid w:val="00243F8D"/>
    <w:rsid w:val="002458FA"/>
    <w:rsid w:val="00252595"/>
    <w:rsid w:val="0025387C"/>
    <w:rsid w:val="0025649A"/>
    <w:rsid w:val="00260329"/>
    <w:rsid w:val="002607F1"/>
    <w:rsid w:val="00263A47"/>
    <w:rsid w:val="002641ED"/>
    <w:rsid w:val="00272175"/>
    <w:rsid w:val="00274702"/>
    <w:rsid w:val="00277F4A"/>
    <w:rsid w:val="00283216"/>
    <w:rsid w:val="002865F2"/>
    <w:rsid w:val="00290443"/>
    <w:rsid w:val="002A0337"/>
    <w:rsid w:val="002A1949"/>
    <w:rsid w:val="002A226B"/>
    <w:rsid w:val="002A3040"/>
    <w:rsid w:val="002A595D"/>
    <w:rsid w:val="002B18E7"/>
    <w:rsid w:val="002B30DC"/>
    <w:rsid w:val="002B31D5"/>
    <w:rsid w:val="002B7FFD"/>
    <w:rsid w:val="002C13D5"/>
    <w:rsid w:val="002C147A"/>
    <w:rsid w:val="002C4426"/>
    <w:rsid w:val="002D2600"/>
    <w:rsid w:val="002D51F1"/>
    <w:rsid w:val="002E0853"/>
    <w:rsid w:val="002E768A"/>
    <w:rsid w:val="002F0456"/>
    <w:rsid w:val="002F10B1"/>
    <w:rsid w:val="002F4B64"/>
    <w:rsid w:val="002F54DF"/>
    <w:rsid w:val="003001C9"/>
    <w:rsid w:val="00301D14"/>
    <w:rsid w:val="003026A8"/>
    <w:rsid w:val="0030464C"/>
    <w:rsid w:val="00310032"/>
    <w:rsid w:val="00314822"/>
    <w:rsid w:val="00314833"/>
    <w:rsid w:val="0031719E"/>
    <w:rsid w:val="00317D3B"/>
    <w:rsid w:val="003221F7"/>
    <w:rsid w:val="0032284A"/>
    <w:rsid w:val="003253A5"/>
    <w:rsid w:val="0033001E"/>
    <w:rsid w:val="00331DD7"/>
    <w:rsid w:val="00335619"/>
    <w:rsid w:val="00337427"/>
    <w:rsid w:val="003415DD"/>
    <w:rsid w:val="003429BE"/>
    <w:rsid w:val="00343F8E"/>
    <w:rsid w:val="0034752F"/>
    <w:rsid w:val="003554C4"/>
    <w:rsid w:val="00361E90"/>
    <w:rsid w:val="00367C81"/>
    <w:rsid w:val="00371E7A"/>
    <w:rsid w:val="003764E1"/>
    <w:rsid w:val="00376916"/>
    <w:rsid w:val="00380621"/>
    <w:rsid w:val="00386B50"/>
    <w:rsid w:val="003911E7"/>
    <w:rsid w:val="00391324"/>
    <w:rsid w:val="003929AE"/>
    <w:rsid w:val="00392EEB"/>
    <w:rsid w:val="00394052"/>
    <w:rsid w:val="00394BA6"/>
    <w:rsid w:val="003965D6"/>
    <w:rsid w:val="003A0D4B"/>
    <w:rsid w:val="003A3A34"/>
    <w:rsid w:val="003B0A5E"/>
    <w:rsid w:val="003B4C0A"/>
    <w:rsid w:val="003B5D22"/>
    <w:rsid w:val="003C3EED"/>
    <w:rsid w:val="003C560D"/>
    <w:rsid w:val="003C62E8"/>
    <w:rsid w:val="003C6F55"/>
    <w:rsid w:val="003D1C84"/>
    <w:rsid w:val="003D2DA1"/>
    <w:rsid w:val="003D7FFC"/>
    <w:rsid w:val="003E01E1"/>
    <w:rsid w:val="003E0A95"/>
    <w:rsid w:val="003E2C16"/>
    <w:rsid w:val="003E5C8B"/>
    <w:rsid w:val="003F0DD3"/>
    <w:rsid w:val="003F2F8E"/>
    <w:rsid w:val="003F3D0B"/>
    <w:rsid w:val="003F63C4"/>
    <w:rsid w:val="003F7C90"/>
    <w:rsid w:val="004000E4"/>
    <w:rsid w:val="00401D8A"/>
    <w:rsid w:val="004036F9"/>
    <w:rsid w:val="00405B36"/>
    <w:rsid w:val="00406392"/>
    <w:rsid w:val="00406ECD"/>
    <w:rsid w:val="00407635"/>
    <w:rsid w:val="004113FE"/>
    <w:rsid w:val="00411B4D"/>
    <w:rsid w:val="00412692"/>
    <w:rsid w:val="00424ED6"/>
    <w:rsid w:val="00427C55"/>
    <w:rsid w:val="00427D2D"/>
    <w:rsid w:val="00434A0F"/>
    <w:rsid w:val="00442378"/>
    <w:rsid w:val="00442C15"/>
    <w:rsid w:val="00444AA6"/>
    <w:rsid w:val="0044625D"/>
    <w:rsid w:val="004564F5"/>
    <w:rsid w:val="00463323"/>
    <w:rsid w:val="0046618B"/>
    <w:rsid w:val="00466393"/>
    <w:rsid w:val="004664FD"/>
    <w:rsid w:val="004760F2"/>
    <w:rsid w:val="00483086"/>
    <w:rsid w:val="00485FB4"/>
    <w:rsid w:val="004872EC"/>
    <w:rsid w:val="00487A03"/>
    <w:rsid w:val="00487A78"/>
    <w:rsid w:val="00496327"/>
    <w:rsid w:val="00497690"/>
    <w:rsid w:val="004A31C0"/>
    <w:rsid w:val="004B3B26"/>
    <w:rsid w:val="004B4480"/>
    <w:rsid w:val="004B4AC6"/>
    <w:rsid w:val="004C04AF"/>
    <w:rsid w:val="004C079A"/>
    <w:rsid w:val="004C5F69"/>
    <w:rsid w:val="004C7B13"/>
    <w:rsid w:val="004D4A0F"/>
    <w:rsid w:val="004D56EF"/>
    <w:rsid w:val="004E1AC6"/>
    <w:rsid w:val="004E299C"/>
    <w:rsid w:val="004E6DF8"/>
    <w:rsid w:val="004E7230"/>
    <w:rsid w:val="004F2563"/>
    <w:rsid w:val="004F40FD"/>
    <w:rsid w:val="004F4326"/>
    <w:rsid w:val="004F478C"/>
    <w:rsid w:val="004F5F20"/>
    <w:rsid w:val="004F797F"/>
    <w:rsid w:val="00501485"/>
    <w:rsid w:val="0050791E"/>
    <w:rsid w:val="00523D30"/>
    <w:rsid w:val="0052430A"/>
    <w:rsid w:val="005336E1"/>
    <w:rsid w:val="005336E8"/>
    <w:rsid w:val="00540B85"/>
    <w:rsid w:val="00544559"/>
    <w:rsid w:val="005465E6"/>
    <w:rsid w:val="005563E7"/>
    <w:rsid w:val="0055776C"/>
    <w:rsid w:val="00557C8F"/>
    <w:rsid w:val="00560B49"/>
    <w:rsid w:val="0056487C"/>
    <w:rsid w:val="00564BA5"/>
    <w:rsid w:val="00573AD4"/>
    <w:rsid w:val="00574732"/>
    <w:rsid w:val="0057536F"/>
    <w:rsid w:val="00575B01"/>
    <w:rsid w:val="005761AE"/>
    <w:rsid w:val="005768E3"/>
    <w:rsid w:val="0058159F"/>
    <w:rsid w:val="005866A2"/>
    <w:rsid w:val="00590B62"/>
    <w:rsid w:val="00592215"/>
    <w:rsid w:val="005956F0"/>
    <w:rsid w:val="005A0D98"/>
    <w:rsid w:val="005A29C6"/>
    <w:rsid w:val="005A469D"/>
    <w:rsid w:val="005A5394"/>
    <w:rsid w:val="005A7635"/>
    <w:rsid w:val="005B188F"/>
    <w:rsid w:val="005B3FA2"/>
    <w:rsid w:val="005B73F0"/>
    <w:rsid w:val="005C5223"/>
    <w:rsid w:val="005C5EDC"/>
    <w:rsid w:val="005D01BC"/>
    <w:rsid w:val="005D0ABD"/>
    <w:rsid w:val="005D1088"/>
    <w:rsid w:val="005D1E03"/>
    <w:rsid w:val="005D6493"/>
    <w:rsid w:val="005D7E4E"/>
    <w:rsid w:val="005E2DDA"/>
    <w:rsid w:val="005E3384"/>
    <w:rsid w:val="005F0CA6"/>
    <w:rsid w:val="005F4432"/>
    <w:rsid w:val="005F52FC"/>
    <w:rsid w:val="005F5AC4"/>
    <w:rsid w:val="005F5BB8"/>
    <w:rsid w:val="00600A41"/>
    <w:rsid w:val="00601210"/>
    <w:rsid w:val="0060346A"/>
    <w:rsid w:val="00606ED3"/>
    <w:rsid w:val="00610BD2"/>
    <w:rsid w:val="00611740"/>
    <w:rsid w:val="006121D1"/>
    <w:rsid w:val="00613799"/>
    <w:rsid w:val="00617263"/>
    <w:rsid w:val="00620E7D"/>
    <w:rsid w:val="00621B75"/>
    <w:rsid w:val="00632851"/>
    <w:rsid w:val="00632FDB"/>
    <w:rsid w:val="0063354D"/>
    <w:rsid w:val="00636F65"/>
    <w:rsid w:val="00642388"/>
    <w:rsid w:val="00642E11"/>
    <w:rsid w:val="00644524"/>
    <w:rsid w:val="00645BD4"/>
    <w:rsid w:val="006510FC"/>
    <w:rsid w:val="006554EC"/>
    <w:rsid w:val="006578E8"/>
    <w:rsid w:val="0066164E"/>
    <w:rsid w:val="006651FD"/>
    <w:rsid w:val="00665357"/>
    <w:rsid w:val="006708A2"/>
    <w:rsid w:val="00672B5B"/>
    <w:rsid w:val="00673E09"/>
    <w:rsid w:val="00673F8B"/>
    <w:rsid w:val="00677D83"/>
    <w:rsid w:val="00686819"/>
    <w:rsid w:val="00692E54"/>
    <w:rsid w:val="006940F9"/>
    <w:rsid w:val="006A6CD3"/>
    <w:rsid w:val="006B3A39"/>
    <w:rsid w:val="006B48DC"/>
    <w:rsid w:val="006B6A98"/>
    <w:rsid w:val="006C398D"/>
    <w:rsid w:val="006D03FD"/>
    <w:rsid w:val="006D0AE7"/>
    <w:rsid w:val="006D1B2B"/>
    <w:rsid w:val="006D331E"/>
    <w:rsid w:val="006D387D"/>
    <w:rsid w:val="006D6C8D"/>
    <w:rsid w:val="006E08FF"/>
    <w:rsid w:val="006E1158"/>
    <w:rsid w:val="006E5DCA"/>
    <w:rsid w:val="006F38DC"/>
    <w:rsid w:val="006F3DC0"/>
    <w:rsid w:val="006F4743"/>
    <w:rsid w:val="00701E94"/>
    <w:rsid w:val="0070332C"/>
    <w:rsid w:val="00707594"/>
    <w:rsid w:val="00710941"/>
    <w:rsid w:val="00722560"/>
    <w:rsid w:val="00724AF5"/>
    <w:rsid w:val="00727158"/>
    <w:rsid w:val="00730693"/>
    <w:rsid w:val="00730BA5"/>
    <w:rsid w:val="00735B36"/>
    <w:rsid w:val="00742C12"/>
    <w:rsid w:val="00744822"/>
    <w:rsid w:val="00745112"/>
    <w:rsid w:val="00750333"/>
    <w:rsid w:val="00753EEB"/>
    <w:rsid w:val="007543A8"/>
    <w:rsid w:val="00756882"/>
    <w:rsid w:val="007676FD"/>
    <w:rsid w:val="00770A50"/>
    <w:rsid w:val="00773871"/>
    <w:rsid w:val="0077716E"/>
    <w:rsid w:val="00787562"/>
    <w:rsid w:val="007A2A13"/>
    <w:rsid w:val="007A3E0A"/>
    <w:rsid w:val="007A3E48"/>
    <w:rsid w:val="007A400C"/>
    <w:rsid w:val="007A478A"/>
    <w:rsid w:val="007A64FE"/>
    <w:rsid w:val="007B14FC"/>
    <w:rsid w:val="007B4646"/>
    <w:rsid w:val="007B7F1D"/>
    <w:rsid w:val="007C00EE"/>
    <w:rsid w:val="007C66DB"/>
    <w:rsid w:val="007D3857"/>
    <w:rsid w:val="007D466D"/>
    <w:rsid w:val="007E13A0"/>
    <w:rsid w:val="007E4AE8"/>
    <w:rsid w:val="007E73B5"/>
    <w:rsid w:val="007E7B19"/>
    <w:rsid w:val="007F1D30"/>
    <w:rsid w:val="007F367B"/>
    <w:rsid w:val="008014F0"/>
    <w:rsid w:val="0080579B"/>
    <w:rsid w:val="00810658"/>
    <w:rsid w:val="00811271"/>
    <w:rsid w:val="00816331"/>
    <w:rsid w:val="00817AA5"/>
    <w:rsid w:val="00822BA9"/>
    <w:rsid w:val="008234B5"/>
    <w:rsid w:val="008244B9"/>
    <w:rsid w:val="00824A8E"/>
    <w:rsid w:val="00826C21"/>
    <w:rsid w:val="0083571D"/>
    <w:rsid w:val="00843F1E"/>
    <w:rsid w:val="008452FD"/>
    <w:rsid w:val="0084660E"/>
    <w:rsid w:val="008517EE"/>
    <w:rsid w:val="00851987"/>
    <w:rsid w:val="00853145"/>
    <w:rsid w:val="00854741"/>
    <w:rsid w:val="0085706F"/>
    <w:rsid w:val="008768BB"/>
    <w:rsid w:val="00880130"/>
    <w:rsid w:val="00887850"/>
    <w:rsid w:val="00893ED0"/>
    <w:rsid w:val="00896E4D"/>
    <w:rsid w:val="008A05A9"/>
    <w:rsid w:val="008A69F1"/>
    <w:rsid w:val="008B151E"/>
    <w:rsid w:val="008B253F"/>
    <w:rsid w:val="008B610F"/>
    <w:rsid w:val="008C5B9D"/>
    <w:rsid w:val="008C6639"/>
    <w:rsid w:val="008F4CFD"/>
    <w:rsid w:val="00910FE0"/>
    <w:rsid w:val="00912294"/>
    <w:rsid w:val="00912A1C"/>
    <w:rsid w:val="009177FA"/>
    <w:rsid w:val="00925FBB"/>
    <w:rsid w:val="00930B1C"/>
    <w:rsid w:val="00932664"/>
    <w:rsid w:val="00934B9A"/>
    <w:rsid w:val="009358FC"/>
    <w:rsid w:val="00936481"/>
    <w:rsid w:val="00937AF6"/>
    <w:rsid w:val="00940530"/>
    <w:rsid w:val="00944734"/>
    <w:rsid w:val="00951DC7"/>
    <w:rsid w:val="00952821"/>
    <w:rsid w:val="00954036"/>
    <w:rsid w:val="009619C0"/>
    <w:rsid w:val="009622BC"/>
    <w:rsid w:val="00962F33"/>
    <w:rsid w:val="00965672"/>
    <w:rsid w:val="00971858"/>
    <w:rsid w:val="0098053B"/>
    <w:rsid w:val="009813DA"/>
    <w:rsid w:val="00983F7D"/>
    <w:rsid w:val="00987DEA"/>
    <w:rsid w:val="00992D1D"/>
    <w:rsid w:val="00993B0C"/>
    <w:rsid w:val="00995510"/>
    <w:rsid w:val="009A2037"/>
    <w:rsid w:val="009A4424"/>
    <w:rsid w:val="009A48ED"/>
    <w:rsid w:val="009A7921"/>
    <w:rsid w:val="009B0F0A"/>
    <w:rsid w:val="009B27D5"/>
    <w:rsid w:val="009B363D"/>
    <w:rsid w:val="009B5306"/>
    <w:rsid w:val="009B7827"/>
    <w:rsid w:val="009C0D70"/>
    <w:rsid w:val="009D6329"/>
    <w:rsid w:val="009D6E0B"/>
    <w:rsid w:val="009E0262"/>
    <w:rsid w:val="009E4D45"/>
    <w:rsid w:val="009E4DEA"/>
    <w:rsid w:val="009E773A"/>
    <w:rsid w:val="009F073D"/>
    <w:rsid w:val="009F208E"/>
    <w:rsid w:val="009F390B"/>
    <w:rsid w:val="009F48D3"/>
    <w:rsid w:val="00A0306A"/>
    <w:rsid w:val="00A03D6D"/>
    <w:rsid w:val="00A04E8B"/>
    <w:rsid w:val="00A06E7D"/>
    <w:rsid w:val="00A073B0"/>
    <w:rsid w:val="00A07A16"/>
    <w:rsid w:val="00A07DA2"/>
    <w:rsid w:val="00A158CD"/>
    <w:rsid w:val="00A15DD7"/>
    <w:rsid w:val="00A21CDC"/>
    <w:rsid w:val="00A24EC1"/>
    <w:rsid w:val="00A25C2B"/>
    <w:rsid w:val="00A263BB"/>
    <w:rsid w:val="00A32BD3"/>
    <w:rsid w:val="00A33C26"/>
    <w:rsid w:val="00A403CA"/>
    <w:rsid w:val="00A4145F"/>
    <w:rsid w:val="00A41ECB"/>
    <w:rsid w:val="00A42596"/>
    <w:rsid w:val="00A44624"/>
    <w:rsid w:val="00A455E4"/>
    <w:rsid w:val="00A517E5"/>
    <w:rsid w:val="00A52B12"/>
    <w:rsid w:val="00A6344B"/>
    <w:rsid w:val="00A64031"/>
    <w:rsid w:val="00A700C5"/>
    <w:rsid w:val="00A7058C"/>
    <w:rsid w:val="00A85146"/>
    <w:rsid w:val="00A86DEB"/>
    <w:rsid w:val="00A90B3B"/>
    <w:rsid w:val="00A92206"/>
    <w:rsid w:val="00A92ADF"/>
    <w:rsid w:val="00A9310C"/>
    <w:rsid w:val="00A952AA"/>
    <w:rsid w:val="00A95EC4"/>
    <w:rsid w:val="00AA0E82"/>
    <w:rsid w:val="00AA1CE2"/>
    <w:rsid w:val="00AA3075"/>
    <w:rsid w:val="00AB0794"/>
    <w:rsid w:val="00AB28B6"/>
    <w:rsid w:val="00AB371F"/>
    <w:rsid w:val="00AB383C"/>
    <w:rsid w:val="00AB7833"/>
    <w:rsid w:val="00AC1286"/>
    <w:rsid w:val="00AC213D"/>
    <w:rsid w:val="00AC3C32"/>
    <w:rsid w:val="00AD0EC0"/>
    <w:rsid w:val="00AD3C2F"/>
    <w:rsid w:val="00AD6E47"/>
    <w:rsid w:val="00AD7175"/>
    <w:rsid w:val="00AE1B86"/>
    <w:rsid w:val="00AE49E0"/>
    <w:rsid w:val="00AF332F"/>
    <w:rsid w:val="00AF34E9"/>
    <w:rsid w:val="00AF4357"/>
    <w:rsid w:val="00AF5B98"/>
    <w:rsid w:val="00B01840"/>
    <w:rsid w:val="00B03356"/>
    <w:rsid w:val="00B10EF7"/>
    <w:rsid w:val="00B10F72"/>
    <w:rsid w:val="00B14E13"/>
    <w:rsid w:val="00B2434B"/>
    <w:rsid w:val="00B252F1"/>
    <w:rsid w:val="00B27627"/>
    <w:rsid w:val="00B331F9"/>
    <w:rsid w:val="00B4215F"/>
    <w:rsid w:val="00B463AB"/>
    <w:rsid w:val="00B512E1"/>
    <w:rsid w:val="00B515EC"/>
    <w:rsid w:val="00B55B25"/>
    <w:rsid w:val="00B62436"/>
    <w:rsid w:val="00B635B4"/>
    <w:rsid w:val="00B665D0"/>
    <w:rsid w:val="00B73040"/>
    <w:rsid w:val="00B76D00"/>
    <w:rsid w:val="00B828EB"/>
    <w:rsid w:val="00B86943"/>
    <w:rsid w:val="00B87DE3"/>
    <w:rsid w:val="00B912BA"/>
    <w:rsid w:val="00B916C8"/>
    <w:rsid w:val="00B91F34"/>
    <w:rsid w:val="00B93210"/>
    <w:rsid w:val="00B94143"/>
    <w:rsid w:val="00B94234"/>
    <w:rsid w:val="00B97D56"/>
    <w:rsid w:val="00BA05EB"/>
    <w:rsid w:val="00BA12EC"/>
    <w:rsid w:val="00BA19B0"/>
    <w:rsid w:val="00BA1EA7"/>
    <w:rsid w:val="00BA4185"/>
    <w:rsid w:val="00BA6B37"/>
    <w:rsid w:val="00BB1B9B"/>
    <w:rsid w:val="00BB4C6D"/>
    <w:rsid w:val="00BC05A1"/>
    <w:rsid w:val="00BC1177"/>
    <w:rsid w:val="00BC40DE"/>
    <w:rsid w:val="00BC4C97"/>
    <w:rsid w:val="00BC4D96"/>
    <w:rsid w:val="00BC6DE3"/>
    <w:rsid w:val="00BD0020"/>
    <w:rsid w:val="00BD04B0"/>
    <w:rsid w:val="00BD64E3"/>
    <w:rsid w:val="00BD6CCD"/>
    <w:rsid w:val="00BF1A7C"/>
    <w:rsid w:val="00BF2E56"/>
    <w:rsid w:val="00BF5B4D"/>
    <w:rsid w:val="00C04463"/>
    <w:rsid w:val="00C06DFF"/>
    <w:rsid w:val="00C07BDC"/>
    <w:rsid w:val="00C10554"/>
    <w:rsid w:val="00C137D9"/>
    <w:rsid w:val="00C14DE3"/>
    <w:rsid w:val="00C161AA"/>
    <w:rsid w:val="00C17076"/>
    <w:rsid w:val="00C200F7"/>
    <w:rsid w:val="00C26D48"/>
    <w:rsid w:val="00C318C8"/>
    <w:rsid w:val="00C329C4"/>
    <w:rsid w:val="00C35754"/>
    <w:rsid w:val="00C36688"/>
    <w:rsid w:val="00C367FF"/>
    <w:rsid w:val="00C369E7"/>
    <w:rsid w:val="00C4537F"/>
    <w:rsid w:val="00C478D3"/>
    <w:rsid w:val="00C47994"/>
    <w:rsid w:val="00C50D87"/>
    <w:rsid w:val="00C51D10"/>
    <w:rsid w:val="00C53FDD"/>
    <w:rsid w:val="00C5420C"/>
    <w:rsid w:val="00C569B7"/>
    <w:rsid w:val="00C62036"/>
    <w:rsid w:val="00C6296F"/>
    <w:rsid w:val="00C62BF9"/>
    <w:rsid w:val="00C63FC7"/>
    <w:rsid w:val="00C65101"/>
    <w:rsid w:val="00C65D7E"/>
    <w:rsid w:val="00C677E6"/>
    <w:rsid w:val="00C7456A"/>
    <w:rsid w:val="00C81C7C"/>
    <w:rsid w:val="00C83A37"/>
    <w:rsid w:val="00C86E46"/>
    <w:rsid w:val="00C945F1"/>
    <w:rsid w:val="00C949C1"/>
    <w:rsid w:val="00CA2995"/>
    <w:rsid w:val="00CA4B47"/>
    <w:rsid w:val="00CA7A23"/>
    <w:rsid w:val="00CC0F1B"/>
    <w:rsid w:val="00CC2540"/>
    <w:rsid w:val="00CC3E9E"/>
    <w:rsid w:val="00CC5DF8"/>
    <w:rsid w:val="00CC7332"/>
    <w:rsid w:val="00CD4DF0"/>
    <w:rsid w:val="00CD6D0F"/>
    <w:rsid w:val="00CE09CF"/>
    <w:rsid w:val="00CE3A46"/>
    <w:rsid w:val="00CF34C4"/>
    <w:rsid w:val="00CF41F1"/>
    <w:rsid w:val="00CF4380"/>
    <w:rsid w:val="00D05C54"/>
    <w:rsid w:val="00D12644"/>
    <w:rsid w:val="00D13757"/>
    <w:rsid w:val="00D16FD5"/>
    <w:rsid w:val="00D22238"/>
    <w:rsid w:val="00D23D7F"/>
    <w:rsid w:val="00D2717B"/>
    <w:rsid w:val="00D31C79"/>
    <w:rsid w:val="00D33C6E"/>
    <w:rsid w:val="00D3552E"/>
    <w:rsid w:val="00D369CD"/>
    <w:rsid w:val="00D41D6A"/>
    <w:rsid w:val="00D4762E"/>
    <w:rsid w:val="00D515EA"/>
    <w:rsid w:val="00D51CED"/>
    <w:rsid w:val="00D52382"/>
    <w:rsid w:val="00D54B5F"/>
    <w:rsid w:val="00D57201"/>
    <w:rsid w:val="00D60153"/>
    <w:rsid w:val="00D608E5"/>
    <w:rsid w:val="00D61820"/>
    <w:rsid w:val="00D721B9"/>
    <w:rsid w:val="00D762A0"/>
    <w:rsid w:val="00D76D31"/>
    <w:rsid w:val="00D76EFF"/>
    <w:rsid w:val="00D8204A"/>
    <w:rsid w:val="00D91B89"/>
    <w:rsid w:val="00DA0BBF"/>
    <w:rsid w:val="00DA1FF1"/>
    <w:rsid w:val="00DA45DC"/>
    <w:rsid w:val="00DA79CF"/>
    <w:rsid w:val="00DB267C"/>
    <w:rsid w:val="00E00F55"/>
    <w:rsid w:val="00E01453"/>
    <w:rsid w:val="00E106BE"/>
    <w:rsid w:val="00E12F01"/>
    <w:rsid w:val="00E16D68"/>
    <w:rsid w:val="00E200A8"/>
    <w:rsid w:val="00E2210E"/>
    <w:rsid w:val="00E311AA"/>
    <w:rsid w:val="00E32B26"/>
    <w:rsid w:val="00E33C02"/>
    <w:rsid w:val="00E40720"/>
    <w:rsid w:val="00E436EC"/>
    <w:rsid w:val="00E503D4"/>
    <w:rsid w:val="00E50F8F"/>
    <w:rsid w:val="00E51399"/>
    <w:rsid w:val="00E51C18"/>
    <w:rsid w:val="00E537E0"/>
    <w:rsid w:val="00E55D90"/>
    <w:rsid w:val="00E5791C"/>
    <w:rsid w:val="00E60F2E"/>
    <w:rsid w:val="00E613A3"/>
    <w:rsid w:val="00E67ABD"/>
    <w:rsid w:val="00E70E47"/>
    <w:rsid w:val="00E72961"/>
    <w:rsid w:val="00E748E7"/>
    <w:rsid w:val="00E77903"/>
    <w:rsid w:val="00E83BB6"/>
    <w:rsid w:val="00E86CED"/>
    <w:rsid w:val="00E8730D"/>
    <w:rsid w:val="00E8763A"/>
    <w:rsid w:val="00E91959"/>
    <w:rsid w:val="00E92A4A"/>
    <w:rsid w:val="00EA261A"/>
    <w:rsid w:val="00EA28EA"/>
    <w:rsid w:val="00EA394B"/>
    <w:rsid w:val="00EA5231"/>
    <w:rsid w:val="00EC1399"/>
    <w:rsid w:val="00EC5AD4"/>
    <w:rsid w:val="00ED3654"/>
    <w:rsid w:val="00ED4143"/>
    <w:rsid w:val="00ED5314"/>
    <w:rsid w:val="00EE08F5"/>
    <w:rsid w:val="00EE0920"/>
    <w:rsid w:val="00EE0CBC"/>
    <w:rsid w:val="00EE3F97"/>
    <w:rsid w:val="00EF093A"/>
    <w:rsid w:val="00EF1BDE"/>
    <w:rsid w:val="00EF37A1"/>
    <w:rsid w:val="00EF4584"/>
    <w:rsid w:val="00EF4D5C"/>
    <w:rsid w:val="00EF4E4E"/>
    <w:rsid w:val="00F000DD"/>
    <w:rsid w:val="00F0044F"/>
    <w:rsid w:val="00F01EA3"/>
    <w:rsid w:val="00F02471"/>
    <w:rsid w:val="00F04A75"/>
    <w:rsid w:val="00F14A8D"/>
    <w:rsid w:val="00F17537"/>
    <w:rsid w:val="00F24CEF"/>
    <w:rsid w:val="00F2587F"/>
    <w:rsid w:val="00F26113"/>
    <w:rsid w:val="00F3320D"/>
    <w:rsid w:val="00F37E42"/>
    <w:rsid w:val="00F47337"/>
    <w:rsid w:val="00F507C8"/>
    <w:rsid w:val="00F55D37"/>
    <w:rsid w:val="00F572D2"/>
    <w:rsid w:val="00F66498"/>
    <w:rsid w:val="00F66BE1"/>
    <w:rsid w:val="00F73C15"/>
    <w:rsid w:val="00F80B43"/>
    <w:rsid w:val="00F85658"/>
    <w:rsid w:val="00F8707F"/>
    <w:rsid w:val="00F92841"/>
    <w:rsid w:val="00F93364"/>
    <w:rsid w:val="00F93D52"/>
    <w:rsid w:val="00F96150"/>
    <w:rsid w:val="00FA344A"/>
    <w:rsid w:val="00FA43A2"/>
    <w:rsid w:val="00FA6E4C"/>
    <w:rsid w:val="00FB021A"/>
    <w:rsid w:val="00FB2066"/>
    <w:rsid w:val="00FB3CA7"/>
    <w:rsid w:val="00FB4DDE"/>
    <w:rsid w:val="00FB561D"/>
    <w:rsid w:val="00FB719F"/>
    <w:rsid w:val="00FC2AA3"/>
    <w:rsid w:val="00FC5079"/>
    <w:rsid w:val="00FC622A"/>
    <w:rsid w:val="00FC6420"/>
    <w:rsid w:val="00FD0B13"/>
    <w:rsid w:val="00FD1C80"/>
    <w:rsid w:val="00FD2C48"/>
    <w:rsid w:val="00FD4AAA"/>
    <w:rsid w:val="00FD5E23"/>
    <w:rsid w:val="00FD680A"/>
    <w:rsid w:val="00FD680E"/>
    <w:rsid w:val="00FE0577"/>
    <w:rsid w:val="00FE425F"/>
    <w:rsid w:val="00FE43DF"/>
    <w:rsid w:val="00FF3E6D"/>
    <w:rsid w:val="00FF513A"/>
    <w:rsid w:val="00FF566A"/>
    <w:rsid w:val="00FF6698"/>
    <w:rsid w:val="154400FE"/>
    <w:rsid w:val="DB57AD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99" w:name="Placeholder Text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440" w:lineRule="exact"/>
      <w:jc w:val="both"/>
    </w:pPr>
    <w:rPr>
      <w:rFonts w:ascii="Times New Roman" w:hAnsi="Times New Roman" w:eastAsia="宋体" w:cstheme="minorBidi"/>
      <w:kern w:val="2"/>
      <w:sz w:val="24"/>
      <w:szCs w:val="21"/>
      <w:lang w:val="en-US" w:eastAsia="zh-CN" w:bidi="ar-SA"/>
    </w:rPr>
  </w:style>
  <w:style w:type="paragraph" w:styleId="2">
    <w:name w:val="heading 1"/>
    <w:next w:val="1"/>
    <w:link w:val="34"/>
    <w:qFormat/>
    <w:uiPriority w:val="9"/>
    <w:pPr>
      <w:numPr>
        <w:ilvl w:val="0"/>
        <w:numId w:val="1"/>
      </w:numPr>
      <w:jc w:val="center"/>
      <w:outlineLvl w:val="0"/>
    </w:pPr>
    <w:rPr>
      <w:rFonts w:ascii="Times New Roman" w:hAnsi="Times New Roman" w:eastAsia="黑体" w:cstheme="minorBidi"/>
      <w:kern w:val="2"/>
      <w:sz w:val="32"/>
      <w:szCs w:val="36"/>
      <w:lang w:val="en-US" w:eastAsia="zh-CN" w:bidi="ar-SA"/>
    </w:rPr>
  </w:style>
  <w:style w:type="paragraph" w:styleId="3">
    <w:name w:val="heading 2"/>
    <w:next w:val="1"/>
    <w:link w:val="36"/>
    <w:unhideWhenUsed/>
    <w:qFormat/>
    <w:uiPriority w:val="9"/>
    <w:pPr>
      <w:numPr>
        <w:ilvl w:val="1"/>
        <w:numId w:val="1"/>
      </w:numPr>
      <w:jc w:val="center"/>
      <w:outlineLvl w:val="1"/>
    </w:pPr>
    <w:rPr>
      <w:rFonts w:ascii="Times New Roman" w:hAnsi="Times New Roman" w:eastAsia="宋体" w:cstheme="minorBidi"/>
      <w:kern w:val="2"/>
      <w:sz w:val="28"/>
      <w:szCs w:val="32"/>
      <w:lang w:val="en-US" w:eastAsia="zh-CN" w:bidi="ar-SA"/>
    </w:rPr>
  </w:style>
  <w:style w:type="paragraph" w:styleId="4">
    <w:name w:val="heading 3"/>
    <w:basedOn w:val="1"/>
    <w:next w:val="1"/>
    <w:link w:val="37"/>
    <w:unhideWhenUsed/>
    <w:qFormat/>
    <w:uiPriority w:val="9"/>
    <w:pPr>
      <w:numPr>
        <w:ilvl w:val="2"/>
        <w:numId w:val="1"/>
      </w:numPr>
      <w:outlineLvl w:val="2"/>
    </w:pPr>
    <w:rPr>
      <w:rFonts w:eastAsia="黑体"/>
      <w:sz w:val="28"/>
      <w:szCs w:val="28"/>
    </w:rPr>
  </w:style>
  <w:style w:type="paragraph" w:styleId="5">
    <w:name w:val="heading 4"/>
    <w:basedOn w:val="1"/>
    <w:next w:val="1"/>
    <w:link w:val="59"/>
    <w:unhideWhenUsed/>
    <w:qFormat/>
    <w:uiPriority w:val="9"/>
    <w:pPr>
      <w:numPr>
        <w:ilvl w:val="3"/>
        <w:numId w:val="1"/>
      </w:numPr>
      <w:outlineLvl w:val="3"/>
    </w:pPr>
    <w:rPr>
      <w:rFonts w:eastAsia="楷体"/>
      <w:b/>
      <w:szCs w:val="24"/>
    </w:rPr>
  </w:style>
  <w:style w:type="paragraph" w:styleId="6">
    <w:name w:val="heading 5"/>
    <w:basedOn w:val="1"/>
    <w:next w:val="1"/>
    <w:link w:val="60"/>
    <w:semiHidden/>
    <w:unhideWhenUsed/>
    <w:qFormat/>
    <w:uiPriority w:val="9"/>
    <w:pPr>
      <w:keepNext/>
      <w:keepLines/>
      <w:numPr>
        <w:ilvl w:val="4"/>
        <w:numId w:val="1"/>
      </w:numPr>
      <w:spacing w:before="280" w:after="290" w:line="376" w:lineRule="atLeast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link w:val="61"/>
    <w:semiHidden/>
    <w:unhideWhenUsed/>
    <w:qFormat/>
    <w:uiPriority w:val="9"/>
    <w:pPr>
      <w:keepNext/>
      <w:keepLines/>
      <w:numPr>
        <w:ilvl w:val="5"/>
        <w:numId w:val="1"/>
      </w:numPr>
      <w:spacing w:before="240" w:after="64" w:line="320" w:lineRule="atLeast"/>
      <w:outlineLvl w:val="5"/>
    </w:pPr>
    <w:rPr>
      <w:rFonts w:asciiTheme="majorHAnsi" w:hAnsiTheme="majorHAnsi" w:eastAsiaTheme="majorEastAsia" w:cstheme="majorBidi"/>
      <w:b/>
      <w:bCs/>
      <w:szCs w:val="24"/>
    </w:rPr>
  </w:style>
  <w:style w:type="paragraph" w:styleId="8">
    <w:name w:val="heading 7"/>
    <w:basedOn w:val="1"/>
    <w:next w:val="1"/>
    <w:link w:val="62"/>
    <w:semiHidden/>
    <w:unhideWhenUsed/>
    <w:qFormat/>
    <w:uiPriority w:val="9"/>
    <w:pPr>
      <w:keepNext/>
      <w:keepLines/>
      <w:numPr>
        <w:ilvl w:val="6"/>
        <w:numId w:val="1"/>
      </w:numPr>
      <w:spacing w:before="240" w:after="64" w:line="320" w:lineRule="atLeast"/>
      <w:outlineLvl w:val="6"/>
    </w:pPr>
    <w:rPr>
      <w:b/>
      <w:bCs/>
      <w:szCs w:val="24"/>
    </w:rPr>
  </w:style>
  <w:style w:type="paragraph" w:styleId="9">
    <w:name w:val="heading 8"/>
    <w:basedOn w:val="1"/>
    <w:next w:val="1"/>
    <w:link w:val="63"/>
    <w:semiHidden/>
    <w:unhideWhenUsed/>
    <w:qFormat/>
    <w:uiPriority w:val="9"/>
    <w:pPr>
      <w:keepNext/>
      <w:keepLines/>
      <w:numPr>
        <w:ilvl w:val="7"/>
        <w:numId w:val="1"/>
      </w:numPr>
      <w:spacing w:before="240" w:after="64" w:line="320" w:lineRule="atLeast"/>
      <w:outlineLvl w:val="7"/>
    </w:pPr>
    <w:rPr>
      <w:rFonts w:asciiTheme="majorHAnsi" w:hAnsiTheme="majorHAnsi" w:eastAsiaTheme="majorEastAsia" w:cstheme="majorBidi"/>
      <w:szCs w:val="24"/>
    </w:rPr>
  </w:style>
  <w:style w:type="paragraph" w:styleId="10">
    <w:name w:val="heading 9"/>
    <w:basedOn w:val="1"/>
    <w:next w:val="1"/>
    <w:link w:val="64"/>
    <w:semiHidden/>
    <w:unhideWhenUsed/>
    <w:qFormat/>
    <w:uiPriority w:val="9"/>
    <w:pPr>
      <w:keepNext/>
      <w:keepLines/>
      <w:numPr>
        <w:ilvl w:val="8"/>
        <w:numId w:val="1"/>
      </w:numPr>
      <w:spacing w:before="240" w:after="64" w:line="320" w:lineRule="atLeast"/>
      <w:outlineLvl w:val="8"/>
    </w:pPr>
    <w:rPr>
      <w:rFonts w:asciiTheme="majorHAnsi" w:hAnsiTheme="majorHAnsi" w:eastAsiaTheme="majorEastAsia" w:cstheme="majorBidi"/>
    </w:rPr>
  </w:style>
  <w:style w:type="character" w:default="1" w:styleId="31">
    <w:name w:val="Default Paragraph Font"/>
    <w:semiHidden/>
    <w:unhideWhenUsed/>
    <w:qFormat/>
    <w:uiPriority w:val="1"/>
  </w:style>
  <w:style w:type="table" w:default="1" w:styleId="2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7"/>
    <w:basedOn w:val="1"/>
    <w:next w:val="1"/>
    <w:autoRedefine/>
    <w:unhideWhenUsed/>
    <w:qFormat/>
    <w:uiPriority w:val="39"/>
    <w:pPr>
      <w:ind w:left="1260"/>
      <w:jc w:val="left"/>
    </w:pPr>
    <w:rPr>
      <w:rFonts w:eastAsiaTheme="minorHAnsi"/>
      <w:sz w:val="18"/>
      <w:szCs w:val="18"/>
    </w:rPr>
  </w:style>
  <w:style w:type="paragraph" w:styleId="12">
    <w:name w:val="caption"/>
    <w:basedOn w:val="1"/>
    <w:next w:val="1"/>
    <w:unhideWhenUsed/>
    <w:qFormat/>
    <w:uiPriority w:val="35"/>
    <w:rPr>
      <w:rFonts w:eastAsia="黑体" w:asciiTheme="majorHAnsi" w:hAnsiTheme="majorHAnsi" w:cstheme="majorBidi"/>
      <w:sz w:val="20"/>
      <w:szCs w:val="20"/>
    </w:rPr>
  </w:style>
  <w:style w:type="paragraph" w:styleId="13">
    <w:name w:val="annotation text"/>
    <w:basedOn w:val="1"/>
    <w:link w:val="44"/>
    <w:semiHidden/>
    <w:unhideWhenUsed/>
    <w:qFormat/>
    <w:uiPriority w:val="99"/>
    <w:pPr>
      <w:jc w:val="left"/>
    </w:pPr>
  </w:style>
  <w:style w:type="paragraph" w:styleId="14">
    <w:name w:val="toc 5"/>
    <w:basedOn w:val="1"/>
    <w:next w:val="1"/>
    <w:autoRedefine/>
    <w:unhideWhenUsed/>
    <w:qFormat/>
    <w:uiPriority w:val="39"/>
    <w:pPr>
      <w:ind w:left="840"/>
      <w:jc w:val="left"/>
    </w:pPr>
    <w:rPr>
      <w:rFonts w:eastAsiaTheme="minorHAnsi"/>
      <w:sz w:val="18"/>
      <w:szCs w:val="18"/>
    </w:rPr>
  </w:style>
  <w:style w:type="paragraph" w:styleId="15">
    <w:name w:val="toc 3"/>
    <w:basedOn w:val="1"/>
    <w:next w:val="1"/>
    <w:autoRedefine/>
    <w:unhideWhenUsed/>
    <w:qFormat/>
    <w:uiPriority w:val="39"/>
    <w:pPr>
      <w:ind w:left="420"/>
      <w:jc w:val="left"/>
    </w:pPr>
    <w:rPr>
      <w:rFonts w:eastAsiaTheme="minorHAnsi"/>
      <w:i/>
      <w:iCs/>
      <w:sz w:val="20"/>
      <w:szCs w:val="20"/>
    </w:rPr>
  </w:style>
  <w:style w:type="paragraph" w:styleId="16">
    <w:name w:val="toc 8"/>
    <w:basedOn w:val="1"/>
    <w:next w:val="1"/>
    <w:autoRedefine/>
    <w:unhideWhenUsed/>
    <w:qFormat/>
    <w:uiPriority w:val="39"/>
    <w:pPr>
      <w:ind w:left="1470"/>
      <w:jc w:val="left"/>
    </w:pPr>
    <w:rPr>
      <w:rFonts w:eastAsiaTheme="minorHAnsi"/>
      <w:sz w:val="18"/>
      <w:szCs w:val="18"/>
    </w:rPr>
  </w:style>
  <w:style w:type="paragraph" w:styleId="17">
    <w:name w:val="Date"/>
    <w:basedOn w:val="1"/>
    <w:next w:val="1"/>
    <w:link w:val="46"/>
    <w:semiHidden/>
    <w:unhideWhenUsed/>
    <w:qFormat/>
    <w:uiPriority w:val="99"/>
    <w:pPr>
      <w:ind w:left="100" w:leftChars="2500"/>
    </w:pPr>
    <w:rPr>
      <w:rFonts w:eastAsiaTheme="minorEastAsia"/>
    </w:rPr>
  </w:style>
  <w:style w:type="paragraph" w:styleId="18">
    <w:name w:val="Balloon Text"/>
    <w:basedOn w:val="1"/>
    <w:link w:val="43"/>
    <w:semiHidden/>
    <w:unhideWhenUsed/>
    <w:qFormat/>
    <w:uiPriority w:val="99"/>
    <w:rPr>
      <w:sz w:val="18"/>
      <w:szCs w:val="18"/>
    </w:rPr>
  </w:style>
  <w:style w:type="paragraph" w:styleId="19">
    <w:name w:val="footer"/>
    <w:basedOn w:val="1"/>
    <w:link w:val="56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20">
    <w:name w:val="header"/>
    <w:basedOn w:val="1"/>
    <w:link w:val="5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21">
    <w:name w:val="toc 1"/>
    <w:basedOn w:val="1"/>
    <w:next w:val="1"/>
    <w:autoRedefine/>
    <w:unhideWhenUsed/>
    <w:qFormat/>
    <w:uiPriority w:val="39"/>
    <w:pPr>
      <w:spacing w:before="120" w:after="120"/>
      <w:jc w:val="left"/>
    </w:pPr>
    <w:rPr>
      <w:rFonts w:eastAsiaTheme="minorHAnsi"/>
      <w:b/>
      <w:bCs/>
      <w:caps/>
      <w:sz w:val="20"/>
      <w:szCs w:val="20"/>
    </w:rPr>
  </w:style>
  <w:style w:type="paragraph" w:styleId="22">
    <w:name w:val="toc 4"/>
    <w:basedOn w:val="1"/>
    <w:next w:val="1"/>
    <w:autoRedefine/>
    <w:unhideWhenUsed/>
    <w:qFormat/>
    <w:uiPriority w:val="39"/>
    <w:pPr>
      <w:ind w:left="630"/>
      <w:jc w:val="left"/>
    </w:pPr>
    <w:rPr>
      <w:rFonts w:eastAsiaTheme="minorHAnsi"/>
      <w:sz w:val="18"/>
      <w:szCs w:val="18"/>
    </w:rPr>
  </w:style>
  <w:style w:type="paragraph" w:styleId="23">
    <w:name w:val="toc 6"/>
    <w:basedOn w:val="1"/>
    <w:next w:val="1"/>
    <w:autoRedefine/>
    <w:unhideWhenUsed/>
    <w:qFormat/>
    <w:uiPriority w:val="39"/>
    <w:pPr>
      <w:ind w:left="1050"/>
      <w:jc w:val="left"/>
    </w:pPr>
    <w:rPr>
      <w:rFonts w:eastAsiaTheme="minorHAnsi"/>
      <w:sz w:val="18"/>
      <w:szCs w:val="18"/>
    </w:rPr>
  </w:style>
  <w:style w:type="paragraph" w:styleId="24">
    <w:name w:val="toc 2"/>
    <w:basedOn w:val="1"/>
    <w:next w:val="1"/>
    <w:autoRedefine/>
    <w:unhideWhenUsed/>
    <w:qFormat/>
    <w:uiPriority w:val="39"/>
    <w:pPr>
      <w:ind w:left="210"/>
      <w:jc w:val="left"/>
    </w:pPr>
    <w:rPr>
      <w:rFonts w:eastAsiaTheme="minorHAnsi"/>
      <w:smallCaps/>
      <w:sz w:val="20"/>
      <w:szCs w:val="20"/>
    </w:rPr>
  </w:style>
  <w:style w:type="paragraph" w:styleId="25">
    <w:name w:val="toc 9"/>
    <w:basedOn w:val="1"/>
    <w:next w:val="1"/>
    <w:autoRedefine/>
    <w:unhideWhenUsed/>
    <w:qFormat/>
    <w:uiPriority w:val="39"/>
    <w:pPr>
      <w:ind w:left="1680"/>
      <w:jc w:val="left"/>
    </w:pPr>
    <w:rPr>
      <w:rFonts w:eastAsiaTheme="minorHAnsi"/>
      <w:sz w:val="18"/>
      <w:szCs w:val="18"/>
    </w:rPr>
  </w:style>
  <w:style w:type="paragraph" w:styleId="26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Cs w:val="24"/>
    </w:rPr>
  </w:style>
  <w:style w:type="paragraph" w:styleId="27">
    <w:name w:val="Title"/>
    <w:basedOn w:val="1"/>
    <w:next w:val="1"/>
    <w:link w:val="58"/>
    <w:qFormat/>
    <w:uiPriority w:val="10"/>
    <w:pPr>
      <w:widowControl/>
      <w:spacing w:after="312" w:afterLines="100" w:line="240" w:lineRule="auto"/>
      <w:jc w:val="center"/>
    </w:pPr>
    <w:rPr>
      <w:rFonts w:eastAsia="黑体" w:cs="Times New Roman"/>
      <w:sz w:val="48"/>
      <w:szCs w:val="48"/>
    </w:rPr>
  </w:style>
  <w:style w:type="paragraph" w:styleId="28">
    <w:name w:val="annotation subject"/>
    <w:basedOn w:val="13"/>
    <w:next w:val="13"/>
    <w:link w:val="45"/>
    <w:semiHidden/>
    <w:unhideWhenUsed/>
    <w:qFormat/>
    <w:uiPriority w:val="99"/>
    <w:rPr>
      <w:b/>
      <w:bCs/>
    </w:rPr>
  </w:style>
  <w:style w:type="table" w:styleId="30">
    <w:name w:val="Table Grid"/>
    <w:basedOn w:val="29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32">
    <w:name w:val="Hyperlink"/>
    <w:basedOn w:val="31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33">
    <w:name w:val="annotation reference"/>
    <w:basedOn w:val="31"/>
    <w:semiHidden/>
    <w:unhideWhenUsed/>
    <w:qFormat/>
    <w:uiPriority w:val="99"/>
    <w:rPr>
      <w:sz w:val="21"/>
      <w:szCs w:val="21"/>
    </w:rPr>
  </w:style>
  <w:style w:type="character" w:customStyle="1" w:styleId="34">
    <w:name w:val="标题 1 字符"/>
    <w:basedOn w:val="31"/>
    <w:link w:val="2"/>
    <w:qFormat/>
    <w:uiPriority w:val="9"/>
    <w:rPr>
      <w:rFonts w:ascii="Times New Roman" w:hAnsi="Times New Roman" w:eastAsia="黑体"/>
      <w:sz w:val="32"/>
      <w:szCs w:val="36"/>
    </w:rPr>
  </w:style>
  <w:style w:type="paragraph" w:customStyle="1" w:styleId="35">
    <w:name w:val="TOC Heading"/>
    <w:basedOn w:val="2"/>
    <w:next w:val="1"/>
    <w:unhideWhenUsed/>
    <w:qFormat/>
    <w:uiPriority w:val="39"/>
    <w:pPr>
      <w:spacing w:before="240" w:line="259" w:lineRule="auto"/>
      <w:jc w:val="left"/>
      <w:outlineLvl w:val="9"/>
    </w:pPr>
    <w:rPr>
      <w:rFonts w:asciiTheme="majorHAnsi" w:hAnsiTheme="majorHAnsi" w:eastAsiaTheme="majorEastAsia" w:cstheme="majorBidi"/>
      <w:bCs/>
      <w:color w:val="2F5597" w:themeColor="accent1" w:themeShade="BF"/>
      <w:kern w:val="0"/>
      <w:szCs w:val="32"/>
    </w:rPr>
  </w:style>
  <w:style w:type="character" w:customStyle="1" w:styleId="36">
    <w:name w:val="标题 2 字符"/>
    <w:basedOn w:val="31"/>
    <w:link w:val="3"/>
    <w:qFormat/>
    <w:uiPriority w:val="9"/>
    <w:rPr>
      <w:rFonts w:ascii="Times New Roman" w:hAnsi="Times New Roman" w:eastAsia="宋体"/>
      <w:sz w:val="28"/>
      <w:szCs w:val="32"/>
    </w:rPr>
  </w:style>
  <w:style w:type="character" w:customStyle="1" w:styleId="37">
    <w:name w:val="标题 3 字符"/>
    <w:basedOn w:val="31"/>
    <w:link w:val="4"/>
    <w:qFormat/>
    <w:uiPriority w:val="9"/>
    <w:rPr>
      <w:rFonts w:ascii="Times New Roman" w:hAnsi="Times New Roman" w:eastAsia="黑体"/>
      <w:sz w:val="28"/>
      <w:szCs w:val="28"/>
    </w:rPr>
  </w:style>
  <w:style w:type="paragraph" w:customStyle="1" w:styleId="38">
    <w:name w:val="电设-表格格式"/>
    <w:basedOn w:val="1"/>
    <w:link w:val="39"/>
    <w:qFormat/>
    <w:uiPriority w:val="0"/>
    <w:pPr>
      <w:jc w:val="center"/>
    </w:pPr>
    <w:rPr>
      <w:sz w:val="15"/>
      <w:szCs w:val="15"/>
    </w:rPr>
  </w:style>
  <w:style w:type="character" w:customStyle="1" w:styleId="39">
    <w:name w:val="电设-表格格式 字符"/>
    <w:basedOn w:val="31"/>
    <w:link w:val="38"/>
    <w:qFormat/>
    <w:uiPriority w:val="0"/>
    <w:rPr>
      <w:rFonts w:ascii="Times New Roman" w:hAnsi="Times New Roman" w:eastAsia="宋体"/>
      <w:sz w:val="15"/>
      <w:szCs w:val="15"/>
    </w:rPr>
  </w:style>
  <w:style w:type="paragraph" w:customStyle="1" w:styleId="40">
    <w:name w:val="电设-图表标题"/>
    <w:basedOn w:val="1"/>
    <w:link w:val="41"/>
    <w:qFormat/>
    <w:uiPriority w:val="0"/>
    <w:pPr>
      <w:jc w:val="center"/>
    </w:pPr>
    <w:rPr>
      <w:rFonts w:eastAsia="黑体"/>
      <w:sz w:val="18"/>
      <w:szCs w:val="18"/>
    </w:rPr>
  </w:style>
  <w:style w:type="character" w:customStyle="1" w:styleId="41">
    <w:name w:val="电设-图表标题 字符"/>
    <w:basedOn w:val="31"/>
    <w:link w:val="40"/>
    <w:qFormat/>
    <w:uiPriority w:val="0"/>
    <w:rPr>
      <w:rFonts w:ascii="Times New Roman" w:hAnsi="Times New Roman" w:eastAsia="黑体"/>
      <w:sz w:val="18"/>
      <w:szCs w:val="18"/>
    </w:rPr>
  </w:style>
  <w:style w:type="paragraph" w:styleId="42">
    <w:name w:val="List Paragraph"/>
    <w:basedOn w:val="1"/>
    <w:qFormat/>
    <w:uiPriority w:val="34"/>
    <w:pPr>
      <w:ind w:firstLine="420" w:firstLineChars="200"/>
    </w:pPr>
  </w:style>
  <w:style w:type="character" w:customStyle="1" w:styleId="43">
    <w:name w:val="批注框文本 字符"/>
    <w:basedOn w:val="31"/>
    <w:link w:val="18"/>
    <w:semiHidden/>
    <w:qFormat/>
    <w:uiPriority w:val="99"/>
    <w:rPr>
      <w:rFonts w:ascii="Times New Roman" w:hAnsi="Times New Roman" w:eastAsia="宋体"/>
      <w:sz w:val="18"/>
      <w:szCs w:val="18"/>
    </w:rPr>
  </w:style>
  <w:style w:type="character" w:customStyle="1" w:styleId="44">
    <w:name w:val="批注文字 字符"/>
    <w:basedOn w:val="31"/>
    <w:link w:val="13"/>
    <w:semiHidden/>
    <w:qFormat/>
    <w:uiPriority w:val="99"/>
    <w:rPr>
      <w:rFonts w:ascii="Times New Roman" w:hAnsi="Times New Roman" w:eastAsia="宋体"/>
      <w:sz w:val="24"/>
    </w:rPr>
  </w:style>
  <w:style w:type="character" w:customStyle="1" w:styleId="45">
    <w:name w:val="批注主题 字符"/>
    <w:basedOn w:val="44"/>
    <w:link w:val="28"/>
    <w:semiHidden/>
    <w:qFormat/>
    <w:uiPriority w:val="99"/>
    <w:rPr>
      <w:rFonts w:ascii="Times New Roman" w:hAnsi="Times New Roman" w:eastAsia="宋体"/>
      <w:b/>
      <w:bCs/>
      <w:sz w:val="24"/>
    </w:rPr>
  </w:style>
  <w:style w:type="character" w:customStyle="1" w:styleId="46">
    <w:name w:val="日期 字符"/>
    <w:basedOn w:val="31"/>
    <w:link w:val="17"/>
    <w:semiHidden/>
    <w:qFormat/>
    <w:uiPriority w:val="99"/>
    <w:rPr>
      <w:sz w:val="24"/>
    </w:rPr>
  </w:style>
  <w:style w:type="table" w:customStyle="1" w:styleId="47">
    <w:name w:val="Grid Table 1 Light Accent 4"/>
    <w:basedOn w:val="29"/>
    <w:qFormat/>
    <w:uiPriority w:val="46"/>
    <w:tblPr>
      <w:tblBorders>
        <w:top w:val="single" w:color="FFE599" w:themeColor="accent4" w:themeTint="66" w:sz="4" w:space="0"/>
        <w:left w:val="single" w:color="FFE599" w:themeColor="accent4" w:themeTint="66" w:sz="4" w:space="0"/>
        <w:bottom w:val="single" w:color="FFE599" w:themeColor="accent4" w:themeTint="66" w:sz="4" w:space="0"/>
        <w:right w:val="single" w:color="FFE599" w:themeColor="accent4" w:themeTint="66" w:sz="4" w:space="0"/>
        <w:insideH w:val="single" w:color="FFE599" w:themeColor="accent4" w:themeTint="66" w:sz="4" w:space="0"/>
        <w:insideV w:val="single" w:color="FFE599" w:themeColor="accent4" w:themeTint="66" w:sz="4" w:space="0"/>
      </w:tblBorders>
    </w:tblPr>
    <w:tblStylePr w:type="firstRow">
      <w:rPr>
        <w:b/>
        <w:bCs/>
      </w:rPr>
      <w:tcPr>
        <w:tcBorders>
          <w:bottom w:val="single" w:color="FFD965" w:themeColor="accent4" w:themeTint="99" w:sz="12" w:space="0"/>
        </w:tcBorders>
      </w:tcPr>
    </w:tblStylePr>
    <w:tblStylePr w:type="lastRow">
      <w:rPr>
        <w:b/>
        <w:bCs/>
      </w:rPr>
      <w:tcPr>
        <w:tcBorders>
          <w:top w:val="double" w:color="FFD965" w:themeColor="accent4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48">
    <w:name w:val="Grid Table 1 Light Accent 5"/>
    <w:basedOn w:val="29"/>
    <w:qFormat/>
    <w:uiPriority w:val="46"/>
    <w:tblPr>
      <w:tblBorders>
        <w:top w:val="single" w:color="BDD6EE" w:themeColor="accent5" w:themeTint="66" w:sz="4" w:space="0"/>
        <w:left w:val="single" w:color="BDD6EE" w:themeColor="accent5" w:themeTint="66" w:sz="4" w:space="0"/>
        <w:bottom w:val="single" w:color="BDD6EE" w:themeColor="accent5" w:themeTint="66" w:sz="4" w:space="0"/>
        <w:right w:val="single" w:color="BDD6EE" w:themeColor="accent5" w:themeTint="66" w:sz="4" w:space="0"/>
        <w:insideH w:val="single" w:color="BDD6EE" w:themeColor="accent5" w:themeTint="66" w:sz="4" w:space="0"/>
        <w:insideV w:val="single" w:color="BDD6EE" w:themeColor="accent5" w:themeTint="66" w:sz="4" w:space="0"/>
      </w:tblBorders>
    </w:tblPr>
    <w:tblStylePr w:type="firstRow">
      <w:rPr>
        <w:b/>
        <w:bCs/>
      </w:rPr>
      <w:tcPr>
        <w:tcBorders>
          <w:bottom w:val="single" w:color="9CC2E5" w:themeColor="accent5" w:themeTint="99" w:sz="12" w:space="0"/>
        </w:tcBorders>
      </w:tcPr>
    </w:tblStylePr>
    <w:tblStylePr w:type="lastRow">
      <w:rPr>
        <w:b/>
        <w:bCs/>
      </w:rPr>
      <w:tcPr>
        <w:tcBorders>
          <w:top w:val="double" w:color="9CC2E5" w:themeColor="accent5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49">
    <w:name w:val="Grid Table Light"/>
    <w:basedOn w:val="29"/>
    <w:qFormat/>
    <w:uiPriority w:val="40"/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</w:style>
  <w:style w:type="table" w:customStyle="1" w:styleId="50">
    <w:name w:val="Plain Table 1"/>
    <w:basedOn w:val="29"/>
    <w:qFormat/>
    <w:uiPriority w:val="41"/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double" w:color="BEBEBE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</w:style>
  <w:style w:type="table" w:customStyle="1" w:styleId="51">
    <w:name w:val="Plain Table 2"/>
    <w:basedOn w:val="29"/>
    <w:qFormat/>
    <w:uiPriority w:val="42"/>
    <w:tblPr>
      <w:tblBorders>
        <w:top w:val="single" w:color="7E7E7E" w:themeColor="text1" w:themeTint="80" w:sz="4" w:space="0"/>
        <w:bottom w:val="single" w:color="7E7E7E" w:themeColor="text1" w:themeTint="80" w:sz="4" w:space="0"/>
      </w:tblBorders>
    </w:tblPr>
    <w:tblStylePr w:type="firstRow">
      <w:rPr>
        <w:b/>
        <w:bCs/>
      </w:rPr>
      <w:tcPr>
        <w:tcBorders>
          <w:bottom w:val="single" w:color="7E7E7E" w:themeColor="text1" w:themeTint="80" w:sz="4" w:space="0"/>
        </w:tcBorders>
      </w:tcPr>
    </w:tblStylePr>
    <w:tblStylePr w:type="lastRow">
      <w:rPr>
        <w:b/>
        <w:bCs/>
      </w:rPr>
      <w:tcPr>
        <w:tcBorders>
          <w:top w:val="single" w:color="7E7E7E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single" w:color="7E7E7E" w:themeColor="text1" w:themeTint="80" w:sz="4" w:space="0"/>
          <w:right w:val="single" w:color="7E7E7E" w:themeColor="text1" w:themeTint="80" w:sz="4" w:space="0"/>
        </w:tcBorders>
      </w:tcPr>
    </w:tblStylePr>
    <w:tblStylePr w:type="band2Vert">
      <w:tcPr>
        <w:tcBorders>
          <w:left w:val="single" w:color="7E7E7E" w:themeColor="text1" w:themeTint="80" w:sz="4" w:space="0"/>
          <w:right w:val="single" w:color="7E7E7E" w:themeColor="text1" w:themeTint="80" w:sz="4" w:space="0"/>
        </w:tcBorders>
      </w:tcPr>
    </w:tblStylePr>
    <w:tblStylePr w:type="band1Horz">
      <w:tcPr>
        <w:tcBorders>
          <w:top w:val="single" w:color="7E7E7E" w:themeColor="text1" w:themeTint="80" w:sz="4" w:space="0"/>
          <w:bottom w:val="single" w:color="7E7E7E" w:themeColor="text1" w:themeTint="80" w:sz="4" w:space="0"/>
        </w:tcBorders>
      </w:tcPr>
    </w:tblStylePr>
  </w:style>
  <w:style w:type="table" w:customStyle="1" w:styleId="52">
    <w:name w:val="Plain Table 3"/>
    <w:basedOn w:val="29"/>
    <w:qFormat/>
    <w:uiPriority w:val="43"/>
    <w:tblStylePr w:type="firstRow">
      <w:rPr>
        <w:b/>
        <w:bCs/>
        <w:caps/>
      </w:rPr>
      <w:tcPr>
        <w:tcBorders>
          <w:bottom w:val="single" w:color="7E7E7E" w:themeColor="text1" w:themeTint="80" w:sz="4" w:space="0"/>
        </w:tcBorders>
      </w:tcPr>
    </w:tblStylePr>
    <w:tblStylePr w:type="lastRow">
      <w:rPr>
        <w:b/>
        <w:bCs/>
        <w:caps/>
      </w:rPr>
      <w:tcPr>
        <w:tcBorders>
          <w:top w:val="nil"/>
        </w:tcBorders>
      </w:tcPr>
    </w:tblStylePr>
    <w:tblStylePr w:type="firstCol">
      <w:rPr>
        <w:b/>
        <w:bCs/>
        <w:caps/>
      </w:rPr>
      <w:tcPr>
        <w:tcBorders>
          <w:right w:val="single" w:color="7E7E7E" w:themeColor="text1" w:themeTint="80" w:sz="4" w:space="0"/>
        </w:tcBorders>
      </w:tcPr>
    </w:tblStylePr>
    <w:tblStylePr w:type="lastCol">
      <w:rPr>
        <w:b/>
        <w:bCs/>
        <w:caps/>
      </w:rPr>
      <w:tcPr>
        <w:tcBorders>
          <w:left w:val="nil"/>
        </w:tcBorders>
      </w:tc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</w:style>
  <w:style w:type="table" w:customStyle="1" w:styleId="53">
    <w:name w:val="Plain Table 4"/>
    <w:basedOn w:val="29"/>
    <w:qFormat/>
    <w:uiPriority w:val="44"/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</w:style>
  <w:style w:type="paragraph" w:styleId="54">
    <w:name w:val="No Spacing"/>
    <w:qFormat/>
    <w:uiPriority w:val="1"/>
    <w:pPr>
      <w:widowControl w:val="0"/>
      <w:jc w:val="both"/>
    </w:pPr>
    <w:rPr>
      <w:rFonts w:ascii="Times New Roman" w:hAnsi="Times New Roman" w:eastAsia="宋体" w:cstheme="minorBidi"/>
      <w:kern w:val="2"/>
      <w:sz w:val="21"/>
      <w:szCs w:val="21"/>
      <w:lang w:val="en-US" w:eastAsia="zh-CN" w:bidi="ar-SA"/>
    </w:rPr>
  </w:style>
  <w:style w:type="table" w:customStyle="1" w:styleId="55">
    <w:name w:val="样式1"/>
    <w:basedOn w:val="29"/>
    <w:qFormat/>
    <w:uiPriority w:val="99"/>
    <w:pPr>
      <w:jc w:val="center"/>
    </w:pPr>
    <w:rPr>
      <w:rFonts w:ascii="Times New Roman" w:hAnsi="Times New Roman" w:eastAsia="宋体"/>
      <w:sz w:val="15"/>
    </w:rPr>
    <w:tblPr>
      <w:jc w:val="center"/>
      <w:tblBorders>
        <w:top w:val="single" w:color="auto" w:sz="12" w:space="0"/>
        <w:bottom w:val="single" w:color="auto" w:sz="12" w:space="0"/>
        <w:insideH w:val="single" w:color="auto" w:sz="4" w:space="0"/>
        <w:insideV w:val="single" w:color="auto" w:sz="4" w:space="0"/>
      </w:tblBorders>
    </w:tblPr>
    <w:trPr>
      <w:jc w:val="center"/>
    </w:trPr>
    <w:tcPr>
      <w:vAlign w:val="center"/>
    </w:tcPr>
  </w:style>
  <w:style w:type="character" w:customStyle="1" w:styleId="56">
    <w:name w:val="页脚 字符"/>
    <w:basedOn w:val="31"/>
    <w:link w:val="19"/>
    <w:qFormat/>
    <w:uiPriority w:val="99"/>
    <w:rPr>
      <w:rFonts w:ascii="Times New Roman" w:hAnsi="Times New Roman" w:eastAsia="宋体"/>
      <w:sz w:val="18"/>
      <w:szCs w:val="18"/>
    </w:rPr>
  </w:style>
  <w:style w:type="character" w:customStyle="1" w:styleId="57">
    <w:name w:val="页眉 字符"/>
    <w:basedOn w:val="31"/>
    <w:link w:val="20"/>
    <w:qFormat/>
    <w:uiPriority w:val="99"/>
    <w:rPr>
      <w:rFonts w:ascii="Times New Roman" w:hAnsi="Times New Roman" w:eastAsia="宋体"/>
      <w:sz w:val="18"/>
      <w:szCs w:val="18"/>
    </w:rPr>
  </w:style>
  <w:style w:type="character" w:customStyle="1" w:styleId="58">
    <w:name w:val="标题 字符"/>
    <w:basedOn w:val="31"/>
    <w:link w:val="27"/>
    <w:qFormat/>
    <w:uiPriority w:val="10"/>
    <w:rPr>
      <w:rFonts w:eastAsia="黑体" w:cs="Times New Roman"/>
      <w:sz w:val="48"/>
      <w:szCs w:val="48"/>
    </w:rPr>
  </w:style>
  <w:style w:type="character" w:customStyle="1" w:styleId="59">
    <w:name w:val="标题 4 字符"/>
    <w:basedOn w:val="31"/>
    <w:link w:val="5"/>
    <w:qFormat/>
    <w:uiPriority w:val="9"/>
    <w:rPr>
      <w:rFonts w:ascii="Times New Roman" w:hAnsi="Times New Roman" w:eastAsia="楷体"/>
      <w:b/>
      <w:sz w:val="24"/>
      <w:szCs w:val="24"/>
    </w:rPr>
  </w:style>
  <w:style w:type="character" w:customStyle="1" w:styleId="60">
    <w:name w:val="标题 5 字符"/>
    <w:basedOn w:val="31"/>
    <w:link w:val="6"/>
    <w:semiHidden/>
    <w:qFormat/>
    <w:uiPriority w:val="9"/>
    <w:rPr>
      <w:rFonts w:ascii="Times New Roman" w:hAnsi="Times New Roman" w:eastAsia="宋体"/>
      <w:b/>
      <w:bCs/>
      <w:sz w:val="28"/>
      <w:szCs w:val="28"/>
    </w:rPr>
  </w:style>
  <w:style w:type="character" w:customStyle="1" w:styleId="61">
    <w:name w:val="标题 6 字符"/>
    <w:basedOn w:val="31"/>
    <w:link w:val="7"/>
    <w:semiHidden/>
    <w:qFormat/>
    <w:uiPriority w:val="9"/>
    <w:rPr>
      <w:rFonts w:asciiTheme="majorHAnsi" w:hAnsiTheme="majorHAnsi" w:eastAsiaTheme="majorEastAsia" w:cstheme="majorBidi"/>
      <w:b/>
      <w:bCs/>
      <w:sz w:val="24"/>
      <w:szCs w:val="24"/>
    </w:rPr>
  </w:style>
  <w:style w:type="character" w:customStyle="1" w:styleId="62">
    <w:name w:val="标题 7 字符"/>
    <w:basedOn w:val="31"/>
    <w:link w:val="8"/>
    <w:semiHidden/>
    <w:qFormat/>
    <w:uiPriority w:val="9"/>
    <w:rPr>
      <w:rFonts w:ascii="Times New Roman" w:hAnsi="Times New Roman" w:eastAsia="宋体"/>
      <w:b/>
      <w:bCs/>
      <w:sz w:val="24"/>
      <w:szCs w:val="24"/>
    </w:rPr>
  </w:style>
  <w:style w:type="character" w:customStyle="1" w:styleId="63">
    <w:name w:val="标题 8 字符"/>
    <w:basedOn w:val="31"/>
    <w:link w:val="9"/>
    <w:semiHidden/>
    <w:qFormat/>
    <w:uiPriority w:val="9"/>
    <w:rPr>
      <w:rFonts w:asciiTheme="majorHAnsi" w:hAnsiTheme="majorHAnsi" w:eastAsiaTheme="majorEastAsia" w:cstheme="majorBidi"/>
      <w:sz w:val="24"/>
      <w:szCs w:val="24"/>
    </w:rPr>
  </w:style>
  <w:style w:type="character" w:customStyle="1" w:styleId="64">
    <w:name w:val="标题 9 字符"/>
    <w:basedOn w:val="31"/>
    <w:link w:val="10"/>
    <w:semiHidden/>
    <w:qFormat/>
    <w:uiPriority w:val="9"/>
    <w:rPr>
      <w:rFonts w:asciiTheme="majorHAnsi" w:hAnsiTheme="majorHAnsi" w:eastAsiaTheme="majorEastAsia" w:cstheme="majorBidi"/>
      <w:szCs w:val="21"/>
    </w:rPr>
  </w:style>
  <w:style w:type="character" w:customStyle="1" w:styleId="65">
    <w:name w:val="md-plain"/>
    <w:basedOn w:val="31"/>
    <w:qFormat/>
    <w:uiPriority w:val="0"/>
  </w:style>
  <w:style w:type="character" w:customStyle="1" w:styleId="66">
    <w:name w:val="md-inline-math"/>
    <w:basedOn w:val="31"/>
    <w:qFormat/>
    <w:uiPriority w:val="0"/>
  </w:style>
  <w:style w:type="character" w:styleId="67">
    <w:name w:val="Placeholder Text"/>
    <w:basedOn w:val="31"/>
    <w:semiHidden/>
    <w:qFormat/>
    <w:uiPriority w:val="99"/>
    <w:rPr>
      <w:color w:val="80808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numbering" Target="numbering.xml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oleil\Library\Containers\com.kingsoft.wpsoffice.mac\Data\D:\DOC\Templates\&#30005;&#36187;&#25253;&#21578;&#27169;&#26495;&#65288;&#22522;&#20110;19&#22269;&#36187;ZJA354&#65289;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Version="6" SelectedStyle="\APASixthEditionOfficeOnline.xsl"/>
</file>

<file path=customXml/itemProps1.xml><?xml version="1.0" encoding="utf-8"?>
<ds:datastoreItem xmlns:ds="http://schemas.openxmlformats.org/officeDocument/2006/customXml" ds:itemID="{912AB6D4-2AAC-4D99-BA35-208F0A3A51C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电赛报告模板（基于19国赛ZJA354）.dotx</Template>
  <Pages>8</Pages>
  <Words>3207</Words>
  <Characters>4103</Characters>
  <Lines>26</Lines>
  <Paragraphs>7</Paragraphs>
  <TotalTime>1</TotalTime>
  <ScaleCrop>false</ScaleCrop>
  <LinksUpToDate>false</LinksUpToDate>
  <CharactersWithSpaces>4146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2023-07-29T19:00:00Z</dcterms:created>
  <dcterms:modified xsi:type="dcterms:W3CDTF">2025-08-02T12:01:19Z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A03F87A6E3C545699E0C25048FAC16A3_13</vt:lpwstr>
  </property>
  <property fmtid="{D5CDD505-2E9C-101B-9397-08002B2CF9AE}" pid="4" name="KSOTemplateDocerSaveRecord">
    <vt:lpwstr>eyJoZGlkIjoiMGMwZmZmZDE4YzE4ODIwMGFiNjA0NmUwYmU2ZjlkNTYiLCJ1c2VySWQiOiIxNjM3MTI5NjA0In0=</vt:lpwstr>
  </property>
</Properties>
</file>