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73874">
      <w:pPr>
        <w:pStyle w:val="23"/>
        <w:jc w:val="center"/>
        <w:rPr>
          <w:sz w:val="44"/>
          <w:szCs w:val="44"/>
        </w:rPr>
      </w:pPr>
      <w:r>
        <w:rPr>
          <w:sz w:val="44"/>
          <w:szCs w:val="44"/>
        </w:rPr>
        <w:t>从韩愈与欧阳修的科举经历看唐宋科举取士制度的演变——以推荐机制与考试流程为中心</w:t>
      </w:r>
    </w:p>
    <w:p w14:paraId="73415D15">
      <w:pPr>
        <w:pStyle w:val="23"/>
      </w:pPr>
      <w:r>
        <w:rPr>
          <w:b/>
          <w:bCs/>
        </w:rPr>
        <w:t>摘要</w:t>
      </w:r>
      <w:r>
        <w:t>：</w:t>
      </w:r>
      <w:r>
        <w:br w:type="textWrapping"/>
      </w:r>
      <w:r>
        <w:t>韩愈与欧阳修作为唐宋文坛领袖，其科举经历折射出科举制度从唐至宋的深刻变革。本文以两人科举历程中的推荐机制与考试流程为切入点，分析唐代“公卷延誉”“通榜推荐”与宋代干谒、国子监取解等策略的差异，探讨科举制度在公平性与规范化上的演进。研究发现：唐代科举依赖权贵推荐，试卷不糊名，考生需主动攀附；宋代虽保留推荐文化，但通过制度调整（如国子监</w:t>
      </w:r>
      <w:r>
        <w:rPr>
          <w:rFonts w:hint="eastAsia" w:eastAsia="宋体"/>
          <w:lang w:val="en-US" w:eastAsia="zh-CN"/>
        </w:rPr>
        <w:t>和开封府府试</w:t>
      </w:r>
      <w:r>
        <w:t>高录取率）和流程优化（如分试层级），为寒门士子提供更多机会。然而，地域不公与权贵干预仍未彻底消除。唐宋科举的演变体现了人才选拔从人脉依赖向能力倾斜的过渡，但制度漏洞始终存在。</w:t>
      </w:r>
    </w:p>
    <w:p w14:paraId="29E83743">
      <w:pPr>
        <w:pStyle w:val="3"/>
      </w:pPr>
      <w:r>
        <w:rPr>
          <w:b/>
          <w:bCs/>
        </w:rPr>
        <w:t>关键词</w:t>
      </w:r>
      <w:r>
        <w:t>：韩愈；欧阳修；科举制度；唐宋变革；推荐机制</w:t>
      </w:r>
    </w:p>
    <w:p w14:paraId="7FC66AE2">
      <w:pPr>
        <w:pStyle w:val="5"/>
        <w:rPr>
          <w:color w:val="auto"/>
        </w:rPr>
      </w:pPr>
      <w:bookmarkStart w:id="0" w:name="一引言"/>
      <w:r>
        <w:rPr>
          <w:color w:val="auto"/>
        </w:rPr>
        <w:t>一、引言</w:t>
      </w:r>
    </w:p>
    <w:p w14:paraId="4475844A">
      <w:pPr>
        <w:pStyle w:val="23"/>
      </w:pPr>
      <w:r>
        <w:t>科举制度自隋唐确立至宋代完善，是中国古代选拔人才的核心机制。韩愈（768-824）与欧阳修（1007-1072）作为唐宋文坛巨擘，其科举经历屡遭挫折，却成为观察制度演变的典型个案。韩愈</w:t>
      </w:r>
      <w:r>
        <w:rPr>
          <w:rFonts w:hint="eastAsia" w:eastAsia="宋体"/>
          <w:lang w:val="en-US" w:eastAsia="zh-CN"/>
        </w:rPr>
        <w:t>七次科举，</w:t>
      </w:r>
      <w:r>
        <w:t>六次落榜，欧阳修两次失利，两人最终分别以古文运动领袖和政坛重臣的身份留名青史。本文通过比较二者科考经历中的推荐机制与考试流程，揭示唐宋科举制度在公平性、规范性和地域差异上的变化，进而探讨其背后的社会动因。</w:t>
      </w:r>
    </w:p>
    <w:bookmarkEnd w:id="0"/>
    <w:p w14:paraId="3850B30A">
      <w:pPr>
        <w:pStyle w:val="5"/>
        <w:rPr>
          <w:color w:val="auto"/>
        </w:rPr>
      </w:pPr>
      <w:bookmarkStart w:id="1" w:name="二唐代科举权贵主导的推荐体系与韩愈的困境"/>
      <w:r>
        <w:rPr>
          <w:color w:val="auto"/>
        </w:rPr>
        <w:t>二、唐代科举：权贵主导的推荐体系与韩愈的困境</w:t>
      </w:r>
    </w:p>
    <w:p w14:paraId="5D635BE0">
      <w:pPr>
        <w:pStyle w:val="6"/>
        <w:rPr>
          <w:color w:val="auto"/>
        </w:rPr>
      </w:pPr>
      <w:bookmarkStart w:id="2" w:name="一公卷延誉与通榜推荐唐代科举的核心规则"/>
      <w:r>
        <w:rPr>
          <w:color w:val="auto"/>
        </w:rPr>
        <w:t>（一）“公卷延誉”与“通榜推荐”：唐代科举的核心规则</w:t>
      </w:r>
    </w:p>
    <w:p w14:paraId="2EE579D9">
      <w:pPr>
        <w:pStyle w:val="23"/>
      </w:pPr>
      <w:r>
        <w:t>唐代科举录取并非完全依赖考场发挥，而是以“公卷延誉”和“通榜推荐”为核心。考生需提前向名儒显贵投献平日诗文（即“公卷”），获得其推荐后，主考官结合推荐名单与试卷成绩决定录取（张立华，20</w:t>
      </w:r>
      <w:r>
        <w:rPr>
          <w:rFonts w:hint="eastAsia" w:eastAsia="宋体"/>
          <w:lang w:val="en-US" w:eastAsia="zh-CN"/>
        </w:rPr>
        <w:t>16</w:t>
      </w:r>
      <w:r>
        <w:t>）。这一制度使权贵阶层掌握实际话语权，寒门士子若无推荐则难以中第。</w:t>
      </w:r>
    </w:p>
    <w:bookmarkEnd w:id="2"/>
    <w:p w14:paraId="56509291">
      <w:pPr>
        <w:pStyle w:val="6"/>
        <w:rPr>
          <w:color w:val="auto"/>
        </w:rPr>
      </w:pPr>
      <w:bookmarkStart w:id="3" w:name="二韩愈的科举困境人脉断裂与价值观冲突"/>
      <w:r>
        <w:rPr>
          <w:color w:val="auto"/>
        </w:rPr>
        <w:t>（二）韩愈的科举困境：人脉断裂与价值观冲突</w:t>
      </w:r>
    </w:p>
    <w:p w14:paraId="6D18D5C4">
      <w:pPr>
        <w:pStyle w:val="23"/>
      </w:pPr>
      <w:r>
        <w:t>韩愈的科举之路集中体现了唐代科举的弊端。他早年投奔族兄韩弇，试图通过家族关系获取推荐，但韩弇因吐蕃会盟遇害，致其失去依靠。后虽得北平王马燧收留，但因不擅攀附权贵，四次进士试中三次落榜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吕大防，1992</w:t>
      </w:r>
      <w:r>
        <w:rPr>
          <w:rFonts w:hint="eastAsia" w:eastAsia="宋体"/>
          <w:lang w:eastAsia="zh-CN"/>
        </w:rPr>
        <w:t>）</w:t>
      </w:r>
      <w:r>
        <w:t>。贞元八年（792年），韩愈因古文运动先驱梁肃推荐，终登“龙虎榜”，但后续吏部诠选（博学鸿词科）仍因古文主张与骈文标准冲突而失败。</w:t>
      </w:r>
    </w:p>
    <w:p w14:paraId="1B12FE3D">
      <w:pPr>
        <w:pStyle w:val="3"/>
      </w:pPr>
      <w:r>
        <w:t>韩愈的遭遇表明：唐代科举本质是权贵阶层对文化话语权的垄断。考生需迎合主流文风（骈文）与权贵偏好，而韩愈</w:t>
      </w:r>
      <w:r>
        <w:rPr>
          <w:rFonts w:hint="eastAsia" w:eastAsia="宋体"/>
          <w:lang w:val="en-US" w:eastAsia="zh-CN"/>
        </w:rPr>
        <w:t>既</w:t>
      </w:r>
      <w:r>
        <w:t>坚持“文以载道”的古文理念，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又</w:t>
      </w:r>
      <w:r>
        <w:rPr>
          <w:rFonts w:ascii="宋体" w:hAnsi="宋体" w:eastAsia="宋体" w:cs="宋体"/>
          <w:sz w:val="24"/>
          <w:szCs w:val="24"/>
        </w:rPr>
        <w:t>不善夤缘</w:t>
      </w:r>
      <w:r>
        <w:rPr>
          <w:rFonts w:hint="eastAsia" w:eastAsia="宋体"/>
          <w:lang w:val="en-US" w:eastAsia="zh-CN"/>
        </w:rPr>
        <w:t>，</w:t>
      </w:r>
      <w:r>
        <w:t>导致其屡遭排斥。</w:t>
      </w:r>
    </w:p>
    <w:bookmarkEnd w:id="1"/>
    <w:bookmarkEnd w:id="3"/>
    <w:p w14:paraId="78F2545E">
      <w:pPr>
        <w:pStyle w:val="5"/>
        <w:rPr>
          <w:color w:val="auto"/>
        </w:rPr>
      </w:pPr>
      <w:bookmarkStart w:id="4" w:name="三宋代科举制度调整与欧阳修的务实策略"/>
      <w:r>
        <w:rPr>
          <w:color w:val="auto"/>
        </w:rPr>
        <w:t>三、宋代科举：制度调整与欧阳修的务实策略</w:t>
      </w:r>
    </w:p>
    <w:p w14:paraId="7B9BC304">
      <w:pPr>
        <w:pStyle w:val="6"/>
        <w:rPr>
          <w:color w:val="auto"/>
        </w:rPr>
      </w:pPr>
      <w:bookmarkStart w:id="5" w:name="一宋代科举的规范化尝试与地域矛盾"/>
      <w:r>
        <w:rPr>
          <w:color w:val="auto"/>
        </w:rPr>
        <w:t>（一）宋代科举的规范化尝试与地域矛盾</w:t>
      </w:r>
    </w:p>
    <w:p w14:paraId="03861F6C">
      <w:pPr>
        <w:pStyle w:val="23"/>
      </w:pPr>
      <w:r>
        <w:t>宋代科举在唐代基础上进行改革：一是推行糊名、誊录制度以减少舞弊；二是限制“寄应”（跨地域应试），要求考生在本籍应试。然而，国子监与开封府录取率（约20%）远超地方（不足5%），催生“私买监牒”等违规现象（许庆江，2011）。这种地域不公迫使寒门士子寻求非常规途径。</w:t>
      </w:r>
    </w:p>
    <w:bookmarkEnd w:id="5"/>
    <w:p w14:paraId="4443D247">
      <w:pPr>
        <w:pStyle w:val="6"/>
        <w:rPr>
          <w:color w:val="auto"/>
        </w:rPr>
      </w:pPr>
      <w:bookmarkStart w:id="6" w:name="二欧阳修的干谒与国子监取解制度漏洞中的生存智慧"/>
      <w:r>
        <w:rPr>
          <w:color w:val="auto"/>
        </w:rPr>
        <w:t>（二）欧阳修的干谒与国子监取解：制度漏洞中的生存智慧</w:t>
      </w:r>
    </w:p>
    <w:p w14:paraId="03334D21">
      <w:pPr>
        <w:pStyle w:val="23"/>
      </w:pPr>
      <w:r>
        <w:t>欧阳修早年两次落第后，选择向知汉阳军胥偃干谒。胥偃赏识其才华，将其推荐至国子监应试。通过国子监取解，欧阳修避开随州</w:t>
      </w:r>
      <w:r>
        <w:rPr>
          <w:rFonts w:hint="eastAsia" w:eastAsia="宋体"/>
          <w:lang w:val="en-US" w:eastAsia="zh-CN"/>
        </w:rPr>
        <w:t>不足5</w:t>
      </w:r>
      <w:r>
        <w:t>%的低录取率，以“省元”身份通过礼部试，最终进士及第。这一策略成功的关键在于宋代国子监的录取优势，以及胥偃的权威推荐。</w:t>
      </w:r>
    </w:p>
    <w:p w14:paraId="6B23AC04">
      <w:pPr>
        <w:pStyle w:val="3"/>
        <w:rPr>
          <w:rFonts w:hint="eastAsia" w:eastAsia="宋体"/>
          <w:lang w:val="en-US" w:eastAsia="zh-CN"/>
        </w:rPr>
      </w:pPr>
      <w:r>
        <w:t>与韩愈不同，欧阳修并未激烈批判科举制度，而是灵活适应其规则。他早年以四六文应试《左氏失之诬论》，虽因“赋逸官韵”落榜，却赢得胥偃关注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刘德清，2013</w:t>
      </w:r>
      <w:r>
        <w:rPr>
          <w:rFonts w:hint="eastAsia" w:eastAsia="宋体"/>
          <w:lang w:eastAsia="zh-CN"/>
        </w:rPr>
        <w:t>）</w:t>
      </w:r>
      <w:r>
        <w:t>；后期虽推动古文运动，但仍承认科举的现实需求</w:t>
      </w:r>
      <w:r>
        <w:rPr>
          <w:rFonts w:hint="eastAsia" w:eastAsia="宋体"/>
          <w:lang w:eastAsia="zh-CN"/>
        </w:rPr>
        <w:t>。</w:t>
      </w:r>
    </w:p>
    <w:bookmarkEnd w:id="4"/>
    <w:bookmarkEnd w:id="6"/>
    <w:p w14:paraId="46A81667">
      <w:pPr>
        <w:pStyle w:val="5"/>
        <w:rPr>
          <w:color w:val="auto"/>
        </w:rPr>
      </w:pPr>
      <w:bookmarkStart w:id="7" w:name="四唐宋科举制度的演变从人脉依赖到有限公平"/>
      <w:r>
        <w:rPr>
          <w:color w:val="auto"/>
        </w:rPr>
        <w:t>四、唐宋科举制度的演变：从人脉依赖到有限公平</w:t>
      </w:r>
    </w:p>
    <w:p w14:paraId="27855A28">
      <w:pPr>
        <w:pStyle w:val="6"/>
        <w:rPr>
          <w:color w:val="auto"/>
        </w:rPr>
      </w:pPr>
      <w:bookmarkStart w:id="8" w:name="一推荐机制的延续与转型"/>
      <w:r>
        <w:rPr>
          <w:color w:val="auto"/>
        </w:rPr>
        <w:t>（一）推荐机制的延续与转型</w:t>
      </w:r>
    </w:p>
    <w:p w14:paraId="38CAA3FA">
      <w:pPr>
        <w:pStyle w:val="23"/>
      </w:pPr>
      <w:r>
        <w:t>唐代“通榜推荐”依赖私人关系，而宋代干谒更注重文学实力的展示。胥偃推荐欧阳修并非单纯人情，而是基于其四六文功底符合科考标准（许庆江，2011）。这表明宋代推荐机制开始向“以文取人”倾斜，但权贵影响力仍未消失。</w:t>
      </w:r>
    </w:p>
    <w:bookmarkEnd w:id="8"/>
    <w:p w14:paraId="30791B8D">
      <w:pPr>
        <w:pStyle w:val="6"/>
        <w:rPr>
          <w:color w:val="auto"/>
        </w:rPr>
      </w:pPr>
      <w:bookmarkStart w:id="9" w:name="二考试流程的层级化与规范化"/>
      <w:r>
        <w:rPr>
          <w:color w:val="auto"/>
        </w:rPr>
        <w:t>（二）考试流程的层级化与规范化</w:t>
      </w:r>
    </w:p>
    <w:p w14:paraId="78B2DAA0">
      <w:pPr>
        <w:pStyle w:val="23"/>
      </w:pPr>
      <w:r>
        <w:t>唐代科举仅分进士试与吏部诠选两级，宋代则细化为地方解试、礼部省试与殿试三级。欧阳修通过国子监解试、礼部试和殿试的层层选拔，体现了宋代流程的严密性。此外，宋代糊名法削弱了推荐的作用，但国子监的地域特权又制造了新的不公。</w:t>
      </w:r>
    </w:p>
    <w:bookmarkEnd w:id="9"/>
    <w:p w14:paraId="5AEEAA29">
      <w:pPr>
        <w:pStyle w:val="6"/>
        <w:rPr>
          <w:color w:val="auto"/>
        </w:rPr>
      </w:pPr>
      <w:bookmarkStart w:id="10" w:name="三寒门士子的机遇与局限"/>
      <w:r>
        <w:rPr>
          <w:color w:val="auto"/>
        </w:rPr>
        <w:t>（三）寒门士子的机遇与局限</w:t>
      </w:r>
    </w:p>
    <w:p w14:paraId="20A8B258">
      <w:pPr>
        <w:pStyle w:val="23"/>
      </w:pPr>
      <w:r>
        <w:t>韩愈的失败与欧阳修的成功，折射出寒门士子在唐宋科举中的不同境遇。唐代寒门若无推荐几无出路；宋代则可通过干谒和制度漏洞（如国子监）争取机会，但底层士子仍面临地域壁垒。</w:t>
      </w:r>
    </w:p>
    <w:bookmarkEnd w:id="7"/>
    <w:bookmarkEnd w:id="10"/>
    <w:p w14:paraId="2003F49B">
      <w:pPr>
        <w:pStyle w:val="5"/>
        <w:rPr>
          <w:color w:val="auto"/>
        </w:rPr>
      </w:pPr>
      <w:bookmarkStart w:id="11" w:name="五结论"/>
      <w:r>
        <w:rPr>
          <w:color w:val="auto"/>
        </w:rPr>
        <w:t>五、结论</w:t>
      </w:r>
    </w:p>
    <w:p w14:paraId="74E00F9F">
      <w:pPr>
        <w:pStyle w:val="23"/>
      </w:pPr>
      <w:r>
        <w:t>韩愈与欧阳修的科举经历表明，唐宋科举制度始终在公平追求与权贵干预之间摇摆。唐代制度依赖人脉，宋代通过流程调整部分缓解了这一问题，但未能根除地域与阶层差异。这一演变揭示了古代社会对人才选拔的不断探索，也为理解科举制度的复杂性提供了微观视角。</w:t>
      </w:r>
    </w:p>
    <w:p w14:paraId="5553052F">
      <w:pPr>
        <w:pStyle w:val="23"/>
      </w:pPr>
      <w:r>
        <w:rPr>
          <w:b/>
          <w:bCs/>
        </w:rPr>
        <w:t>参考文献</w:t>
      </w:r>
    </w:p>
    <w:p w14:paraId="6C5B6DAA">
      <w:pPr>
        <w:pStyle w:val="24"/>
        <w:numPr>
          <w:ilvl w:val="0"/>
          <w:numId w:val="1"/>
        </w:numPr>
        <w:ind w:left="240" w:leftChars="0"/>
      </w:pPr>
      <w:r>
        <w:rPr>
          <w:rFonts w:hint="eastAsia"/>
        </w:rPr>
        <w:t>张立华.</w:t>
      </w:r>
      <w:r>
        <w:t>(201</w:t>
      </w:r>
      <w:r>
        <w:rPr>
          <w:rFonts w:hint="eastAsia" w:eastAsia="宋体"/>
          <w:lang w:val="en-US" w:eastAsia="zh-CN"/>
        </w:rPr>
        <w:t>6</w:t>
      </w:r>
      <w:r>
        <w:t>)</w:t>
      </w:r>
      <w:r>
        <w:rPr>
          <w:rFonts w:hint="eastAsia" w:eastAsia="宋体"/>
          <w:lang w:val="en-US" w:eastAsia="zh-CN"/>
        </w:rPr>
        <w:t xml:space="preserve">. </w:t>
      </w:r>
      <w:r>
        <w:rPr>
          <w:rFonts w:hint="eastAsia"/>
        </w:rPr>
        <w:t>文坛领袖韩愈科举六次落榜[J].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人民周刊,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2016(21)</w:t>
      </w:r>
      <w:r>
        <w:rPr>
          <w:rFonts w:hint="eastAsia" w:eastAsia="宋体"/>
          <w:lang w:val="en-US" w:eastAsia="zh-CN"/>
        </w:rPr>
        <w:t xml:space="preserve">, </w:t>
      </w:r>
      <w:r>
        <w:rPr>
          <w:rFonts w:hint="eastAsia"/>
        </w:rPr>
        <w:t>74-75</w:t>
      </w:r>
      <w:r>
        <w:t>.</w:t>
      </w:r>
    </w:p>
    <w:p w14:paraId="014F4083">
      <w:pPr>
        <w:pStyle w:val="24"/>
        <w:numPr>
          <w:ilvl w:val="0"/>
          <w:numId w:val="1"/>
        </w:numPr>
        <w:ind w:left="240" w:leftChars="0"/>
      </w:pPr>
      <w:r>
        <w:rPr>
          <w:rFonts w:hint="eastAsia" w:eastAsia="宋体"/>
          <w:lang w:val="en-US" w:eastAsia="zh-CN"/>
        </w:rPr>
        <w:t>程惧.(宋). 韩文公历官记. 载</w:t>
      </w:r>
      <w:r>
        <w:t>吕大防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主编</w:t>
      </w:r>
      <w:r>
        <w:rPr>
          <w:rFonts w:hint="eastAsia" w:eastAsia="宋体"/>
          <w:lang w:eastAsia="zh-CN"/>
        </w:rPr>
        <w:t>）、</w:t>
      </w:r>
      <w:r>
        <w:t>徐敏霞</w:t>
      </w:r>
      <w:r>
        <w:rPr>
          <w:rFonts w:hint="eastAsia" w:eastAsia="宋体"/>
          <w:lang w:eastAsia="zh-CN"/>
        </w:rPr>
        <w:t>（</w:t>
      </w:r>
      <w:r>
        <w:t>校辑</w:t>
      </w:r>
      <w:r>
        <w:rPr>
          <w:rFonts w:hint="eastAsia" w:eastAsia="宋体"/>
          <w:lang w:eastAsia="zh-CN"/>
        </w:rPr>
        <w:t>），《韩愈年谱》</w:t>
      </w:r>
      <w:r>
        <w:rPr>
          <w:rFonts w:hint="eastAsia" w:eastAsia="宋体"/>
          <w:lang w:val="en-US" w:eastAsia="zh-CN"/>
        </w:rPr>
        <w:t xml:space="preserve">, </w:t>
      </w:r>
      <w:r>
        <w:t>1992</w:t>
      </w:r>
      <w:r>
        <w:rPr>
          <w:rFonts w:hint="eastAsia" w:eastAsia="宋体"/>
          <w:lang w:val="en-US" w:eastAsia="zh-CN"/>
        </w:rPr>
        <w:t>,</w:t>
      </w:r>
      <w:r>
        <w:t xml:space="preserve"> </w:t>
      </w:r>
      <w:r>
        <w:rPr>
          <w:rFonts w:hint="eastAsia" w:eastAsia="宋体"/>
          <w:lang w:val="en-US" w:eastAsia="zh-CN"/>
        </w:rPr>
        <w:t xml:space="preserve">8. </w:t>
      </w:r>
      <w:r>
        <w:t>中华书局.</w:t>
      </w:r>
      <w:bookmarkStart w:id="12" w:name="_GoBack"/>
      <w:bookmarkEnd w:id="12"/>
    </w:p>
    <w:p w14:paraId="355CD4F2">
      <w:pPr>
        <w:pStyle w:val="24"/>
        <w:numPr>
          <w:ilvl w:val="0"/>
          <w:numId w:val="1"/>
        </w:numPr>
        <w:ind w:left="240" w:leftChars="0"/>
      </w:pPr>
      <w:r>
        <w:t>许庆江.(2011).欧阳修的落第与干谒.赣南师范学院学报,32(02),62-66.</w:t>
      </w:r>
    </w:p>
    <w:p w14:paraId="508E238F">
      <w:pPr>
        <w:pStyle w:val="24"/>
        <w:numPr>
          <w:ilvl w:val="0"/>
          <w:numId w:val="1"/>
        </w:numPr>
        <w:ind w:left="240" w:leftChars="0"/>
      </w:pPr>
      <w:r>
        <w:rPr>
          <w:rFonts w:hint="eastAsia"/>
        </w:rPr>
        <w:t>刘德清</w:t>
      </w:r>
      <w:r>
        <w:t>(201</w:t>
      </w:r>
      <w:r>
        <w:rPr>
          <w:rFonts w:hint="eastAsia" w:eastAsia="宋体"/>
          <w:lang w:val="en-US" w:eastAsia="zh-CN"/>
        </w:rPr>
        <w:t>3</w:t>
      </w:r>
      <w:r>
        <w:t>)</w:t>
      </w:r>
      <w:r>
        <w:rPr>
          <w:rFonts w:hint="eastAsia" w:eastAsia="宋体"/>
          <w:lang w:val="en-US" w:eastAsia="zh-CN"/>
        </w:rPr>
        <w:t xml:space="preserve">. </w:t>
      </w:r>
      <w:r>
        <w:rPr>
          <w:rFonts w:hint="eastAsia"/>
        </w:rPr>
        <w:t>欧阳修年谱</w:t>
      </w:r>
      <w:r>
        <w:rPr>
          <w:rFonts w:hint="eastAsia" w:eastAsia="宋体"/>
          <w:lang w:val="en-US" w:eastAsia="zh-CN"/>
        </w:rPr>
        <w:t xml:space="preserve">. </w:t>
      </w:r>
      <w:r>
        <w:rPr>
          <w:rFonts w:hint="eastAsia"/>
        </w:rPr>
        <w:t>载吴洪泽、尹波（主编），《宋人年谱丛刊》</w:t>
      </w:r>
      <w:r>
        <w:rPr>
          <w:rFonts w:hint="eastAsia" w:eastAsia="宋体"/>
          <w:lang w:val="en-US" w:eastAsia="zh-CN"/>
        </w:rPr>
        <w:t>2018（02）,</w:t>
      </w:r>
      <w:r>
        <w:rPr>
          <w:rFonts w:hint="eastAsia"/>
        </w:rPr>
        <w:t>1028</w:t>
      </w:r>
      <w:r>
        <w:rPr>
          <w:rFonts w:hint="eastAsia" w:eastAsia="宋体"/>
          <w:lang w:val="en-US" w:eastAsia="zh-CN"/>
        </w:rPr>
        <w:t xml:space="preserve">. </w:t>
      </w:r>
      <w:r>
        <w:rPr>
          <w:rFonts w:hint="eastAsia"/>
        </w:rPr>
        <w:t>四川大学出版社</w:t>
      </w:r>
      <w:r>
        <w:rPr>
          <w:rFonts w:hint="eastAsia" w:eastAsia="宋体"/>
          <w:lang w:val="en-US" w:eastAsia="zh-CN"/>
        </w:rPr>
        <w:t>.</w:t>
      </w:r>
    </w:p>
    <w:bookmarkEnd w:id="1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146C7C"/>
    <w:multiLevelType w:val="singleLevel"/>
    <w:tmpl w:val="16146C7C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44A16B6D"/>
    <w:rsid w:val="4A1B6C87"/>
    <w:rsid w:val="66A036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1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shd w:val="clear" w:fill="F8F8F8"/>
      <w:wordWrap w:val="0"/>
    </w:pPr>
  </w:style>
  <w:style w:type="character" w:customStyle="1" w:styleId="39">
    <w:name w:val="Section Number"/>
    <w:basedOn w:val="21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204A87"/>
      <w:shd w:val="clear" w:fill="F8F8F8"/>
    </w:rPr>
  </w:style>
  <w:style w:type="character" w:customStyle="1" w:styleId="42">
    <w:name w:val="DataTypeTok"/>
    <w:basedOn w:val="37"/>
    <w:qFormat/>
    <w:uiPriority w:val="0"/>
    <w:rPr>
      <w:color w:val="204A87"/>
      <w:shd w:val="clear" w:fill="F8F8F8"/>
    </w:rPr>
  </w:style>
  <w:style w:type="character" w:customStyle="1" w:styleId="43">
    <w:name w:val="DecValTok"/>
    <w:basedOn w:val="37"/>
    <w:qFormat/>
    <w:uiPriority w:val="0"/>
    <w:rPr>
      <w:color w:val="0000CF"/>
      <w:shd w:val="clear" w:fill="F8F8F8"/>
    </w:rPr>
  </w:style>
  <w:style w:type="character" w:customStyle="1" w:styleId="44">
    <w:name w:val="BaseNTok"/>
    <w:basedOn w:val="37"/>
    <w:qFormat/>
    <w:uiPriority w:val="0"/>
    <w:rPr>
      <w:color w:val="0000CF"/>
      <w:shd w:val="clear" w:fill="F8F8F8"/>
    </w:rPr>
  </w:style>
  <w:style w:type="character" w:customStyle="1" w:styleId="45">
    <w:name w:val="FloatTok"/>
    <w:basedOn w:val="37"/>
    <w:qFormat/>
    <w:uiPriority w:val="0"/>
    <w:rPr>
      <w:color w:val="0000CF"/>
      <w:shd w:val="clear" w:fill="F8F8F8"/>
    </w:rPr>
  </w:style>
  <w:style w:type="character" w:customStyle="1" w:styleId="46">
    <w:name w:val="ConstantTok"/>
    <w:basedOn w:val="37"/>
    <w:qFormat/>
    <w:uiPriority w:val="0"/>
    <w:rPr>
      <w:color w:val="8F5902"/>
      <w:shd w:val="clear" w:fill="F8F8F8"/>
    </w:rPr>
  </w:style>
  <w:style w:type="character" w:customStyle="1" w:styleId="47">
    <w:name w:val="CharTok"/>
    <w:basedOn w:val="37"/>
    <w:qFormat/>
    <w:uiPriority w:val="0"/>
    <w:rPr>
      <w:color w:val="4E9A06"/>
      <w:shd w:val="clear" w:fill="F8F8F8"/>
    </w:rPr>
  </w:style>
  <w:style w:type="character" w:customStyle="1" w:styleId="48">
    <w:name w:val="SpecialCharTok"/>
    <w:basedOn w:val="37"/>
    <w:qFormat/>
    <w:uiPriority w:val="0"/>
    <w:rPr>
      <w:b/>
      <w:color w:val="CE5C00"/>
      <w:shd w:val="clear" w:fill="F8F8F8"/>
    </w:rPr>
  </w:style>
  <w:style w:type="character" w:customStyle="1" w:styleId="49">
    <w:name w:val="StringTok"/>
    <w:basedOn w:val="37"/>
    <w:qFormat/>
    <w:uiPriority w:val="0"/>
    <w:rPr>
      <w:color w:val="4E9A06"/>
      <w:shd w:val="clear" w:fill="F8F8F8"/>
    </w:rPr>
  </w:style>
  <w:style w:type="character" w:customStyle="1" w:styleId="50">
    <w:name w:val="VerbatimStringTok"/>
    <w:basedOn w:val="37"/>
    <w:qFormat/>
    <w:uiPriority w:val="0"/>
    <w:rPr>
      <w:color w:val="4E9A06"/>
      <w:shd w:val="clear" w:fill="F8F8F8"/>
    </w:rPr>
  </w:style>
  <w:style w:type="character" w:customStyle="1" w:styleId="51">
    <w:name w:val="SpecialStringTok"/>
    <w:basedOn w:val="37"/>
    <w:qFormat/>
    <w:uiPriority w:val="0"/>
    <w:rPr>
      <w:color w:val="4E9A06"/>
      <w:shd w:val="clear" w:fill="F8F8F8"/>
    </w:rPr>
  </w:style>
  <w:style w:type="character" w:customStyle="1" w:styleId="52">
    <w:name w:val="ImportTok"/>
    <w:basedOn w:val="37"/>
    <w:qFormat/>
    <w:uiPriority w:val="0"/>
    <w:rPr>
      <w:shd w:val="clear" w:fill="F8F8F8"/>
    </w:rPr>
  </w:style>
  <w:style w:type="character" w:customStyle="1" w:styleId="53">
    <w:name w:val="CommentTok"/>
    <w:basedOn w:val="37"/>
    <w:qFormat/>
    <w:uiPriority w:val="0"/>
    <w:rPr>
      <w:i/>
      <w:color w:val="8F5902"/>
      <w:shd w:val="clear" w:fill="F8F8F8"/>
    </w:rPr>
  </w:style>
  <w:style w:type="character" w:customStyle="1" w:styleId="54">
    <w:name w:val="DocumentationTok"/>
    <w:basedOn w:val="37"/>
    <w:qFormat/>
    <w:uiPriority w:val="0"/>
    <w:rPr>
      <w:b/>
      <w:i/>
      <w:color w:val="8F5902"/>
      <w:shd w:val="clear" w:fill="F8F8F8"/>
    </w:rPr>
  </w:style>
  <w:style w:type="character" w:customStyle="1" w:styleId="55">
    <w:name w:val="AnnotationTok"/>
    <w:basedOn w:val="37"/>
    <w:qFormat/>
    <w:uiPriority w:val="0"/>
    <w:rPr>
      <w:b/>
      <w:i/>
      <w:color w:val="8F5902"/>
      <w:shd w:val="clear" w:fill="F8F8F8"/>
    </w:rPr>
  </w:style>
  <w:style w:type="character" w:customStyle="1" w:styleId="56">
    <w:name w:val="CommentVarTok"/>
    <w:basedOn w:val="37"/>
    <w:qFormat/>
    <w:uiPriority w:val="0"/>
    <w:rPr>
      <w:b/>
      <w:i/>
      <w:color w:val="8F5902"/>
      <w:shd w:val="clear" w:fill="F8F8F8"/>
    </w:rPr>
  </w:style>
  <w:style w:type="character" w:customStyle="1" w:styleId="57">
    <w:name w:val="OtherTok"/>
    <w:basedOn w:val="37"/>
    <w:qFormat/>
    <w:uiPriority w:val="0"/>
    <w:rPr>
      <w:color w:val="8F5902"/>
      <w:shd w:val="clear" w:fill="F8F8F8"/>
    </w:rPr>
  </w:style>
  <w:style w:type="character" w:customStyle="1" w:styleId="58">
    <w:name w:val="FunctionTok"/>
    <w:basedOn w:val="37"/>
    <w:qFormat/>
    <w:uiPriority w:val="0"/>
    <w:rPr>
      <w:b/>
      <w:color w:val="204A87"/>
      <w:shd w:val="clear" w:fill="F8F8F8"/>
    </w:rPr>
  </w:style>
  <w:style w:type="character" w:customStyle="1" w:styleId="59">
    <w:name w:val="VariableTok"/>
    <w:basedOn w:val="37"/>
    <w:qFormat/>
    <w:uiPriority w:val="0"/>
    <w:rPr>
      <w:color w:val="000000"/>
      <w:shd w:val="clear" w:fill="F8F8F8"/>
    </w:rPr>
  </w:style>
  <w:style w:type="character" w:customStyle="1" w:styleId="60">
    <w:name w:val="ControlFlowTok"/>
    <w:basedOn w:val="37"/>
    <w:qFormat/>
    <w:uiPriority w:val="0"/>
    <w:rPr>
      <w:b/>
      <w:color w:val="204A87"/>
      <w:shd w:val="clear" w:fill="F8F8F8"/>
    </w:rPr>
  </w:style>
  <w:style w:type="character" w:customStyle="1" w:styleId="61">
    <w:name w:val="OperatorTok"/>
    <w:basedOn w:val="37"/>
    <w:qFormat/>
    <w:uiPriority w:val="0"/>
    <w:rPr>
      <w:b/>
      <w:color w:val="CE5C00"/>
      <w:shd w:val="clear" w:fill="F8F8F8"/>
    </w:rPr>
  </w:style>
  <w:style w:type="character" w:customStyle="1" w:styleId="62">
    <w:name w:val="BuiltInTok"/>
    <w:basedOn w:val="37"/>
    <w:qFormat/>
    <w:uiPriority w:val="0"/>
    <w:rPr>
      <w:shd w:val="clear" w:fill="F8F8F8"/>
    </w:rPr>
  </w:style>
  <w:style w:type="character" w:customStyle="1" w:styleId="63">
    <w:name w:val="ExtensionTok"/>
    <w:basedOn w:val="37"/>
    <w:qFormat/>
    <w:uiPriority w:val="0"/>
    <w:rPr>
      <w:shd w:val="clear" w:fill="F8F8F8"/>
    </w:rPr>
  </w:style>
  <w:style w:type="character" w:customStyle="1" w:styleId="64">
    <w:name w:val="PreprocessorTok"/>
    <w:basedOn w:val="37"/>
    <w:qFormat/>
    <w:uiPriority w:val="0"/>
    <w:rPr>
      <w:i/>
      <w:color w:val="8F5902"/>
      <w:shd w:val="clear" w:fill="F8F8F8"/>
    </w:rPr>
  </w:style>
  <w:style w:type="character" w:customStyle="1" w:styleId="65">
    <w:name w:val="AttributeTok"/>
    <w:basedOn w:val="37"/>
    <w:qFormat/>
    <w:uiPriority w:val="0"/>
    <w:rPr>
      <w:color w:val="204A87"/>
      <w:shd w:val="clear" w:fill="F8F8F8"/>
    </w:rPr>
  </w:style>
  <w:style w:type="character" w:customStyle="1" w:styleId="66">
    <w:name w:val="RegionMarkerTok"/>
    <w:basedOn w:val="37"/>
    <w:qFormat/>
    <w:uiPriority w:val="0"/>
    <w:rPr>
      <w:shd w:val="clear" w:fill="F8F8F8"/>
    </w:rPr>
  </w:style>
  <w:style w:type="character" w:customStyle="1" w:styleId="67">
    <w:name w:val="InformationTok"/>
    <w:basedOn w:val="37"/>
    <w:qFormat/>
    <w:uiPriority w:val="0"/>
    <w:rPr>
      <w:b/>
      <w:i/>
      <w:color w:val="8F5902"/>
      <w:shd w:val="clear" w:fill="F8F8F8"/>
    </w:rPr>
  </w:style>
  <w:style w:type="character" w:customStyle="1" w:styleId="68">
    <w:name w:val="WarningTok"/>
    <w:basedOn w:val="37"/>
    <w:qFormat/>
    <w:uiPriority w:val="0"/>
    <w:rPr>
      <w:b/>
      <w:i/>
      <w:color w:val="8F5902"/>
      <w:shd w:val="clear" w:fill="F8F8F8"/>
    </w:rPr>
  </w:style>
  <w:style w:type="character" w:customStyle="1" w:styleId="69">
    <w:name w:val="AlertTok"/>
    <w:basedOn w:val="37"/>
    <w:qFormat/>
    <w:uiPriority w:val="0"/>
    <w:rPr>
      <w:color w:val="EF2929"/>
      <w:shd w:val="clear" w:fill="F8F8F8"/>
    </w:rPr>
  </w:style>
  <w:style w:type="character" w:customStyle="1" w:styleId="70">
    <w:name w:val="ErrorTok"/>
    <w:basedOn w:val="37"/>
    <w:qFormat/>
    <w:uiPriority w:val="0"/>
    <w:rPr>
      <w:b/>
      <w:color w:val="A40000"/>
      <w:shd w:val="clear" w:fill="F8F8F8"/>
    </w:rPr>
  </w:style>
  <w:style w:type="character" w:customStyle="1" w:styleId="71">
    <w:name w:val="NormalTok"/>
    <w:basedOn w:val="37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1876</Words>
  <Characters>1924</Characters>
  <Lines>12</Lines>
  <Paragraphs>8</Paragraphs>
  <TotalTime>7</TotalTime>
  <ScaleCrop>false</ScaleCrop>
  <LinksUpToDate>false</LinksUpToDate>
  <CharactersWithSpaces>1929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2025-04-24T12:50:00Z</dcterms:created>
  <dc:creator>王瑞</dc:creator>
  <cp:lastModifiedBy>王瑞</cp:lastModifiedBy>
  <dcterms:modified xsi:type="dcterms:W3CDTF">2025-04-27T01:26:45Z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eyJoZGlkIjoiNGQ5ZWU1MWIwYTYwNjhhYTI3OGZmN2E3Y2RlNjUzYmMiLCJ1c2VySWQiOiIxNjM5NDcxNzAxIn0=</vt:lpwstr>
  </property>
  <property fmtid="{D5CDD505-2E9C-101B-9397-08002B2CF9AE}" pid="3" name="KSOProductBuildVer">
    <vt:lpwstr>2052-12.1.0.19770</vt:lpwstr>
  </property>
  <property fmtid="{D5CDD505-2E9C-101B-9397-08002B2CF9AE}" pid="4" name="ICV">
    <vt:lpwstr>AF9FA36D862B46E5967E9D86C7CDF84F_12</vt:lpwstr>
  </property>
</Properties>
</file>