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A68A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44"/>
          <w:szCs w:val="44"/>
          <w:lang w:val="en-US" w:eastAsia="zh-CN"/>
        </w:rPr>
      </w:pPr>
      <w:bookmarkStart w:id="0" w:name="浙南与浙北的科举分野明代浙江科举取士地域差异"/>
      <w:r>
        <w:rPr>
          <w:rFonts w:hint="eastAsia" w:ascii="黑体" w:hAnsi="黑体" w:eastAsia="黑体" w:cs="黑体"/>
          <w:sz w:val="44"/>
          <w:szCs w:val="44"/>
        </w:rPr>
        <w:t>浙南与浙北的科举分野：明代浙江科举取士地域差异</w:t>
      </w:r>
    </w:p>
    <w:p w14:paraId="129EDEDE">
      <w:pPr>
        <w:pStyle w:val="2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 w:eastAsia="宋体"/>
          <w:sz w:val="28"/>
          <w:szCs w:val="28"/>
          <w:lang w:val="en-US" w:eastAsia="zh-CN"/>
        </w:rPr>
        <w:t>摘要</w:t>
      </w:r>
    </w:p>
    <w:p w14:paraId="64A56E1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both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明代浙江作为科举大省，进士总数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约3829</w:t>
      </w:r>
      <w:r>
        <w:rPr>
          <w:rFonts w:hint="eastAsia" w:asciiTheme="minorEastAsia" w:hAnsiTheme="minorEastAsia" w:eastAsiaTheme="minorEastAsia" w:cstheme="minorEastAsia"/>
        </w:rPr>
        <w:t>人，位居全国第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</w:t>
      </w:r>
      <w:r>
        <w:rPr>
          <w:rStyle w:val="23"/>
          <w:rFonts w:hint="eastAsia" w:asciiTheme="minorEastAsia" w:hAnsiTheme="minorEastAsia" w:eastAsiaTheme="minorEastAsia" w:cstheme="minorEastAsia"/>
          <w:lang w:val="en-US" w:eastAsia="zh-CN"/>
        </w:rPr>
        <w:footnoteReference w:id="0"/>
      </w:r>
      <w:r>
        <w:rPr>
          <w:rFonts w:hint="eastAsia" w:asciiTheme="minorEastAsia" w:hAnsiTheme="minorEastAsia" w:eastAsiaTheme="minorEastAsia" w:cstheme="minorEastAsia"/>
        </w:rPr>
        <w:t>，但省内取士分布极不均衡。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本文通过量化分析进士与举人的空间分布，结合经济基础、教育资源、家族垄断等多维因素，揭示浙北（杭嘉湖平原、宁绍平原）与浙南（处州、严州、衢州等）科举差异的内在逻辑。研究发现：浙北进士占比约70%，依托经济繁荣（蚕桑、棉纺、茶业）、书院密集、心学传播及科举世家代际传承，形成系统性优势；而浙南因交通滞涩、经济落后、教育资源匮乏及缺乏高层提携，长期处于边缘地位。这种差异进一步固化地方治理权力，加剧文化断层与经济路径依赖，深刻塑造了明代浙江的社会结构与发展轨迹。</w:t>
      </w:r>
    </w:p>
    <w:p w14:paraId="333531C3">
      <w:pPr>
        <w:pStyle w:val="24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关键词</w:t>
      </w:r>
    </w:p>
    <w:p w14:paraId="0BF96F6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明代</w:t>
      </w:r>
      <w:r>
        <w:rPr>
          <w:rFonts w:hint="eastAsia" w:asciiTheme="minorEastAsia" w:hAnsiTheme="minorEastAsia" w:eastAsiaTheme="minorEastAsia" w:cstheme="minorEastAsia"/>
          <w:lang w:eastAsia="zh-CN"/>
        </w:rPr>
        <w:t>；</w:t>
      </w:r>
      <w:r>
        <w:rPr>
          <w:rFonts w:hint="eastAsia" w:asciiTheme="minorEastAsia" w:hAnsiTheme="minorEastAsia" w:eastAsiaTheme="minorEastAsia" w:cstheme="minorEastAsia"/>
        </w:rPr>
        <w:t>科举取士；地域差异；浙北；浙南</w:t>
      </w:r>
    </w:p>
    <w:bookmarkEnd w:id="0"/>
    <w:p w14:paraId="2762E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</w:rPr>
      </w:pPr>
      <w:bookmarkStart w:id="1" w:name="一空间分布浙北的绝对优势与浙南的结构性弱势"/>
      <w:r>
        <w:rPr>
          <w:rFonts w:hint="eastAsia" w:ascii="黑体" w:hAnsi="黑体" w:eastAsia="黑体" w:cs="黑体"/>
          <w:sz w:val="28"/>
          <w:szCs w:val="28"/>
        </w:rPr>
        <w:t>一、空间分布：浙北的绝对优势与浙南的结构性弱势</w:t>
      </w:r>
    </w:p>
    <w:p w14:paraId="6E27711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明代浙江科举呈现显著的“北强南弱”格局。浙北五府（杭州、嘉兴、湖州、绍兴、宁波）进士数量占全省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70%左右</w:t>
      </w:r>
      <w:r>
        <w:rPr>
          <w:rFonts w:hint="eastAsia" w:asciiTheme="minorEastAsia" w:hAnsiTheme="minorEastAsia" w:eastAsiaTheme="minorEastAsia" w:cstheme="minorEastAsia"/>
        </w:rPr>
        <w:t>，其中绍兴府（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1032</w:t>
      </w:r>
      <w:r>
        <w:rPr>
          <w:rFonts w:hint="eastAsia" w:asciiTheme="minorEastAsia" w:hAnsiTheme="minorEastAsia" w:eastAsiaTheme="minorEastAsia" w:cstheme="minorEastAsia"/>
        </w:rPr>
        <w:t>人）、宁波府（6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00</w:t>
      </w:r>
      <w:r>
        <w:rPr>
          <w:rFonts w:hint="eastAsia" w:asciiTheme="minorEastAsia" w:hAnsiTheme="minorEastAsia" w:eastAsiaTheme="minorEastAsia" w:cstheme="minorEastAsia"/>
        </w:rPr>
        <w:t>人）</w:t>
      </w:r>
      <w:r>
        <w:rPr>
          <w:rFonts w:hint="eastAsia" w:asciiTheme="minorEastAsia" w:hAnsiTheme="minorEastAsia" w:eastAsiaTheme="minorEastAsia" w:cstheme="minor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包括明初的明州府进士</w:t>
      </w:r>
      <w:r>
        <w:rPr>
          <w:rFonts w:hint="eastAsia" w:asciiTheme="minorEastAsia" w:hAnsiTheme="minorEastAsia" w:eastAsiaTheme="minorEastAsia" w:cstheme="minorEastAsia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</w:rPr>
        <w:t>、杭州府（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465</w:t>
      </w:r>
      <w:r>
        <w:rPr>
          <w:rFonts w:hint="eastAsia" w:asciiTheme="minorEastAsia" w:hAnsiTheme="minorEastAsia" w:eastAsiaTheme="minorEastAsia" w:cstheme="minorEastAsia"/>
        </w:rPr>
        <w:t>人）为三大核心区。浙南六府（金华、衢州、严州、处州、台州、温州）进士总和不足全省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</w:rPr>
        <w:t>0%，处州府仅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114</w:t>
      </w:r>
      <w:r>
        <w:rPr>
          <w:rFonts w:hint="eastAsia" w:asciiTheme="minorEastAsia" w:hAnsiTheme="minorEastAsia" w:eastAsiaTheme="minorEastAsia" w:cstheme="minorEastAsia"/>
        </w:rPr>
        <w:t>人，严州府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113</w:t>
      </w:r>
      <w:r>
        <w:rPr>
          <w:rFonts w:hint="eastAsia" w:asciiTheme="minorEastAsia" w:hAnsiTheme="minorEastAsia" w:eastAsiaTheme="minorEastAsia" w:cstheme="minorEastAsia"/>
        </w:rPr>
        <w:t>人，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几乎只是</w:t>
      </w:r>
      <w:r>
        <w:rPr>
          <w:rFonts w:hint="eastAsia" w:asciiTheme="minorEastAsia" w:hAnsiTheme="minorEastAsia" w:eastAsiaTheme="minorEastAsia" w:cstheme="minorEastAsia"/>
        </w:rPr>
        <w:t>绍兴府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一府</w:t>
      </w:r>
      <w:r>
        <w:rPr>
          <w:rFonts w:hint="eastAsia" w:asciiTheme="minorEastAsia" w:hAnsiTheme="minorEastAsia" w:eastAsiaTheme="minorEastAsia" w:cstheme="minorEastAsia"/>
        </w:rPr>
        <w:t>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1032</w:t>
      </w:r>
      <w:r>
        <w:rPr>
          <w:rFonts w:hint="eastAsia" w:asciiTheme="minorEastAsia" w:hAnsiTheme="minorEastAsia" w:eastAsiaTheme="minorEastAsia" w:cstheme="minorEastAsia"/>
        </w:rPr>
        <w:t>人）的十分之一。</w:t>
      </w:r>
    </w:p>
    <w:p w14:paraId="69E75A1C">
      <w:pPr>
        <w:pStyle w:val="25"/>
        <w:numPr>
          <w:ilvl w:val="0"/>
          <w:numId w:val="0"/>
        </w:numPr>
      </w:pPr>
      <w:r>
        <w:drawing>
          <wp:inline distT="0" distB="0" distL="114300" distR="114300">
            <wp:extent cx="5486400" cy="4114800"/>
            <wp:effectExtent l="0" t="0" r="0" b="0"/>
            <wp:docPr id="2" name="图片 2" descr="Figur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igure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291840"/>
            <wp:effectExtent l="0" t="0" r="0" b="0"/>
            <wp:docPr id="4" name="图片 4" descr="明代浙江省各府进士人数统计条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明代浙江省各府进士人数统计条形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FC28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举人分布亦呈相似趋势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浙北举人占比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几乎仍是</w:t>
      </w:r>
      <w:r>
        <w:rPr>
          <w:rFonts w:hint="eastAsia" w:asciiTheme="minorEastAsia" w:hAnsiTheme="minorEastAsia" w:eastAsiaTheme="minorEastAsia" w:cstheme="minorEastAsia"/>
        </w:rPr>
        <w:t>70%，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浙南只有台州举人数量稍多（658人），可以和浙北诸府相比。具体来说，举人数量前五名的府分别是宁波（1249人）、绍兴（1750人）、杭州（1188人）、嘉兴（899人）、台州（658人）。只有台州属于浙南地区，其余各府均属浙北地区。</w:t>
      </w:r>
    </w:p>
    <w:p w14:paraId="25760F51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景泰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四</w:t>
      </w:r>
      <w:r>
        <w:rPr>
          <w:rFonts w:hint="eastAsia" w:asciiTheme="minorEastAsia" w:hAnsiTheme="minorEastAsia" w:eastAsiaTheme="minorEastAsia" w:cstheme="minorEastAsia"/>
        </w:rPr>
        <w:t>年后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的限定解额制度则进一步加重了浙南浙北的科举差距</w:t>
      </w:r>
      <w:r>
        <w:rPr>
          <w:rFonts w:hint="eastAsia" w:asciiTheme="minorEastAsia" w:hAnsiTheme="minorEastAsia" w:eastAsiaTheme="minorEastAsia" w:cstheme="minorEastAsia"/>
        </w:rPr>
        <w:t>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景泰四年以前统计各府举人录取人数，位居前五府的分别是绍兴府（380人，占比15.8%）、杭州府（357人，占比14.5%）、宁波府（345人，占比14.0%）、台州府（269人，占比10.9%）、衢州府（177人，占比7.2%）。浙北占三府，浙南占两府，而湖州府和嘉兴府则反而位居倒数两位。但是随着经济的发展、政治的变革和限定解额制度的落实，湖嘉两府的举人人数飙升，嘉兴取代了台州成为第四，台州成为第五，湖州仅次于台州，而原来位于第五名的衢州则位于第七，次于湖州</w:t>
      </w:r>
      <w:r>
        <w:rPr>
          <w:rStyle w:val="23"/>
          <w:rFonts w:hint="eastAsia" w:asciiTheme="minorEastAsia" w:hAnsiTheme="minorEastAsia" w:eastAsiaTheme="minorEastAsia" w:cstheme="minorEastAsia"/>
          <w:lang w:eastAsia="zh-CN"/>
        </w:rPr>
        <w:footnoteReference w:id="1"/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。并且无论有无限定解额制度，举人人数的前三名都是浙北的绍兴、宁波和杭州。</w:t>
      </w:r>
    </w:p>
    <w:p w14:paraId="70BBF6D7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eastAsia="zh-CN"/>
        </w:rPr>
        <w:t>总的来看，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可以说有明一代，无论</w:t>
      </w:r>
      <w:r>
        <w:rPr>
          <w:rFonts w:hint="eastAsia" w:asciiTheme="minorEastAsia" w:hAnsiTheme="minorEastAsia" w:eastAsiaTheme="minorEastAsia" w:cstheme="minorEastAsia"/>
          <w:lang w:eastAsia="zh-CN"/>
        </w:rPr>
        <w:t>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举人还是进</w:t>
      </w:r>
      <w:r>
        <w:rPr>
          <w:rFonts w:hint="eastAsia" w:asciiTheme="minorEastAsia" w:hAnsiTheme="minorEastAsia" w:eastAsiaTheme="minorEastAsia" w:cstheme="minorEastAsia"/>
          <w:lang w:eastAsia="zh-CN"/>
        </w:rPr>
        <w:t>士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，浙北的科举</w:t>
      </w:r>
      <w:r>
        <w:rPr>
          <w:rFonts w:hint="eastAsia" w:asciiTheme="minorEastAsia" w:hAnsiTheme="minorEastAsia" w:eastAsiaTheme="minorEastAsia" w:cstheme="minorEastAsia"/>
          <w:lang w:eastAsia="zh-CN"/>
        </w:rPr>
        <w:t>综合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实力都远超浙南。</w:t>
      </w:r>
      <w:bookmarkEnd w:id="1"/>
      <w:bookmarkStart w:id="2" w:name="参考文献示例"/>
    </w:p>
    <w:p w14:paraId="49F804F3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二、</w:t>
      </w:r>
      <w:r>
        <w:rPr>
          <w:rFonts w:hint="eastAsia" w:ascii="黑体" w:hAnsi="黑体" w:eastAsia="黑体" w:cs="黑体"/>
          <w:sz w:val="28"/>
          <w:szCs w:val="28"/>
        </w:rPr>
        <w:t>差异探源：从经济文化基础到“科举世家”的垄断</w:t>
      </w:r>
    </w:p>
    <w:p w14:paraId="1BC4D3E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（一）经济因素</w:t>
      </w:r>
    </w:p>
    <w:p w14:paraId="0440AC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</w:rPr>
        <w:t>经济繁荣程度对浙江科举取士影响深远。经济发达</w:t>
      </w:r>
      <w:r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lang w:val="en-US" w:eastAsia="zh-CN"/>
        </w:rPr>
        <w:t>的浙北</w:t>
      </w:r>
      <w:r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</w:rPr>
        <w:t>地区，如杭州府、宁波府，商业繁荣、贸易兴盛，能为教育提供充足资金，百姓生活富足，有更多闲暇和资源投入读书科考。家庭可聘请名师、购置书籍，为子弟备考创造良好条件，使这些地区科举取士人数相对较多。</w:t>
      </w:r>
    </w:p>
    <w:p w14:paraId="795DDC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vertAlign w:val="superscrip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lang w:val="en-US" w:eastAsia="zh-CN"/>
        </w:rPr>
        <w:t>科举兴盛之府大多有发达的经济产业，说明两者之间不无关系。浙北地区的杭嘉湖三府是明代浙江蚕桑业最发达的地区。史载，嘉兴县“地独坦衍饶水,稻禾、蚕桑、织绣工作之技,衣食海内”，湖州“其树桑也,自墙下檐隙,以暨田之畔,池之上,虽惰农无弃地者”,“富者田连陌,桑麻万顷”，杭州府也多种桑,如杭州桥“田畴万顷,一望无际,春时桑林麦 境高下竞秀”。三府蚕桑业的发达促进了经济的繁荣，尤其是商品经济的发展。台州府虽属浙南，但是是为数不多的浙南科举强县，台州府蚕桑业也高度发达，太平县在嘉靖年间“诸家妇女多治蚕”,所产之丝仅比杭、湖稍次。而其余浙南诸府虽也事蚕桑，但规模小质量次，就会逊色许多</w:t>
      </w:r>
      <w:r>
        <w:rPr>
          <w:rStyle w:val="23"/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lang w:val="en-US" w:eastAsia="zh-CN"/>
        </w:rPr>
        <w:footnoteReference w:id="2"/>
      </w:r>
      <w:r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lang w:val="en-US" w:eastAsia="zh-CN"/>
        </w:rPr>
        <w:t>。</w:t>
      </w:r>
    </w:p>
    <w:p w14:paraId="7DA12E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60" w:after="0" w:line="360" w:lineRule="auto"/>
        <w:ind w:left="0" w:right="0" w:firstLine="480" w:firstLineChars="200"/>
        <w:jc w:val="left"/>
        <w:textAlignment w:val="auto"/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i w:val="0"/>
          <w:spacing w:val="0"/>
          <w:sz w:val="24"/>
          <w:lang w:val="en-US" w:eastAsia="zh-CN"/>
        </w:rPr>
        <w:t>蚕桑业之外，浙北诸府的茶业也很繁荣。明代浙江茶树种植已是十分普遍，绍兴府除萧山、新昌县外其余六县皆产名茶。浙东名茶则有如杭州府钱塘县的龙井茶、富阳县的富阳茶、宁波府象山县的珠茶等。</w:t>
      </w:r>
    </w:p>
    <w:p w14:paraId="3B2235A3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浙北依托太湖流域与宁绍平原，棉纺织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也十分兴盛</w:t>
      </w:r>
      <w:r>
        <w:rPr>
          <w:rFonts w:hint="eastAsia" w:asciiTheme="minorEastAsia" w:hAnsiTheme="minorEastAsia" w:eastAsiaTheme="minorEastAsia" w:cstheme="minorEastAsia"/>
        </w:rPr>
        <w:t>。绍兴府“棉田连绵，岁入数千金悉以购书延师”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余姚县</w:t>
      </w:r>
      <w:r>
        <w:rPr>
          <w:rFonts w:hint="eastAsia" w:asciiTheme="minorEastAsia" w:hAnsiTheme="minorEastAsia" w:eastAsiaTheme="minorEastAsia" w:cstheme="minorEastAsia"/>
          <w:lang w:eastAsia="zh-CN"/>
        </w:rPr>
        <w:t>，“浙花出余姚，中纺织，棉稍重，二十而得七，吴下种大都类是”。</w:t>
      </w:r>
      <w:r>
        <w:rPr>
          <w:rFonts w:hint="eastAsia" w:asciiTheme="minorEastAsia" w:hAnsiTheme="minorEastAsia" w:eastAsiaTheme="minorEastAsia" w:cstheme="minorEastAsia"/>
        </w:rPr>
        <w:t>宁波府双屿港贸易税收占全省38%，商贾捐建天一阁等书院，支撑慈溪姚涞、鄞县丰熙等鼎甲进士的学术资源。</w:t>
      </w:r>
    </w:p>
    <w:p w14:paraId="7678E84C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t>反观浙南，</w:t>
      </w:r>
      <w:r>
        <w:rPr>
          <w:rFonts w:hint="eastAsia" w:eastAsia="宋体"/>
          <w:lang w:val="en-US" w:eastAsia="zh-CN"/>
        </w:rPr>
        <w:t>则交通滞涩，经济落后，科举事业也大受影响。</w:t>
      </w:r>
      <w:r>
        <w:t>处州府“九山半水半分田，民多樵采为生”，严州府耕地匮乏，无力承担科举成本。处州、严州地处浙闽山区，陆路交通艰险，信息传递滞后。嘉靖《处州府志》载：“学者罕至名都，虽欲从师无由也。”当地士子难接触主流学术思潮，仍拘泥于朱子注疏，而浙北已受阳明心学革新思想浸润，策论更契合科举取士标准。</w:t>
      </w:r>
    </w:p>
    <w:p w14:paraId="33AE1F3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（二）文化教育因素</w:t>
      </w:r>
    </w:p>
    <w:p w14:paraId="0E971655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浙北与浙南在科举实力上的显著差距，其根源深植于两地悬殊的教育资源和文化氛围。</w:t>
      </w:r>
    </w:p>
    <w:p w14:paraId="35ACA435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vertAlign w:val="superscript"/>
          <w:lang w:val="en-US" w:eastAsia="zh-CN"/>
        </w:rPr>
      </w:pPr>
      <w:r>
        <w:rPr>
          <w:rFonts w:hint="eastAsia" w:eastAsia="宋体"/>
          <w:lang w:val="en-US" w:eastAsia="zh-CN"/>
        </w:rPr>
        <w:t>从书院数量来看，明代浙江宁波、绍兴、杭州、温州、嘉兴、湖州五府的书院数量相对较多，其中杭嘉湖宁绍五府属于浙北地区，仅温州一府属浙南。浙北浙南的书院发展差距可见一般。绍兴著名的稽山书院就是嘉靖年间王阳明讲学之所，证人书院是黄宗羲、刘宗周等学者传播思想的重要阵地。绍兴余姚的书院是传播讲习心学的重要基地，书院所在地往往心学兴盛，而心学兴盛对科举及第发挥了积极作用</w:t>
      </w:r>
      <w:r>
        <w:rPr>
          <w:rStyle w:val="23"/>
          <w:rFonts w:hint="eastAsia" w:eastAsia="宋体"/>
          <w:lang w:val="en-US" w:eastAsia="zh-CN"/>
        </w:rPr>
        <w:footnoteReference w:id="3"/>
      </w:r>
      <w:r>
        <w:rPr>
          <w:rFonts w:hint="eastAsia" w:eastAsia="宋体"/>
          <w:lang w:val="en-US" w:eastAsia="zh-CN"/>
        </w:rPr>
        <w:t>。</w:t>
      </w:r>
    </w:p>
    <w:p w14:paraId="0FAB83FF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从学风来看，科举盛行和重视读书相互作用，形成了对读书和学习的重视风气。以余姚这一科举强县为例，当地士人注重维持自身修养，“其民知耻，好修善让，俭而不陋，华而不费，勤而不匾，质而不但，其思深，其虑远，非有虞氏之遗风，其能若是。”万历年间，好学之风更是遍及巷户，“好学、笃志、尊师、择友、诵弦之声相闻、下至穷乡僻户、耻不以诗书课其子弟、自农工商贾鲜不知章句者。”可见，纯朴的学风在整个社会形成一种巨大的风潮，不再仅是传统的世家大族，而是已广泛影响到社会下层阶级，士、农、工、商各个阶层都以好学为尚。浙北地区的科举强盛之地大多如此，学风浓郁，重视科举，而浙南地区的学风则稍逊一筹</w:t>
      </w:r>
      <w:r>
        <w:rPr>
          <w:rStyle w:val="23"/>
          <w:rFonts w:hint="eastAsia" w:eastAsia="宋体"/>
          <w:lang w:val="en-US" w:eastAsia="zh-CN"/>
        </w:rPr>
        <w:footnoteReference w:id="4"/>
      </w:r>
      <w:r>
        <w:rPr>
          <w:rFonts w:hint="eastAsia" w:eastAsia="宋体"/>
          <w:lang w:val="en-US" w:eastAsia="zh-CN"/>
        </w:rPr>
        <w:t>。</w:t>
      </w:r>
    </w:p>
    <w:p w14:paraId="4D920FA5">
      <w:pPr>
        <w:pStyle w:val="25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王阳明心学的流行</w:t>
      </w:r>
      <w:r>
        <w:rPr>
          <w:rFonts w:hint="default" w:eastAsia="宋体"/>
          <w:lang w:eastAsia="zh-CN"/>
        </w:rPr>
        <w:t>也提高了</w:t>
      </w:r>
      <w:r>
        <w:rPr>
          <w:rFonts w:hint="eastAsia" w:eastAsia="宋体"/>
          <w:lang w:val="en-US" w:eastAsia="zh-CN"/>
        </w:rPr>
        <w:t>浙北地区和浙南地区</w:t>
      </w:r>
      <w:r>
        <w:rPr>
          <w:rFonts w:hint="default" w:eastAsia="宋体"/>
          <w:lang w:eastAsia="zh-CN"/>
        </w:rPr>
        <w:t>举人及第的概率</w:t>
      </w:r>
      <w:r>
        <w:rPr>
          <w:rFonts w:hint="eastAsia" w:eastAsia="宋体"/>
          <w:lang w:val="en-US" w:eastAsia="zh-CN"/>
        </w:rPr>
        <w:t>差距。虽然明清时代的科举考试一般以程朱理学为主要考查内容，但是中晚明时阳明心学也曾渗透到科举考试中，成为科举考试内容之一</w:t>
      </w:r>
      <w:r>
        <w:rPr>
          <w:rStyle w:val="23"/>
          <w:rFonts w:hint="eastAsia" w:eastAsia="宋体"/>
          <w:lang w:val="en-US" w:eastAsia="zh-CN"/>
        </w:rPr>
        <w:footnoteReference w:id="5"/>
      </w:r>
      <w:r>
        <w:rPr>
          <w:rFonts w:hint="eastAsia" w:eastAsia="宋体"/>
          <w:lang w:val="en-US" w:eastAsia="zh-CN"/>
        </w:rPr>
        <w:t>。而阳明心学在浙北地区可谓十分兴盛，尤其是绍兴府余姚县。余姚县是王阳明的家乡，王阳明晚年辞官归乡也主要在家乡的书院讲学，阳明心学的后代分支也大多活动在余姚或者浙北地区其他诸府。在这样的背景下自然浙北地区的士人学习心学的风气更盛，对心学的掌握程度也更高，在科举考试中更占优势。</w:t>
      </w:r>
    </w:p>
    <w:p w14:paraId="45463CE9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lang w:val="en-US" w:eastAsia="zh-CN"/>
        </w:rPr>
      </w:pPr>
      <w:r>
        <w:rPr>
          <w:rFonts w:hint="eastAsia" w:ascii="楷体" w:hAnsi="楷体" w:eastAsia="楷体" w:cs="楷体"/>
          <w:lang w:val="en-US" w:eastAsia="zh-CN"/>
        </w:rPr>
        <w:t>（三）家族因素</w:t>
      </w:r>
    </w:p>
    <w:p w14:paraId="6872F708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成功的科举家族，如余姚的孙氏、谢氏，鄞县的屠氏、张氏，钱塘的江氏等，凭借早期获得的科举功名，积累了雄厚的政治资本、经济实力（例如通过优免特权带来的土地兼并）和社会声望（如通过联姻、结社、门生故吏等途径）。这些家族将科举成功转化为家族可持续发展的核心资源，通过代际传承稳固了其在科举体系中的地位。</w:t>
      </w:r>
    </w:p>
    <w:p w14:paraId="116A650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虽然理论上科举是人人皆可中第，而且几乎是寒门的唯一出路，但是实际上在晚明科举逐渐为一些特定的科举大族所垄断。比如余姚县的陈、胡、黄、姜四大家族便占据了当时科举进士的几乎四分之一的名额。可以说一般寒门子弟的人想科举中第，竞争压力是十分巨大的。而浙北地区的科举世家多于浙南地区，自然会占优势，而且科举成功和家族发展相互促进，形成正循环，难以打破。</w:t>
      </w:r>
    </w:p>
    <w:p w14:paraId="07316197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具体来说家族兴盛，可以积淀家族文化，建立完备的家族教育，帮助后辈科举及第。比如余姚县烛湖孙氏，学风浓郁，家族内部父子兄弟相教，所谓“父子兄弟之间自为师友，然其学也。”妇女也担负一定的教育责任，普遍文化修养比较高。孙升继妻杨氏平日“课诸子如严师”，对子的交友品行亦注重“矿少时尝戒其友，日以札来者，幸毋诡毋谑历吾母而后慎之也，由此子姓所交无匪人无匪言。”</w:t>
      </w:r>
      <w:r>
        <w:rPr>
          <w:rStyle w:val="23"/>
          <w:rFonts w:hint="eastAsia" w:eastAsia="宋体"/>
          <w:lang w:val="en-US" w:eastAsia="zh-CN"/>
        </w:rPr>
        <w:footnoteReference w:id="6"/>
      </w:r>
    </w:p>
    <w:p w14:paraId="355CC16A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r>
        <w:t>浙北的科举家族通过姻亲、师承与荐举等方式，形成了紧密的利益共同体。比如，余姚的谢氏家族中，谢迁（成化榜眼）提携了侄子谢丕（弘治探花），而孙燧则与王阳明家族联姻并共享藏书。鄞县的丰氏家族则通过“岁输银二千两充学田”的方式，保障子弟持续参加科举应试。类似的家族网络在浙北地区广泛存在，而在浙南，特别是处州和严州，由于远离政治中心，缺乏高层官员的提携，尽管平民进士的比例较高，但他们多为基层杂职，科举竞争力明显不足。</w:t>
      </w:r>
    </w:p>
    <w:p w14:paraId="6DA7C5E5">
      <w:pPr>
        <w:pStyle w:val="18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eastAsia="zh-CN"/>
        </w:rPr>
      </w:pPr>
      <w:r>
        <w:t>科举功名逐渐成为一种家族资本，可以通过代际传承不断强化家族的优势。科举家族的子弟依靠家族的声望、名师的指导、丰富的应试经验（包括对考官偏好的熟悉和考场技巧的掌握）以及强大的经济后盾（支持长期备考和远赴京城的费用），在科举竞争中形成了明显的系统性优势。尽管科举制度理论上提供了开放的上升通道，但实际上，这一通道却被少数世家所把持，成为了一个“权力俱乐部”，形成了难以逾越的“权力壁垒”。在明中后期，浙</w:t>
      </w:r>
      <w:r>
        <w:rPr>
          <w:rFonts w:hint="eastAsia" w:eastAsia="宋体"/>
          <w:lang w:val="en-US" w:eastAsia="zh-CN"/>
        </w:rPr>
        <w:t>北</w:t>
      </w:r>
      <w:r>
        <w:t>地区频繁出现“父子鼎甲”、“兄弟翰林”和“五世进士”等现象，正是家族力量在科举制度中的固化体现</w:t>
      </w:r>
      <w:r>
        <w:rPr>
          <w:rFonts w:hint="eastAsia" w:eastAsia="宋体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杭州府的海宁陈家，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就</w:t>
      </w:r>
      <w:r>
        <w:rPr>
          <w:rFonts w:ascii="宋体" w:hAnsi="宋体" w:eastAsia="宋体" w:cs="宋体"/>
          <w:sz w:val="24"/>
          <w:szCs w:val="24"/>
        </w:rPr>
        <w:t>有“一门三阁老，六部五尚书”的美誉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0A712E35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三、科举格局差异的社会影响</w:t>
      </w:r>
    </w:p>
    <w:p w14:paraId="38173B0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浙北庞大的进士官僚群体及其衍生出的举人、贡生阶层，凭借科举功名积累的权势，成为地方社会的实际主导者。他们深度介入赋税征收（利用包揽、诡寄等手段）、掌控关键水利工程（如太湖治理）的主导权，并垄断地方司法调解等事务，编织了一张强大的“乡绅自治”网络。这种治理模式虽然在表面上维持了地方秩序，但其核心逻辑是维护本地世家大族的既得利益。政策的倾斜往往有利于土地兼并者和商业垄断者，加剧了社会财富分配的不公，使得底层民众的利益难以得到有效保障，明末江南地区频繁爆发的“奴变”和抗租风潮，其深层根源便在于此。</w:t>
      </w:r>
    </w:p>
    <w:p w14:paraId="76674DD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在文化领域，浙北依托其科举优势形成了强大的文化资本虹吸效应。宁波天一阁藏书七万卷，吸引黄宗羲等顶尖学者慕名访读；绍兴成为阳明心学的重镇，余姚书院刊刻的《传习录》风行全国。反观浙南，由于科举成功者稀少且学术影响力薄弱，连编纂地方志书都常常需要依赖杭州的书商，导致地方文献散佚严重，进一步削弱了其文化传承与自我表达的能力，加剧了文化上的边缘化。</w:t>
      </w:r>
    </w:p>
    <w:p w14:paraId="1D2A88D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种差距在经济模式上形成了截然不同的路径依赖。浙北的科举世家将政治特权直接转化为经济垄断。例如，绍兴谢氏家族控制了曹娥江的盐运命脉，宁波丰氏家族则把持着沿海渔业；举人功名本身就能为家族带来可观的赋役优免特权。这种依赖政治特权获取经济优势的模式，也抑制了更具创新性和冒险精神的经济活动。而浙南地区，恰恰因为缺乏强有力的士绅阶层来平衡地方势力，土地兼并现象更为剧烈，社会矛盾尖锐，嘉靖朝之后矿工暴动频发，陷入“经济贫困-无力投入教育-科举无望-社会动荡加剧”的恶性循环。</w:t>
      </w:r>
    </w:p>
    <w:p w14:paraId="0BCF413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这些由科举实力悬殊所引发的社会影响——地方治理的利益固化、底层上升无望的不满积聚与文化传承断裂、经济模式的路径依赖与区域发展差异——相互交织，深刻塑造了明代浙江乃至整个江南地区的社会结构与发展轨迹。</w:t>
      </w:r>
    </w:p>
    <w:p w14:paraId="458B15C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四、结语</w:t>
      </w:r>
    </w:p>
    <w:p w14:paraId="4CEC2F0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明代浙江科举取士的地域分野，本质上是经济、文化、家族力量交织的结果。浙北依托太湖流域与宁绍平原的经济繁荣，构建了以书院为核心的教育网络，并借助科举世家的代际传承形成垄断性优势；而浙南受限于山区地理、资源匮乏与学术边缘化，难以突破结构性弱势。这种差异不仅体现为进士数量的悬殊，更深刻影响了地方治理模式——浙北乡绅通过科举功名掌控赋税、水利与司法，加剧社会不公；浙南则因缺乏士绅调和，陷入经济贫困与动荡的恶性循环。文化上，浙北的学术中心地位进一步虹吸资源，导致浙南文化传承断裂。</w:t>
      </w:r>
    </w:p>
    <w:p w14:paraId="706559F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研究揭示了科举制度在区域发展中的双刃剑效应：既为底层提供上升通道，又被世家大族异化为权力壁垒。未来可进一步探讨科举差异在清代的延续与演变，或对比其他省份（如江苏、福建）的地域模式，深化对科举制度与社会流动关系的理解。</w:t>
      </w:r>
    </w:p>
    <w:bookmarkEnd w:id="2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4">
    <w:p>
      <w:pPr>
        <w:spacing w:before="0" w:after="0"/>
      </w:pPr>
      <w:r>
        <w:separator/>
      </w:r>
    </w:p>
  </w:footnote>
  <w:footnote w:type="continuationSeparator" w:id="15">
    <w:p>
      <w:pPr>
        <w:spacing w:before="0" w:after="0"/>
      </w:pPr>
      <w:r>
        <w:continuationSeparator/>
      </w:r>
    </w:p>
  </w:footnote>
  <w:footnote w:id="0">
    <w:p w14:paraId="2A2DD28D">
      <w:pPr>
        <w:pStyle w:val="17"/>
        <w:snapToGrid w:val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footnoteRef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]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沈登苗.明清全国进士与人才的时空分布及其相互关系[J].中国文化研究,1999,(04):59-66+3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.</w:t>
      </w:r>
    </w:p>
  </w:footnote>
  <w:footnote w:id="1">
    <w:p w14:paraId="149A89FA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textAlignment w:val="auto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[2]王红春.明代浙江举人研究[D].华东师范大学,2007.</w:t>
      </w:r>
    </w:p>
  </w:footnote>
  <w:footnote w:id="2">
    <w:p w14:paraId="216AFD6B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textAlignment w:val="auto"/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3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]朱帅.论明代绍兴府余姚县科第蔚盛与地域社会[D].复旦大学,2010.</w:t>
      </w:r>
      <w:bookmarkStart w:id="3" w:name="_GoBack"/>
      <w:bookmarkEnd w:id="3"/>
    </w:p>
  </w:footnote>
  <w:footnote w:id="3">
    <w:p w14:paraId="5ED501F1">
      <w:pPr>
        <w:pStyle w:val="17"/>
        <w:snapToGrid w:val="0"/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4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]余焜.明代浙江地区书院发展情况考释[J].嘉兴学院学报,2017,29(02):51-55.</w:t>
      </w:r>
    </w:p>
  </w:footnote>
  <w:footnote w:id="4">
    <w:p w14:paraId="0B47DDC9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textAlignment w:val="auto"/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5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]朱帅.论明代绍兴府余姚县科第蔚盛与地域社会[D].复旦大学,2010.</w:t>
      </w:r>
    </w:p>
  </w:footnote>
  <w:footnote w:id="5">
    <w:p w14:paraId="4472BED3">
      <w:pPr>
        <w:pStyle w:val="17"/>
        <w:keepNext w:val="0"/>
        <w:keepLines w:val="0"/>
        <w:pageBreakBefore w:val="0"/>
        <w:widowControl/>
        <w:kinsoku/>
        <w:wordWrap/>
        <w:overflowPunct/>
        <w:topLinePunct w:val="0"/>
        <w:bidi w:val="0"/>
        <w:adjustRightInd/>
        <w:snapToGrid w:val="0"/>
        <w:textAlignment w:val="auto"/>
      </w:pP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[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6</w:t>
      </w:r>
      <w:r>
        <w:rPr>
          <w:rFonts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]张献忠.阳明心学、佛学对明中后期科举考试的影响[J].中国社会科学院研究生院学报,2012,(05):73.</w:t>
      </w:r>
    </w:p>
  </w:footnote>
  <w:footnote w:id="6">
    <w:p w14:paraId="33EFBAC9">
      <w:pPr>
        <w:pStyle w:val="17"/>
        <w:snapToGrid w:val="0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  <w:lang w:val="en-US" w:eastAsia="zh-CN"/>
        </w:rPr>
        <w:t>[7]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4"/>
          <w:szCs w:val="14"/>
          <w:shd w:val="clear" w:fill="FFFFFF"/>
        </w:rPr>
        <w:t>余焜.明代浙江地区书院发展情况考释[J].嘉兴学院学报,2017,29(02):51-55.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14"/>
    <w:footnote w:id="15"/>
  </w:foot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7543823"/>
    <w:rsid w:val="103A1CD6"/>
    <w:rsid w:val="239126D8"/>
    <w:rsid w:val="2598497E"/>
    <w:rsid w:val="360F4A7E"/>
    <w:rsid w:val="560B3728"/>
    <w:rsid w:val="6A37347A"/>
    <w:rsid w:val="6C196368"/>
    <w:rsid w:val="75D45A02"/>
    <w:rsid w:val="7FBB5F1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21">
    <w:name w:val="Hyperlink"/>
    <w:basedOn w:val="22"/>
    <w:qFormat/>
    <w:uiPriority w:val="0"/>
    <w:rPr>
      <w:color w:val="4F81BD" w:themeColor="accent1"/>
    </w:rPr>
  </w:style>
  <w:style w:type="character" w:customStyle="1" w:styleId="22">
    <w:name w:val="Body Text Char"/>
    <w:basedOn w:val="20"/>
    <w:link w:val="3"/>
    <w:qFormat/>
    <w:uiPriority w:val="0"/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2"/>
    <w:qFormat/>
    <w:uiPriority w:val="0"/>
    <w:pPr>
      <w:keepNext/>
    </w:pPr>
  </w:style>
  <w:style w:type="paragraph" w:customStyle="1" w:styleId="35">
    <w:name w:val="Image Caption"/>
    <w:basedOn w:val="12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shd w:val="clear" w:fill="F8F8F8"/>
      <w:wordWrap w:val="0"/>
    </w:pPr>
  </w:style>
  <w:style w:type="character" w:customStyle="1" w:styleId="40">
    <w:name w:val="Section Number"/>
    <w:basedOn w:val="22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8"/>
    <w:qFormat/>
    <w:uiPriority w:val="0"/>
    <w:rPr>
      <w:b/>
      <w:color w:val="204A87"/>
      <w:shd w:val="clear" w:fill="F8F8F8"/>
    </w:rPr>
  </w:style>
  <w:style w:type="character" w:customStyle="1" w:styleId="43">
    <w:name w:val="DataTypeTok"/>
    <w:basedOn w:val="38"/>
    <w:qFormat/>
    <w:uiPriority w:val="0"/>
    <w:rPr>
      <w:color w:val="204A87"/>
      <w:shd w:val="clear" w:fill="F8F8F8"/>
    </w:rPr>
  </w:style>
  <w:style w:type="character" w:customStyle="1" w:styleId="44">
    <w:name w:val="DecValTok"/>
    <w:basedOn w:val="38"/>
    <w:qFormat/>
    <w:uiPriority w:val="0"/>
    <w:rPr>
      <w:color w:val="0000CF"/>
      <w:shd w:val="clear" w:fill="F8F8F8"/>
    </w:rPr>
  </w:style>
  <w:style w:type="character" w:customStyle="1" w:styleId="45">
    <w:name w:val="BaseNTok"/>
    <w:basedOn w:val="38"/>
    <w:qFormat/>
    <w:uiPriority w:val="0"/>
    <w:rPr>
      <w:color w:val="0000CF"/>
      <w:shd w:val="clear" w:fill="F8F8F8"/>
    </w:rPr>
  </w:style>
  <w:style w:type="character" w:customStyle="1" w:styleId="46">
    <w:name w:val="FloatTok"/>
    <w:basedOn w:val="38"/>
    <w:qFormat/>
    <w:uiPriority w:val="0"/>
    <w:rPr>
      <w:color w:val="0000CF"/>
      <w:shd w:val="clear" w:fill="F8F8F8"/>
    </w:rPr>
  </w:style>
  <w:style w:type="character" w:customStyle="1" w:styleId="47">
    <w:name w:val="ConstantTok"/>
    <w:basedOn w:val="38"/>
    <w:qFormat/>
    <w:uiPriority w:val="0"/>
    <w:rPr>
      <w:color w:val="8F5902"/>
      <w:shd w:val="clear" w:fill="F8F8F8"/>
    </w:rPr>
  </w:style>
  <w:style w:type="character" w:customStyle="1" w:styleId="48">
    <w:name w:val="CharTok"/>
    <w:basedOn w:val="38"/>
    <w:qFormat/>
    <w:uiPriority w:val="0"/>
    <w:rPr>
      <w:color w:val="4E9A06"/>
      <w:shd w:val="clear" w:fill="F8F8F8"/>
    </w:rPr>
  </w:style>
  <w:style w:type="character" w:customStyle="1" w:styleId="49">
    <w:name w:val="SpecialCharTok"/>
    <w:basedOn w:val="38"/>
    <w:qFormat/>
    <w:uiPriority w:val="0"/>
    <w:rPr>
      <w:b/>
      <w:color w:val="CE5C00"/>
      <w:shd w:val="clear" w:fill="F8F8F8"/>
    </w:rPr>
  </w:style>
  <w:style w:type="character" w:customStyle="1" w:styleId="50">
    <w:name w:val="StringTok"/>
    <w:basedOn w:val="38"/>
    <w:qFormat/>
    <w:uiPriority w:val="0"/>
    <w:rPr>
      <w:color w:val="4E9A06"/>
      <w:shd w:val="clear" w:fill="F8F8F8"/>
    </w:rPr>
  </w:style>
  <w:style w:type="character" w:customStyle="1" w:styleId="51">
    <w:name w:val="VerbatimStringTok"/>
    <w:basedOn w:val="38"/>
    <w:qFormat/>
    <w:uiPriority w:val="0"/>
    <w:rPr>
      <w:color w:val="4E9A06"/>
      <w:shd w:val="clear" w:fill="F8F8F8"/>
    </w:rPr>
  </w:style>
  <w:style w:type="character" w:customStyle="1" w:styleId="52">
    <w:name w:val="SpecialStringTok"/>
    <w:basedOn w:val="38"/>
    <w:qFormat/>
    <w:uiPriority w:val="0"/>
    <w:rPr>
      <w:color w:val="4E9A06"/>
      <w:shd w:val="clear" w:fill="F8F8F8"/>
    </w:rPr>
  </w:style>
  <w:style w:type="character" w:customStyle="1" w:styleId="53">
    <w:name w:val="ImportTok"/>
    <w:basedOn w:val="38"/>
    <w:qFormat/>
    <w:uiPriority w:val="0"/>
    <w:rPr>
      <w:shd w:val="clear" w:fill="F8F8F8"/>
    </w:rPr>
  </w:style>
  <w:style w:type="character" w:customStyle="1" w:styleId="54">
    <w:name w:val="CommentTok"/>
    <w:basedOn w:val="38"/>
    <w:qFormat/>
    <w:uiPriority w:val="0"/>
    <w:rPr>
      <w:i/>
      <w:color w:val="8F5902"/>
      <w:shd w:val="clear" w:fill="F8F8F8"/>
    </w:rPr>
  </w:style>
  <w:style w:type="character" w:customStyle="1" w:styleId="55">
    <w:name w:val="Documentation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56">
    <w:name w:val="Annotation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57">
    <w:name w:val="CommentVar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58">
    <w:name w:val="OtherTok"/>
    <w:basedOn w:val="38"/>
    <w:qFormat/>
    <w:uiPriority w:val="0"/>
    <w:rPr>
      <w:color w:val="8F5902"/>
      <w:shd w:val="clear" w:fill="F8F8F8"/>
    </w:rPr>
  </w:style>
  <w:style w:type="character" w:customStyle="1" w:styleId="59">
    <w:name w:val="FunctionTok"/>
    <w:basedOn w:val="38"/>
    <w:qFormat/>
    <w:uiPriority w:val="0"/>
    <w:rPr>
      <w:b/>
      <w:color w:val="204A87"/>
      <w:shd w:val="clear" w:fill="F8F8F8"/>
    </w:rPr>
  </w:style>
  <w:style w:type="character" w:customStyle="1" w:styleId="60">
    <w:name w:val="VariableTok"/>
    <w:basedOn w:val="38"/>
    <w:qFormat/>
    <w:uiPriority w:val="0"/>
    <w:rPr>
      <w:color w:val="000000"/>
      <w:shd w:val="clear" w:fill="F8F8F8"/>
    </w:rPr>
  </w:style>
  <w:style w:type="character" w:customStyle="1" w:styleId="61">
    <w:name w:val="ControlFlowTok"/>
    <w:basedOn w:val="38"/>
    <w:qFormat/>
    <w:uiPriority w:val="0"/>
    <w:rPr>
      <w:b/>
      <w:color w:val="204A87"/>
      <w:shd w:val="clear" w:fill="F8F8F8"/>
    </w:rPr>
  </w:style>
  <w:style w:type="character" w:customStyle="1" w:styleId="62">
    <w:name w:val="OperatorTok"/>
    <w:basedOn w:val="38"/>
    <w:qFormat/>
    <w:uiPriority w:val="0"/>
    <w:rPr>
      <w:b/>
      <w:color w:val="CE5C00"/>
      <w:shd w:val="clear" w:fill="F8F8F8"/>
    </w:rPr>
  </w:style>
  <w:style w:type="character" w:customStyle="1" w:styleId="63">
    <w:name w:val="BuiltInTok"/>
    <w:basedOn w:val="38"/>
    <w:qFormat/>
    <w:uiPriority w:val="0"/>
    <w:rPr>
      <w:shd w:val="clear" w:fill="F8F8F8"/>
    </w:rPr>
  </w:style>
  <w:style w:type="character" w:customStyle="1" w:styleId="64">
    <w:name w:val="ExtensionTok"/>
    <w:basedOn w:val="38"/>
    <w:qFormat/>
    <w:uiPriority w:val="0"/>
    <w:rPr>
      <w:shd w:val="clear" w:fill="F8F8F8"/>
    </w:rPr>
  </w:style>
  <w:style w:type="character" w:customStyle="1" w:styleId="65">
    <w:name w:val="PreprocessorTok"/>
    <w:basedOn w:val="38"/>
    <w:qFormat/>
    <w:uiPriority w:val="0"/>
    <w:rPr>
      <w:i/>
      <w:color w:val="8F5902"/>
      <w:shd w:val="clear" w:fill="F8F8F8"/>
    </w:rPr>
  </w:style>
  <w:style w:type="character" w:customStyle="1" w:styleId="66">
    <w:name w:val="AttributeTok"/>
    <w:basedOn w:val="38"/>
    <w:qFormat/>
    <w:uiPriority w:val="0"/>
    <w:rPr>
      <w:color w:val="204A87"/>
      <w:shd w:val="clear" w:fill="F8F8F8"/>
    </w:rPr>
  </w:style>
  <w:style w:type="character" w:customStyle="1" w:styleId="67">
    <w:name w:val="RegionMarkerTok"/>
    <w:basedOn w:val="38"/>
    <w:qFormat/>
    <w:uiPriority w:val="0"/>
    <w:rPr>
      <w:shd w:val="clear" w:fill="F8F8F8"/>
    </w:rPr>
  </w:style>
  <w:style w:type="character" w:customStyle="1" w:styleId="68">
    <w:name w:val="Information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69">
    <w:name w:val="WarningTok"/>
    <w:basedOn w:val="38"/>
    <w:qFormat/>
    <w:uiPriority w:val="0"/>
    <w:rPr>
      <w:b/>
      <w:i/>
      <w:color w:val="8F5902"/>
      <w:shd w:val="clear" w:fill="F8F8F8"/>
    </w:rPr>
  </w:style>
  <w:style w:type="character" w:customStyle="1" w:styleId="70">
    <w:name w:val="AlertTok"/>
    <w:basedOn w:val="38"/>
    <w:qFormat/>
    <w:uiPriority w:val="0"/>
    <w:rPr>
      <w:color w:val="EF2929"/>
      <w:shd w:val="clear" w:fill="F8F8F8"/>
    </w:rPr>
  </w:style>
  <w:style w:type="character" w:customStyle="1" w:styleId="71">
    <w:name w:val="ErrorTok"/>
    <w:basedOn w:val="38"/>
    <w:qFormat/>
    <w:uiPriority w:val="0"/>
    <w:rPr>
      <w:b/>
      <w:color w:val="A40000"/>
      <w:shd w:val="clear" w:fill="F8F8F8"/>
    </w:rPr>
  </w:style>
  <w:style w:type="character" w:customStyle="1" w:styleId="72">
    <w:name w:val="NormalTok"/>
    <w:basedOn w:val="38"/>
    <w:qFormat/>
    <w:uiPriority w:val="0"/>
    <w:rPr>
      <w:shd w:val="clear" w:fill="F8F8F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4913</Words>
  <Characters>5016</Characters>
  <Lines>12</Lines>
  <Paragraphs>8</Paragraphs>
  <TotalTime>40</TotalTime>
  <ScaleCrop>false</ScaleCrop>
  <LinksUpToDate>false</LinksUpToDate>
  <CharactersWithSpaces>5017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2025-06-02T09:54:00Z</dcterms:created>
  <dc:creator>王瑞</dc:creator>
  <cp:lastModifiedBy>王瑞</cp:lastModifiedBy>
  <dcterms:modified xsi:type="dcterms:W3CDTF">2025-06-04T12:08:12Z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eyJoZGlkIjoiNGQ5ZWU1MWIwYTYwNjhhYTI3OGZmN2E3Y2RlNjUzYmMiLCJ1c2VySWQiOiIxNjM5NDcxNzAxIn0=</vt:lpwstr>
  </property>
  <property fmtid="{D5CDD505-2E9C-101B-9397-08002B2CF9AE}" pid="3" name="KSOProductBuildVer">
    <vt:lpwstr>2052-12.1.0.19770</vt:lpwstr>
  </property>
  <property fmtid="{D5CDD505-2E9C-101B-9397-08002B2CF9AE}" pid="4" name="ICV">
    <vt:lpwstr>BC4A3B16F1D04EFAADC7D70438408A22_12</vt:lpwstr>
  </property>
</Properties>
</file>