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EB941">
      <w:pPr>
        <w:pageBreakBefore w:val="0"/>
        <w:wordWrap/>
        <w:spacing w:before="0" w:after="380" w:line="360" w:lineRule="auto"/>
        <w:ind w:left="0" w:right="0"/>
        <w:jc w:val="both"/>
        <w:textAlignment w:val="auto"/>
        <w:rPr>
          <w:sz w:val="52"/>
        </w:rPr>
      </w:pPr>
      <w:bookmarkStart w:id="0" w:name="1111-2222-34"/>
      <w:bookmarkEnd w:id="0"/>
      <w:bookmarkStart w:id="1" w:name="1111-2222-35"/>
      <w:bookmarkEnd w:id="1"/>
      <w:bookmarkStart w:id="2" w:name="1111-2222-32"/>
      <w:bookmarkEnd w:id="2"/>
      <w:bookmarkStart w:id="3" w:name="1111-2222-36"/>
      <w:bookmarkEnd w:id="3"/>
      <w:bookmarkStart w:id="4" w:name="1111-2222-33"/>
      <w:bookmarkEnd w:id="4"/>
    </w:p>
    <w:p w14:paraId="25FA39CF">
      <w:pPr>
        <w:pageBreakBefore w:val="0"/>
        <w:wordWrap/>
        <w:spacing w:before="0" w:after="0" w:line="360" w:lineRule="auto"/>
        <w:ind w:left="0" w:right="0"/>
        <w:jc w:val="center"/>
        <w:textAlignment w:val="auto"/>
        <w:rPr>
          <w:sz w:val="44"/>
        </w:rPr>
      </w:pPr>
      <w:bookmarkStart w:id="5" w:name="1111-2222-38"/>
      <w:bookmarkEnd w:id="5"/>
    </w:p>
    <w:p w14:paraId="0269C4D5">
      <w:pPr>
        <w:pageBreakBefore w:val="0"/>
        <w:wordWrap/>
        <w:spacing w:before="0" w:after="320" w:line="360" w:lineRule="auto"/>
        <w:ind w:left="0" w:right="0"/>
        <w:jc w:val="center"/>
        <w:textAlignment w:val="auto"/>
        <w:rPr>
          <w:sz w:val="44"/>
        </w:rPr>
      </w:pPr>
      <w:bookmarkStart w:id="6" w:name="1111-2222-39"/>
      <w:r>
        <w:rPr>
          <w:rFonts w:ascii="黑体" w:hAnsi="黑体" w:eastAsia="黑体" w:cs="黑体"/>
          <w:b w:val="0"/>
          <w:i w:val="0"/>
          <w:spacing w:val="30"/>
          <w:sz w:val="44"/>
        </w:rPr>
        <w:t>从“白蜡明经”典故看科举制度对士人价值观的塑造</w:t>
      </w:r>
      <w:bookmarkEnd w:id="6"/>
    </w:p>
    <w:p w14:paraId="5BB3504A">
      <w:pPr>
        <w:pageBreakBefore w:val="0"/>
        <w:wordWrap/>
        <w:spacing w:before="0" w:after="0" w:line="240" w:lineRule="auto"/>
        <w:ind w:left="0" w:right="0"/>
        <w:jc w:val="both"/>
        <w:textAlignment w:val="auto"/>
        <w:rPr>
          <w:sz w:val="21"/>
        </w:rPr>
      </w:pPr>
      <w:bookmarkStart w:id="7" w:name="1111-2222-40"/>
      <w:bookmarkEnd w:id="7"/>
    </w:p>
    <w:p w14:paraId="5A8B294C">
      <w:pPr>
        <w:pageBreakBefore w:val="0"/>
        <w:wordWrap/>
        <w:spacing w:before="0" w:after="0" w:line="240" w:lineRule="auto"/>
        <w:ind w:left="0" w:right="0"/>
        <w:jc w:val="both"/>
        <w:textAlignment w:val="auto"/>
        <w:rPr>
          <w:sz w:val="21"/>
        </w:rPr>
      </w:pPr>
      <w:bookmarkStart w:id="8" w:name="1111-2222-41"/>
      <w:bookmarkEnd w:id="8"/>
    </w:p>
    <w:p w14:paraId="250E8916">
      <w:pPr>
        <w:pageBreakBefore w:val="0"/>
        <w:wordWrap/>
        <w:spacing w:before="0" w:after="0" w:line="240" w:lineRule="auto"/>
        <w:ind w:left="0" w:right="0"/>
        <w:jc w:val="both"/>
        <w:textAlignment w:val="auto"/>
        <w:rPr>
          <w:sz w:val="21"/>
        </w:rPr>
      </w:pPr>
      <w:bookmarkStart w:id="9" w:name="1111-2222-42"/>
      <w:bookmarkEnd w:id="9"/>
    </w:p>
    <w:p w14:paraId="7338795F">
      <w:pPr>
        <w:pageBreakBefore w:val="0"/>
        <w:wordWrap/>
        <w:spacing w:before="0" w:after="0" w:line="240" w:lineRule="auto"/>
        <w:ind w:left="0" w:right="0"/>
        <w:jc w:val="both"/>
        <w:textAlignment w:val="auto"/>
        <w:rPr>
          <w:sz w:val="21"/>
        </w:rPr>
      </w:pPr>
      <w:bookmarkStart w:id="10" w:name="1111-2222-43"/>
      <w:bookmarkEnd w:id="10"/>
    </w:p>
    <w:p w14:paraId="6F49845B">
      <w:pPr>
        <w:pageBreakBefore w:val="0"/>
        <w:wordWrap/>
        <w:spacing w:before="0" w:after="0" w:line="240" w:lineRule="auto"/>
        <w:ind w:left="0" w:right="0"/>
        <w:jc w:val="both"/>
        <w:textAlignment w:val="auto"/>
        <w:rPr>
          <w:sz w:val="21"/>
        </w:rPr>
      </w:pPr>
      <w:bookmarkStart w:id="11" w:name="1111-2222-44"/>
      <w:bookmarkEnd w:id="11"/>
    </w:p>
    <w:p w14:paraId="489A5C5A">
      <w:pPr>
        <w:pageBreakBefore w:val="0"/>
        <w:wordWrap/>
        <w:spacing w:before="0" w:after="0" w:line="240" w:lineRule="auto"/>
        <w:ind w:left="0" w:right="0"/>
        <w:jc w:val="both"/>
        <w:textAlignment w:val="auto"/>
        <w:rPr>
          <w:sz w:val="21"/>
        </w:rPr>
      </w:pPr>
      <w:bookmarkStart w:id="12" w:name="1111-2222-45"/>
      <w:bookmarkEnd w:id="12"/>
    </w:p>
    <w:p w14:paraId="546A5BDF">
      <w:pPr>
        <w:pageBreakBefore w:val="0"/>
        <w:wordWrap/>
        <w:spacing w:before="0" w:after="0" w:line="360" w:lineRule="auto"/>
        <w:ind w:left="0" w:right="0" w:firstLine="1200"/>
        <w:jc w:val="left"/>
        <w:textAlignment w:val="auto"/>
        <w:rPr>
          <w:sz w:val="30"/>
        </w:rPr>
      </w:pPr>
      <w:bookmarkStart w:id="13" w:name="1111-2222-46"/>
      <w:r>
        <w:rPr>
          <w:rFonts w:ascii="宋体" w:hAnsi="宋体" w:eastAsia="宋体" w:cs="宋体"/>
          <w:b/>
          <w:i w:val="0"/>
          <w:spacing w:val="600"/>
          <w:sz w:val="30"/>
        </w:rPr>
        <w:t>专</w:t>
      </w:r>
      <w:r>
        <w:rPr>
          <w:rFonts w:ascii="宋体" w:hAnsi="宋体" w:eastAsia="宋体" w:cs="宋体"/>
          <w:b/>
          <w:i w:val="0"/>
          <w:spacing w:val="0"/>
          <w:sz w:val="30"/>
        </w:rPr>
        <w:t xml:space="preserve">业: </w:t>
      </w:r>
      <w:r>
        <w:rPr>
          <w:rFonts w:ascii="宋体" w:hAnsi="宋体" w:eastAsia="宋体" w:cs="宋体"/>
          <w:b/>
          <w:i w:val="0"/>
          <w:spacing w:val="60"/>
          <w:sz w:val="30"/>
          <w:u w:val="single"/>
        </w:rPr>
        <w:t xml:space="preserve">        </w:t>
      </w:r>
      <w:r>
        <w:rPr>
          <w:rFonts w:hint="eastAsia" w:ascii="宋体" w:hAnsi="宋体" w:eastAsia="宋体" w:cs="宋体"/>
          <w:b/>
          <w:i w:val="0"/>
          <w:spacing w:val="60"/>
          <w:sz w:val="30"/>
          <w:u w:val="single"/>
          <w:lang w:val="en-US" w:eastAsia="zh-CN"/>
        </w:rPr>
        <w:t>信息工程</w:t>
      </w:r>
      <w:r>
        <w:rPr>
          <w:rFonts w:ascii="宋体" w:hAnsi="宋体" w:eastAsia="宋体" w:cs="宋体"/>
          <w:b/>
          <w:i w:val="0"/>
          <w:spacing w:val="60"/>
          <w:sz w:val="30"/>
          <w:u w:val="single"/>
        </w:rPr>
        <w:t xml:space="preserve">         </w:t>
      </w:r>
      <w:bookmarkEnd w:id="13"/>
    </w:p>
    <w:p w14:paraId="5DD5D00C">
      <w:pPr>
        <w:pageBreakBefore w:val="0"/>
        <w:wordWrap/>
        <w:spacing w:before="0" w:after="0" w:line="360" w:lineRule="auto"/>
        <w:ind w:left="0" w:right="0" w:firstLine="1200"/>
        <w:jc w:val="left"/>
        <w:textAlignment w:val="auto"/>
        <w:rPr>
          <w:sz w:val="30"/>
        </w:rPr>
      </w:pPr>
      <w:bookmarkStart w:id="14" w:name="1111-2222-48"/>
      <w:r>
        <w:rPr>
          <w:rFonts w:ascii="宋体" w:hAnsi="宋体" w:eastAsia="宋体" w:cs="宋体"/>
          <w:b/>
          <w:i w:val="0"/>
          <w:spacing w:val="600"/>
          <w:sz w:val="30"/>
        </w:rPr>
        <w:t>姓</w:t>
      </w:r>
      <w:r>
        <w:rPr>
          <w:rFonts w:ascii="宋体" w:hAnsi="宋体" w:eastAsia="宋体" w:cs="宋体"/>
          <w:b/>
          <w:i w:val="0"/>
          <w:spacing w:val="0"/>
          <w:sz w:val="30"/>
        </w:rPr>
        <w:t xml:space="preserve">名: </w:t>
      </w:r>
      <w:r>
        <w:rPr>
          <w:rFonts w:ascii="宋体" w:hAnsi="宋体" w:eastAsia="宋体" w:cs="宋体"/>
          <w:b/>
          <w:i w:val="0"/>
          <w:spacing w:val="60"/>
          <w:sz w:val="30"/>
          <w:u w:val="single"/>
        </w:rPr>
        <w:t xml:space="preserve">                  </w:t>
      </w:r>
      <w:bookmarkEnd w:id="14"/>
    </w:p>
    <w:p w14:paraId="518C7E09">
      <w:pPr>
        <w:pageBreakBefore w:val="0"/>
        <w:wordWrap/>
        <w:spacing w:before="0" w:after="0" w:line="360" w:lineRule="auto"/>
        <w:ind w:left="0" w:right="0" w:firstLine="1200"/>
        <w:jc w:val="left"/>
        <w:textAlignment w:val="auto"/>
        <w:rPr>
          <w:sz w:val="30"/>
        </w:rPr>
      </w:pPr>
      <w:bookmarkStart w:id="15" w:name="1111-2222-49"/>
      <w:r>
        <w:rPr>
          <w:rFonts w:ascii="宋体" w:hAnsi="宋体" w:eastAsia="宋体" w:cs="宋体"/>
          <w:b/>
          <w:i w:val="0"/>
          <w:spacing w:val="600"/>
          <w:sz w:val="30"/>
        </w:rPr>
        <w:t>学</w:t>
      </w:r>
      <w:r>
        <w:rPr>
          <w:rFonts w:ascii="宋体" w:hAnsi="宋体" w:eastAsia="宋体" w:cs="宋体"/>
          <w:b/>
          <w:i w:val="0"/>
          <w:spacing w:val="0"/>
          <w:sz w:val="30"/>
        </w:rPr>
        <w:t xml:space="preserve">号: </w:t>
      </w:r>
      <w:r>
        <w:rPr>
          <w:rFonts w:ascii="宋体" w:hAnsi="宋体" w:eastAsia="宋体" w:cs="宋体"/>
          <w:b/>
          <w:i w:val="0"/>
          <w:spacing w:val="60"/>
          <w:sz w:val="30"/>
          <w:u w:val="single"/>
        </w:rPr>
        <w:t xml:space="preserve">       </w:t>
      </w:r>
      <w:bookmarkStart w:id="86" w:name="_GoBack"/>
      <w:bookmarkEnd w:id="86"/>
      <w:r>
        <w:rPr>
          <w:rFonts w:ascii="宋体" w:hAnsi="宋体" w:eastAsia="宋体" w:cs="宋体"/>
          <w:b/>
          <w:i w:val="0"/>
          <w:spacing w:val="60"/>
          <w:sz w:val="30"/>
          <w:u w:val="single"/>
        </w:rPr>
        <w:t xml:space="preserve">       </w:t>
      </w:r>
      <w:bookmarkEnd w:id="15"/>
    </w:p>
    <w:p w14:paraId="595FEE04">
      <w:pPr>
        <w:pageBreakBefore w:val="0"/>
        <w:wordWrap/>
        <w:spacing w:before="0" w:after="0" w:line="240" w:lineRule="auto"/>
        <w:ind w:left="0" w:right="0"/>
        <w:jc w:val="both"/>
        <w:textAlignment w:val="auto"/>
        <w:rPr>
          <w:sz w:val="21"/>
        </w:rPr>
      </w:pPr>
      <w:bookmarkStart w:id="16" w:name="1111-2222-51"/>
      <w:bookmarkEnd w:id="16"/>
    </w:p>
    <w:p w14:paraId="2509BEF6">
      <w:pPr>
        <w:pageBreakBefore w:val="0"/>
        <w:wordWrap/>
        <w:spacing w:before="0" w:after="0" w:line="240" w:lineRule="auto"/>
        <w:ind w:left="0" w:right="0"/>
        <w:jc w:val="both"/>
        <w:textAlignment w:val="auto"/>
        <w:rPr>
          <w:sz w:val="21"/>
        </w:rPr>
      </w:pPr>
      <w:bookmarkStart w:id="17" w:name="1111-2222-52"/>
      <w:bookmarkEnd w:id="17"/>
    </w:p>
    <w:p w14:paraId="1EBC349B">
      <w:pPr>
        <w:pageBreakBefore w:val="0"/>
        <w:wordWrap/>
        <w:spacing w:before="0" w:after="0" w:line="240" w:lineRule="auto"/>
        <w:ind w:left="0" w:right="0"/>
        <w:jc w:val="both"/>
        <w:textAlignment w:val="auto"/>
        <w:rPr>
          <w:sz w:val="21"/>
        </w:rPr>
      </w:pPr>
      <w:bookmarkStart w:id="18" w:name="1111-2222-53"/>
      <w:bookmarkEnd w:id="18"/>
    </w:p>
    <w:p w14:paraId="1F0962BC">
      <w:pPr>
        <w:pageBreakBefore w:val="0"/>
        <w:wordWrap/>
        <w:spacing w:before="0" w:after="0" w:line="240" w:lineRule="auto"/>
        <w:ind w:left="0" w:right="0"/>
        <w:jc w:val="both"/>
        <w:textAlignment w:val="auto"/>
        <w:rPr>
          <w:sz w:val="21"/>
        </w:rPr>
      </w:pPr>
      <w:bookmarkStart w:id="19" w:name="1111-2222-54"/>
      <w:bookmarkEnd w:id="19"/>
    </w:p>
    <w:p w14:paraId="13B2DB05">
      <w:pPr>
        <w:pageBreakBefore w:val="0"/>
        <w:wordWrap/>
        <w:spacing w:before="0" w:after="0" w:line="240" w:lineRule="auto"/>
        <w:ind w:left="0" w:right="0"/>
        <w:jc w:val="both"/>
        <w:textAlignment w:val="auto"/>
        <w:rPr>
          <w:sz w:val="21"/>
        </w:rPr>
      </w:pPr>
      <w:bookmarkStart w:id="20" w:name="1111-2222-55"/>
      <w:bookmarkEnd w:id="20"/>
    </w:p>
    <w:p w14:paraId="1560EF10">
      <w:pPr>
        <w:pageBreakBefore w:val="0"/>
        <w:wordWrap/>
        <w:spacing w:before="0" w:after="0" w:line="360" w:lineRule="auto"/>
        <w:ind w:left="0" w:right="0"/>
        <w:jc w:val="both"/>
        <w:textAlignment w:val="auto"/>
        <w:rPr>
          <w:sz w:val="30"/>
        </w:rPr>
        <w:sectPr>
          <w:footerReference r:id="rId3" w:type="default"/>
          <w:pgSz w:w="11900" w:h="16840"/>
          <w:pgMar w:top="1440" w:right="1800" w:bottom="1440" w:left="1800" w:header="860" w:footer="1000" w:gutter="0"/>
          <w:cols w:space="720" w:num="1"/>
        </w:sectPr>
      </w:pPr>
    </w:p>
    <w:p w14:paraId="282AEB82">
      <w:pPr>
        <w:pageBreakBefore/>
        <w:wordWrap/>
        <w:spacing w:before="0" w:after="0" w:line="360" w:lineRule="auto"/>
        <w:ind w:left="0" w:right="0"/>
        <w:jc w:val="center"/>
        <w:textAlignment w:val="auto"/>
        <w:outlineLvl w:val="1"/>
        <w:rPr>
          <w:sz w:val="32"/>
        </w:rPr>
      </w:pPr>
      <w:bookmarkStart w:id="21" w:name="a013a9f2-3b31-4c33-9083-129a59fba781"/>
      <w:r>
        <w:rPr>
          <w:rFonts w:ascii="黑体" w:hAnsi="黑体" w:eastAsia="黑体" w:cs="黑体"/>
          <w:b w:val="0"/>
          <w:i w:val="0"/>
          <w:spacing w:val="0"/>
          <w:sz w:val="32"/>
        </w:rPr>
        <w:t>摘要</w:t>
      </w:r>
      <w:bookmarkEnd w:id="21"/>
    </w:p>
    <w:p w14:paraId="00FAA572">
      <w:pPr>
        <w:pageBreakBefore w:val="0"/>
        <w:wordWrap/>
        <w:spacing w:before="0" w:after="0" w:line="360" w:lineRule="auto"/>
        <w:ind w:left="0" w:right="0" w:firstLine="480"/>
        <w:jc w:val="both"/>
        <w:textAlignment w:val="auto"/>
        <w:rPr>
          <w:sz w:val="24"/>
        </w:rPr>
      </w:pPr>
      <w:bookmarkStart w:id="22" w:name="625436d8-c5e5-4d32-93ca-82ba94587b98"/>
      <w:r>
        <w:rPr>
          <w:rFonts w:ascii="宋体" w:hAnsi="宋体" w:eastAsia="宋体" w:cs="宋体"/>
          <w:b w:val="0"/>
          <w:i w:val="0"/>
          <w:spacing w:val="0"/>
          <w:sz w:val="24"/>
        </w:rPr>
        <w:t>本研究旨在深入剖析“白蜡明经”这一典故，通过梳理其来龙去脉，揭示科举制度对士人价值观的塑造作用。研究发现，“白蜡明经”典故深刻反映了科举制度下读书人的功利心态，科举制度的规则与导向催生了这种心态，而功利心态又反作用于科举制度，对其实施效果与社会影响产生诸多负面效应。同时，科举制度通过考试内容与评价标准等，对士人的思想观念与行为方式进行了塑造，进而影响了社会文化与政治生态。本研究为深入理解科举制度及古代士人文化提供了新的视角与依据。</w:t>
      </w:r>
      <w:bookmarkEnd w:id="22"/>
    </w:p>
    <w:p w14:paraId="4228CDA2">
      <w:pPr>
        <w:pageBreakBefore w:val="0"/>
        <w:wordWrap/>
        <w:spacing w:before="0" w:after="0" w:line="360" w:lineRule="auto"/>
        <w:ind w:left="0" w:right="0"/>
        <w:jc w:val="both"/>
        <w:textAlignment w:val="auto"/>
        <w:rPr>
          <w:sz w:val="24"/>
        </w:rPr>
      </w:pPr>
      <w:bookmarkStart w:id="23" w:name="8b19e8ba-6c0a-4390-9515-6d49181b1ebb"/>
      <w:r>
        <w:rPr>
          <w:rFonts w:ascii="黑体" w:hAnsi="黑体" w:eastAsia="黑体" w:cs="黑体"/>
          <w:b w:val="0"/>
          <w:i w:val="0"/>
          <w:spacing w:val="0"/>
          <w:sz w:val="24"/>
        </w:rPr>
        <w:t>关键词</w:t>
      </w:r>
      <w:bookmarkEnd w:id="23"/>
    </w:p>
    <w:p w14:paraId="2B96B819">
      <w:pPr>
        <w:pageBreakBefore w:val="0"/>
        <w:wordWrap/>
        <w:spacing w:before="0" w:after="0" w:line="360" w:lineRule="auto"/>
        <w:ind w:left="0" w:right="0"/>
        <w:jc w:val="both"/>
        <w:textAlignment w:val="auto"/>
        <w:rPr>
          <w:sz w:val="24"/>
        </w:rPr>
      </w:pPr>
      <w:bookmarkStart w:id="24" w:name="a32f42fb-83aa-4984-b201-7cc67f1d5b69"/>
      <w:r>
        <w:rPr>
          <w:rFonts w:ascii="宋体" w:hAnsi="宋体" w:eastAsia="宋体" w:cs="宋体"/>
          <w:b w:val="0"/>
          <w:i w:val="0"/>
          <w:spacing w:val="0"/>
          <w:sz w:val="24"/>
        </w:rPr>
        <w:t>白蜡明经；科举制度；士人价值观；功利心态</w:t>
      </w:r>
      <w:bookmarkEnd w:id="24"/>
    </w:p>
    <w:p w14:paraId="02BEE262">
      <w:pPr>
        <w:pageBreakBefore/>
        <w:wordWrap/>
        <w:spacing w:before="0" w:after="0" w:line="360" w:lineRule="auto"/>
        <w:ind w:left="0" w:right="0"/>
        <w:jc w:val="center"/>
        <w:textAlignment w:val="auto"/>
        <w:outlineLvl w:val="1"/>
        <w:rPr>
          <w:sz w:val="28"/>
        </w:rPr>
      </w:pPr>
      <w:bookmarkStart w:id="25" w:name="597a0bbd-8cc4-4c3c-a80b-557e271ed768"/>
      <w:r>
        <w:rPr>
          <w:rFonts w:ascii="黑体" w:hAnsi="黑体" w:eastAsia="黑体" w:cs="黑体"/>
          <w:b w:val="0"/>
          <w:i w:val="0"/>
          <w:spacing w:val="0"/>
          <w:sz w:val="28"/>
        </w:rPr>
        <w:t>Abstract</w:t>
      </w:r>
      <w:bookmarkEnd w:id="25"/>
    </w:p>
    <w:p w14:paraId="6ADF4EFD">
      <w:pPr>
        <w:pageBreakBefore w:val="0"/>
        <w:wordWrap/>
        <w:spacing w:before="0" w:after="0" w:line="360" w:lineRule="auto"/>
        <w:ind w:left="0" w:right="0"/>
        <w:jc w:val="both"/>
        <w:textAlignment w:val="auto"/>
        <w:rPr>
          <w:rFonts w:hint="eastAsia" w:ascii="Times New Roman" w:hAnsi="Times New Roman" w:eastAsia="Times New Roman" w:cs="Times New Roman"/>
          <w:b w:val="0"/>
          <w:i w:val="0"/>
          <w:spacing w:val="0"/>
          <w:sz w:val="24"/>
        </w:rPr>
      </w:pPr>
      <w:bookmarkStart w:id="26" w:name="708295d9-eb87-4fd9-9f61-38a12f1d3807"/>
      <w:r>
        <w:rPr>
          <w:rFonts w:hint="eastAsia" w:ascii="Times New Roman" w:hAnsi="Times New Roman" w:eastAsia="Times New Roman" w:cs="Times New Roman"/>
          <w:b w:val="0"/>
          <w:i w:val="0"/>
          <w:spacing w:val="0"/>
          <w:sz w:val="24"/>
        </w:rPr>
        <w:t>This study aims to deeply analyze the allusion of "Baila Mingjing" and reveal the imperial examination system's role in shaping scholars' values by tracing its origin and evolution. Through historical literature analysis, the research demonstrates that the "Baila Mingjing" allusion profoundly reflects scholars' utilitarian mentality under the imperial examination system. The system's rules and orientation fostered such a mentality, which in turn negatively impacted the system's implementation and broader societal effects. Furthermore, the imperial examination system shaped scholars' ideologies and behaviors through its examination content and evaluation criteria, ultimately influencing social culture and political ecology. This research provides new perspectives and foundational insights for understanding the imperial examination system and the cultural dynamics of ancient scholars.</w:t>
      </w:r>
    </w:p>
    <w:p w14:paraId="4B75787B">
      <w:pPr>
        <w:pageBreakBefore w:val="0"/>
        <w:wordWrap/>
        <w:spacing w:before="0" w:after="0" w:line="360" w:lineRule="auto"/>
        <w:ind w:left="0" w:right="0"/>
        <w:jc w:val="both"/>
        <w:textAlignment w:val="auto"/>
        <w:rPr>
          <w:sz w:val="24"/>
        </w:rPr>
        <w:sectPr>
          <w:footerReference r:id="rId4" w:type="default"/>
          <w:pgSz w:w="11900" w:h="16840"/>
          <w:pgMar w:top="1440" w:right="1800" w:bottom="1440" w:left="1800" w:header="840" w:footer="980" w:gutter="0"/>
          <w:pgNumType w:start="1"/>
          <w:cols w:space="720" w:num="1"/>
        </w:sectPr>
      </w:pPr>
      <w:r>
        <w:rPr>
          <w:rFonts w:ascii="Times New Roman" w:hAnsi="Times New Roman" w:eastAsia="Times New Roman" w:cs="Times New Roman"/>
          <w:b w:val="0"/>
          <w:i w:val="0"/>
          <w:spacing w:val="0"/>
          <w:sz w:val="24"/>
        </w:rPr>
        <w:t>White Wax Ming Jing; Imperial Examination System; Scholars' Values; Utilitarian Mentality;</w:t>
      </w:r>
      <w:bookmarkEnd w:id="26"/>
    </w:p>
    <w:p w14:paraId="30C1E803">
      <w:pPr>
        <w:pageBreakBefore w:val="0"/>
        <w:wordWrap/>
        <w:spacing w:before="0" w:after="0" w:line="360" w:lineRule="auto"/>
        <w:ind w:left="0" w:right="0"/>
        <w:jc w:val="center"/>
        <w:textAlignment w:val="auto"/>
        <w:rPr>
          <w:sz w:val="28"/>
        </w:rPr>
      </w:pPr>
      <w:bookmarkStart w:id="27" w:name="4e0160f6f8b04dc0bcee427c1ce46858"/>
      <w:r>
        <w:rPr>
          <w:rFonts w:ascii="黑体" w:hAnsi="黑体" w:eastAsia="黑体" w:cs="黑体"/>
          <w:b w:val="0"/>
          <w:i w:val="0"/>
          <w:spacing w:val="0"/>
          <w:sz w:val="28"/>
        </w:rPr>
        <w:t>目  录</w:t>
      </w:r>
      <w:bookmarkEnd w:id="27"/>
    </w:p>
    <w:p w14:paraId="7EC67839">
      <w:pPr>
        <w:pageBreakBefore w:val="0"/>
        <w:wordWrap/>
        <w:spacing w:before="0" w:after="0" w:line="360" w:lineRule="auto"/>
        <w:ind w:left="0" w:right="0"/>
        <w:jc w:val="both"/>
        <w:textAlignment w:val="auto"/>
        <w:rPr>
          <w:sz w:val="21"/>
        </w:rPr>
      </w:pPr>
      <w:bookmarkStart w:id="28" w:name="83c60b49-c110-4d26-999b-99a57cfb3510"/>
      <w:r>
        <w:rPr>
          <w:rFonts w:ascii="宋体" w:hAnsi="宋体" w:eastAsia="宋体" w:cs="宋体"/>
          <w:b w:val="0"/>
          <w:i w:val="0"/>
          <w:spacing w:val="0"/>
          <w:sz w:val="21"/>
        </w:rPr>
        <w:t>摘要</w:t>
      </w:r>
      <w:bookmarkEnd w:id="28"/>
    </w:p>
    <w:p w14:paraId="080EE65A">
      <w:pPr>
        <w:pageBreakBefore w:val="0"/>
        <w:wordWrap/>
        <w:spacing w:before="0" w:after="0" w:line="360" w:lineRule="auto"/>
        <w:ind w:left="0" w:right="0" w:firstLine="420"/>
        <w:jc w:val="both"/>
        <w:textAlignment w:val="auto"/>
        <w:rPr>
          <w:sz w:val="21"/>
        </w:rPr>
      </w:pPr>
      <w:bookmarkStart w:id="29" w:name="11a66772-d3c6-4233-bd6b-7d4975fc59f7"/>
      <w:r>
        <w:rPr>
          <w:rFonts w:ascii="宋体" w:hAnsi="宋体" w:eastAsia="宋体" w:cs="宋体"/>
          <w:b w:val="0"/>
          <w:i w:val="0"/>
          <w:spacing w:val="0"/>
          <w:sz w:val="21"/>
        </w:rPr>
        <w:t>关键词</w:t>
      </w:r>
      <w:bookmarkEnd w:id="29"/>
    </w:p>
    <w:p w14:paraId="37118275">
      <w:pPr>
        <w:pageBreakBefore w:val="0"/>
        <w:wordWrap/>
        <w:spacing w:before="0" w:after="0" w:line="360" w:lineRule="auto"/>
        <w:ind w:left="0" w:right="0"/>
        <w:jc w:val="both"/>
        <w:textAlignment w:val="auto"/>
        <w:rPr>
          <w:sz w:val="21"/>
        </w:rPr>
      </w:pPr>
      <w:bookmarkStart w:id="30" w:name="26226402-2a66-49d4-80b2-151cef116259"/>
      <w:r>
        <w:rPr>
          <w:rFonts w:ascii="宋体" w:hAnsi="宋体" w:eastAsia="宋体" w:cs="宋体"/>
          <w:b w:val="0"/>
          <w:i w:val="0"/>
          <w:spacing w:val="0"/>
          <w:sz w:val="21"/>
        </w:rPr>
        <w:t>Abstract</w:t>
      </w:r>
      <w:bookmarkEnd w:id="30"/>
    </w:p>
    <w:p w14:paraId="1C8207A9">
      <w:pPr>
        <w:pageBreakBefore w:val="0"/>
        <w:wordWrap/>
        <w:spacing w:before="0" w:after="0" w:line="360" w:lineRule="auto"/>
        <w:ind w:left="0" w:right="0" w:firstLine="420"/>
        <w:jc w:val="both"/>
        <w:textAlignment w:val="auto"/>
        <w:rPr>
          <w:sz w:val="21"/>
        </w:rPr>
      </w:pPr>
      <w:bookmarkStart w:id="31" w:name="55ed6dc7-3c27-477a-923d-eeb06ca6d2d3"/>
      <w:r>
        <w:rPr>
          <w:rFonts w:ascii="宋体" w:hAnsi="宋体" w:eastAsia="宋体" w:cs="宋体"/>
          <w:b w:val="0"/>
          <w:i w:val="0"/>
          <w:spacing w:val="0"/>
          <w:sz w:val="21"/>
        </w:rPr>
        <w:t>Keyword</w:t>
      </w:r>
      <w:bookmarkEnd w:id="31"/>
    </w:p>
    <w:p w14:paraId="7217896D">
      <w:pPr>
        <w:pageBreakBefore w:val="0"/>
        <w:wordWrap/>
        <w:spacing w:before="0" w:after="0" w:line="360" w:lineRule="auto"/>
        <w:ind w:left="0" w:right="0"/>
        <w:jc w:val="both"/>
        <w:textAlignment w:val="auto"/>
        <w:rPr>
          <w:sz w:val="21"/>
        </w:rPr>
      </w:pPr>
      <w:bookmarkStart w:id="32" w:name="5a033c17-9559-434d-83e4-357ed4883170"/>
      <w:r>
        <w:rPr>
          <w:rFonts w:ascii="宋体" w:hAnsi="宋体" w:eastAsia="宋体" w:cs="宋体"/>
          <w:b w:val="0"/>
          <w:i w:val="0"/>
          <w:spacing w:val="0"/>
          <w:sz w:val="21"/>
        </w:rPr>
        <w:t>1. 引言</w:t>
      </w:r>
      <w:bookmarkEnd w:id="32"/>
    </w:p>
    <w:p w14:paraId="4B090391">
      <w:pPr>
        <w:pageBreakBefore w:val="0"/>
        <w:wordWrap/>
        <w:spacing w:before="0" w:after="0" w:line="360" w:lineRule="auto"/>
        <w:ind w:left="0" w:right="0" w:firstLine="420"/>
        <w:jc w:val="both"/>
        <w:textAlignment w:val="auto"/>
        <w:rPr>
          <w:sz w:val="21"/>
        </w:rPr>
      </w:pPr>
      <w:bookmarkStart w:id="33" w:name="801631b3-a876-4599-bcb8-9db908a74b3a"/>
      <w:r>
        <w:rPr>
          <w:rFonts w:ascii="宋体" w:hAnsi="宋体" w:eastAsia="宋体" w:cs="宋体"/>
          <w:b w:val="0"/>
          <w:i w:val="0"/>
          <w:spacing w:val="0"/>
          <w:sz w:val="21"/>
        </w:rPr>
        <w:t>1.1 研究背景</w:t>
      </w:r>
      <w:bookmarkEnd w:id="33"/>
    </w:p>
    <w:p w14:paraId="23AA4B3B">
      <w:pPr>
        <w:pageBreakBefore w:val="0"/>
        <w:wordWrap/>
        <w:spacing w:before="0" w:after="0" w:line="360" w:lineRule="auto"/>
        <w:ind w:left="0" w:right="0" w:firstLine="420"/>
        <w:jc w:val="both"/>
        <w:textAlignment w:val="auto"/>
        <w:rPr>
          <w:sz w:val="21"/>
        </w:rPr>
      </w:pPr>
      <w:bookmarkStart w:id="34" w:name="f6c5b6e9-ce42-441f-b5aa-2821764b8f30"/>
      <w:r>
        <w:rPr>
          <w:rFonts w:ascii="宋体" w:hAnsi="宋体" w:eastAsia="宋体" w:cs="宋体"/>
          <w:b w:val="0"/>
          <w:i w:val="0"/>
          <w:spacing w:val="0"/>
          <w:sz w:val="21"/>
        </w:rPr>
        <w:t>1.2 问题提出</w:t>
      </w:r>
      <w:bookmarkEnd w:id="34"/>
    </w:p>
    <w:p w14:paraId="2F20B073">
      <w:pPr>
        <w:pageBreakBefore w:val="0"/>
        <w:wordWrap/>
        <w:spacing w:before="0" w:after="0" w:line="360" w:lineRule="auto"/>
        <w:ind w:left="0" w:right="0" w:firstLine="420"/>
        <w:jc w:val="both"/>
        <w:textAlignment w:val="auto"/>
        <w:rPr>
          <w:sz w:val="21"/>
        </w:rPr>
      </w:pPr>
      <w:bookmarkStart w:id="35" w:name="6aa58b11-1d16-4ca4-9cd6-e857e71ad761"/>
      <w:r>
        <w:rPr>
          <w:rFonts w:ascii="宋体" w:hAnsi="宋体" w:eastAsia="宋体" w:cs="宋体"/>
          <w:b w:val="0"/>
          <w:i w:val="0"/>
          <w:spacing w:val="0"/>
          <w:sz w:val="21"/>
        </w:rPr>
        <w:t>1.3 研究意义</w:t>
      </w:r>
      <w:bookmarkEnd w:id="35"/>
    </w:p>
    <w:p w14:paraId="33EA1A47">
      <w:pPr>
        <w:pageBreakBefore w:val="0"/>
        <w:wordWrap/>
        <w:spacing w:before="0" w:after="0" w:line="360" w:lineRule="auto"/>
        <w:ind w:left="0" w:right="0"/>
        <w:jc w:val="both"/>
        <w:textAlignment w:val="auto"/>
        <w:rPr>
          <w:sz w:val="21"/>
        </w:rPr>
      </w:pPr>
      <w:bookmarkStart w:id="36" w:name="0dd7ee63-39ad-4545-b43f-eed2ab271c16"/>
      <w:r>
        <w:rPr>
          <w:rFonts w:hint="eastAsia" w:ascii="宋体" w:hAnsi="宋体" w:eastAsia="宋体" w:cs="宋体"/>
          <w:b w:val="0"/>
          <w:i w:val="0"/>
          <w:spacing w:val="0"/>
          <w:sz w:val="21"/>
          <w:lang w:val="en-US" w:eastAsia="zh-CN"/>
        </w:rPr>
        <w:t>2</w:t>
      </w:r>
      <w:r>
        <w:rPr>
          <w:rFonts w:ascii="宋体" w:hAnsi="宋体" w:eastAsia="宋体" w:cs="宋体"/>
          <w:b w:val="0"/>
          <w:i w:val="0"/>
          <w:spacing w:val="0"/>
          <w:sz w:val="21"/>
        </w:rPr>
        <w:t>. “白蜡明经”典故的来龙去脉</w:t>
      </w:r>
      <w:bookmarkEnd w:id="36"/>
    </w:p>
    <w:p w14:paraId="2B3C6245">
      <w:pPr>
        <w:pageBreakBefore w:val="0"/>
        <w:wordWrap/>
        <w:spacing w:before="0" w:after="0" w:line="360" w:lineRule="auto"/>
        <w:ind w:left="0" w:right="0"/>
        <w:jc w:val="both"/>
        <w:textAlignment w:val="auto"/>
        <w:rPr>
          <w:sz w:val="21"/>
        </w:rPr>
      </w:pPr>
      <w:bookmarkStart w:id="37" w:name="6ba196ee-21ac-4cf7-a303-95c6e47ac3ef"/>
      <w:r>
        <w:rPr>
          <w:rFonts w:hint="eastAsia" w:ascii="宋体" w:hAnsi="宋体" w:eastAsia="宋体" w:cs="宋体"/>
          <w:b w:val="0"/>
          <w:i w:val="0"/>
          <w:spacing w:val="0"/>
          <w:sz w:val="21"/>
          <w:lang w:val="en-US" w:eastAsia="zh-CN"/>
        </w:rPr>
        <w:t>3</w:t>
      </w:r>
      <w:r>
        <w:rPr>
          <w:rFonts w:ascii="宋体" w:hAnsi="宋体" w:eastAsia="宋体" w:cs="宋体"/>
          <w:b w:val="0"/>
          <w:i w:val="0"/>
          <w:spacing w:val="0"/>
          <w:sz w:val="21"/>
        </w:rPr>
        <w:t>. “白蜡明经”典故与科举制度的联系</w:t>
      </w:r>
      <w:bookmarkEnd w:id="37"/>
    </w:p>
    <w:p w14:paraId="79624791">
      <w:pPr>
        <w:pageBreakBefore w:val="0"/>
        <w:wordWrap/>
        <w:spacing w:before="0" w:after="0" w:line="360" w:lineRule="auto"/>
        <w:ind w:left="0" w:right="0"/>
        <w:jc w:val="both"/>
        <w:textAlignment w:val="auto"/>
        <w:rPr>
          <w:sz w:val="21"/>
        </w:rPr>
      </w:pPr>
      <w:bookmarkStart w:id="38" w:name="9c0c8daf-725a-478e-9ee1-ca17cd9ae7aa"/>
      <w:r>
        <w:rPr>
          <w:rFonts w:hint="eastAsia" w:ascii="宋体" w:hAnsi="宋体" w:eastAsia="宋体" w:cs="宋体"/>
          <w:b w:val="0"/>
          <w:i w:val="0"/>
          <w:spacing w:val="0"/>
          <w:sz w:val="21"/>
          <w:lang w:val="en-US" w:eastAsia="zh-CN"/>
        </w:rPr>
        <w:t>4</w:t>
      </w:r>
      <w:r>
        <w:rPr>
          <w:rFonts w:ascii="宋体" w:hAnsi="宋体" w:eastAsia="宋体" w:cs="宋体"/>
          <w:b w:val="0"/>
          <w:i w:val="0"/>
          <w:spacing w:val="0"/>
          <w:sz w:val="21"/>
        </w:rPr>
        <w:t>. 以“白蜡明经”为切入点看科举制度对士人价值观的塑造</w:t>
      </w:r>
      <w:bookmarkEnd w:id="38"/>
    </w:p>
    <w:p w14:paraId="24EFE129">
      <w:pPr>
        <w:pageBreakBefore w:val="0"/>
        <w:wordWrap/>
        <w:spacing w:before="0" w:after="0" w:line="360" w:lineRule="auto"/>
        <w:ind w:left="0" w:right="0" w:firstLine="420"/>
        <w:jc w:val="both"/>
        <w:textAlignment w:val="auto"/>
        <w:rPr>
          <w:rFonts w:hint="default" w:eastAsia="宋体"/>
          <w:sz w:val="21"/>
          <w:lang w:val="en-US" w:eastAsia="zh-CN"/>
        </w:rPr>
      </w:pPr>
      <w:bookmarkStart w:id="39" w:name="473b2220-19ef-46a5-91b5-ef5c7e4e8eef"/>
      <w:r>
        <w:rPr>
          <w:rFonts w:hint="eastAsia" w:ascii="宋体" w:hAnsi="宋体" w:eastAsia="宋体" w:cs="宋体"/>
          <w:b w:val="0"/>
          <w:i w:val="0"/>
          <w:spacing w:val="0"/>
          <w:sz w:val="21"/>
          <w:lang w:val="en-US" w:eastAsia="zh-CN"/>
        </w:rPr>
        <w:t>4</w:t>
      </w:r>
      <w:r>
        <w:rPr>
          <w:rFonts w:ascii="宋体" w:hAnsi="宋体" w:eastAsia="宋体" w:cs="宋体"/>
          <w:b w:val="0"/>
          <w:i w:val="0"/>
          <w:spacing w:val="0"/>
          <w:sz w:val="21"/>
        </w:rPr>
        <w:t xml:space="preserve">.1 </w:t>
      </w:r>
      <w:bookmarkEnd w:id="39"/>
      <w:r>
        <w:rPr>
          <w:rFonts w:hint="eastAsia" w:ascii="宋体" w:hAnsi="宋体" w:eastAsia="宋体" w:cs="宋体"/>
          <w:b w:val="0"/>
          <w:i w:val="0"/>
          <w:spacing w:val="0"/>
          <w:sz w:val="21"/>
          <w:lang w:eastAsia="zh-CN"/>
        </w:rPr>
        <w:t>“</w:t>
      </w:r>
      <w:r>
        <w:rPr>
          <w:rFonts w:hint="eastAsia" w:ascii="宋体" w:hAnsi="宋体" w:eastAsia="宋体" w:cs="宋体"/>
          <w:b w:val="0"/>
          <w:i w:val="0"/>
          <w:spacing w:val="0"/>
          <w:sz w:val="21"/>
          <w:lang w:val="en-US" w:eastAsia="zh-CN"/>
        </w:rPr>
        <w:t>白蜡明经</w:t>
      </w:r>
      <w:r>
        <w:rPr>
          <w:rFonts w:hint="eastAsia" w:ascii="宋体" w:hAnsi="宋体" w:eastAsia="宋体" w:cs="宋体"/>
          <w:b w:val="0"/>
          <w:i w:val="0"/>
          <w:spacing w:val="0"/>
          <w:sz w:val="21"/>
          <w:lang w:eastAsia="zh-CN"/>
        </w:rPr>
        <w:t>”</w:t>
      </w:r>
      <w:r>
        <w:rPr>
          <w:rFonts w:hint="eastAsia" w:ascii="宋体" w:hAnsi="宋体" w:eastAsia="宋体" w:cs="宋体"/>
          <w:b w:val="0"/>
          <w:i w:val="0"/>
          <w:spacing w:val="0"/>
          <w:sz w:val="21"/>
          <w:lang w:val="en-US" w:eastAsia="zh-CN"/>
        </w:rPr>
        <w:t>与科举考核的形式主义困境</w:t>
      </w:r>
    </w:p>
    <w:p w14:paraId="4312DA4A">
      <w:pPr>
        <w:pageBreakBefore w:val="0"/>
        <w:wordWrap/>
        <w:spacing w:before="0" w:after="0" w:line="360" w:lineRule="auto"/>
        <w:ind w:left="0" w:right="0" w:firstLine="420"/>
        <w:jc w:val="both"/>
        <w:textAlignment w:val="auto"/>
        <w:rPr>
          <w:rFonts w:hint="eastAsia" w:ascii="宋体" w:hAnsi="宋体" w:eastAsia="宋体" w:cs="宋体"/>
          <w:b w:val="0"/>
          <w:i w:val="0"/>
          <w:spacing w:val="0"/>
          <w:sz w:val="21"/>
        </w:rPr>
      </w:pPr>
      <w:bookmarkStart w:id="40" w:name="f10c234c-6398-4c45-b8d3-06ddbfd9af06"/>
      <w:r>
        <w:rPr>
          <w:rFonts w:hint="eastAsia" w:ascii="宋体" w:hAnsi="宋体" w:eastAsia="宋体" w:cs="宋体"/>
          <w:b w:val="0"/>
          <w:i w:val="0"/>
          <w:spacing w:val="0"/>
          <w:sz w:val="21"/>
          <w:lang w:val="en-US" w:eastAsia="zh-CN"/>
        </w:rPr>
        <w:t>4</w:t>
      </w:r>
      <w:r>
        <w:rPr>
          <w:rFonts w:ascii="宋体" w:hAnsi="宋体" w:eastAsia="宋体" w:cs="宋体"/>
          <w:b w:val="0"/>
          <w:i w:val="0"/>
          <w:spacing w:val="0"/>
          <w:sz w:val="21"/>
        </w:rPr>
        <w:t xml:space="preserve">.2 </w:t>
      </w:r>
      <w:bookmarkEnd w:id="40"/>
      <w:r>
        <w:rPr>
          <w:rFonts w:hint="eastAsia" w:ascii="宋体" w:hAnsi="宋体" w:eastAsia="宋体" w:cs="宋体"/>
          <w:b w:val="0"/>
          <w:i w:val="0"/>
          <w:spacing w:val="0"/>
          <w:sz w:val="21"/>
        </w:rPr>
        <w:t>考试内容的功利导向与学术失衡</w:t>
      </w:r>
    </w:p>
    <w:p w14:paraId="4194DA68">
      <w:pPr>
        <w:pageBreakBefore w:val="0"/>
        <w:wordWrap/>
        <w:spacing w:before="0" w:after="0" w:line="360" w:lineRule="auto"/>
        <w:ind w:left="0" w:right="0" w:firstLine="420"/>
        <w:jc w:val="both"/>
        <w:textAlignment w:val="auto"/>
        <w:rPr>
          <w:rFonts w:hint="default" w:ascii="宋体" w:hAnsi="宋体" w:eastAsia="宋体" w:cs="宋体"/>
          <w:b w:val="0"/>
          <w:i w:val="0"/>
          <w:spacing w:val="0"/>
          <w:sz w:val="21"/>
          <w:lang w:val="en-US" w:eastAsia="zh-CN"/>
        </w:rPr>
      </w:pPr>
      <w:r>
        <w:rPr>
          <w:rFonts w:hint="eastAsia" w:ascii="宋体" w:hAnsi="宋体" w:eastAsia="宋体" w:cs="宋体"/>
          <w:b w:val="0"/>
          <w:i w:val="0"/>
          <w:spacing w:val="0"/>
          <w:sz w:val="21"/>
          <w:lang w:val="en-US" w:eastAsia="zh-CN"/>
        </w:rPr>
        <w:t>4.3 科举成败作为士人价值的唯一标尺</w:t>
      </w:r>
    </w:p>
    <w:p w14:paraId="1D40E425">
      <w:pPr>
        <w:pageBreakBefore w:val="0"/>
        <w:wordWrap/>
        <w:spacing w:before="0" w:after="0" w:line="360" w:lineRule="auto"/>
        <w:ind w:left="0" w:right="0" w:firstLine="420"/>
        <w:jc w:val="both"/>
        <w:textAlignment w:val="auto"/>
        <w:rPr>
          <w:sz w:val="21"/>
        </w:rPr>
      </w:pPr>
      <w:bookmarkStart w:id="41" w:name="ec4ffa1b-286c-4976-bd50-4631fc908a9e"/>
      <w:r>
        <w:rPr>
          <w:rFonts w:hint="eastAsia" w:ascii="宋体" w:hAnsi="宋体" w:eastAsia="宋体" w:cs="宋体"/>
          <w:b w:val="0"/>
          <w:i w:val="0"/>
          <w:spacing w:val="0"/>
          <w:sz w:val="21"/>
          <w:lang w:val="en-US" w:eastAsia="zh-CN"/>
        </w:rPr>
        <w:t>4</w:t>
      </w:r>
      <w:r>
        <w:rPr>
          <w:rFonts w:ascii="宋体" w:hAnsi="宋体" w:eastAsia="宋体" w:cs="宋体"/>
          <w:b w:val="0"/>
          <w:i w:val="0"/>
          <w:spacing w:val="0"/>
          <w:sz w:val="21"/>
        </w:rPr>
        <w:t>.</w:t>
      </w:r>
      <w:r>
        <w:rPr>
          <w:rFonts w:hint="eastAsia" w:ascii="宋体" w:hAnsi="宋体" w:eastAsia="宋体" w:cs="宋体"/>
          <w:b w:val="0"/>
          <w:i w:val="0"/>
          <w:spacing w:val="0"/>
          <w:sz w:val="21"/>
          <w:lang w:val="en-US" w:eastAsia="zh-CN"/>
        </w:rPr>
        <w:t>4</w:t>
      </w:r>
      <w:r>
        <w:rPr>
          <w:rFonts w:ascii="宋体" w:hAnsi="宋体" w:eastAsia="宋体" w:cs="宋体"/>
          <w:b w:val="0"/>
          <w:i w:val="0"/>
          <w:spacing w:val="0"/>
          <w:sz w:val="21"/>
        </w:rPr>
        <w:t xml:space="preserve"> 士人价值观变化对社会文化的影响</w:t>
      </w:r>
      <w:bookmarkEnd w:id="41"/>
    </w:p>
    <w:p w14:paraId="2342F074">
      <w:pPr>
        <w:pageBreakBefore w:val="0"/>
        <w:wordWrap/>
        <w:spacing w:before="0" w:after="0" w:line="360" w:lineRule="auto"/>
        <w:ind w:left="0" w:right="0" w:firstLine="420"/>
        <w:jc w:val="both"/>
        <w:textAlignment w:val="auto"/>
        <w:rPr>
          <w:sz w:val="21"/>
        </w:rPr>
      </w:pPr>
      <w:bookmarkStart w:id="42" w:name="11dacc88-69f8-440c-921a-e3b4d7646c6e"/>
      <w:r>
        <w:rPr>
          <w:rFonts w:hint="eastAsia" w:ascii="宋体" w:hAnsi="宋体" w:eastAsia="宋体" w:cs="宋体"/>
          <w:b w:val="0"/>
          <w:i w:val="0"/>
          <w:spacing w:val="0"/>
          <w:sz w:val="21"/>
          <w:lang w:val="en-US" w:eastAsia="zh-CN"/>
        </w:rPr>
        <w:t>4</w:t>
      </w:r>
      <w:r>
        <w:rPr>
          <w:rFonts w:ascii="宋体" w:hAnsi="宋体" w:eastAsia="宋体" w:cs="宋体"/>
          <w:b w:val="0"/>
          <w:i w:val="0"/>
          <w:spacing w:val="0"/>
          <w:sz w:val="21"/>
        </w:rPr>
        <w:t>.</w:t>
      </w:r>
      <w:r>
        <w:rPr>
          <w:rFonts w:hint="eastAsia" w:ascii="宋体" w:hAnsi="宋体" w:eastAsia="宋体" w:cs="宋体"/>
          <w:b w:val="0"/>
          <w:i w:val="0"/>
          <w:spacing w:val="0"/>
          <w:sz w:val="21"/>
          <w:lang w:val="en-US" w:eastAsia="zh-CN"/>
        </w:rPr>
        <w:t>5</w:t>
      </w:r>
      <w:r>
        <w:rPr>
          <w:rFonts w:ascii="宋体" w:hAnsi="宋体" w:eastAsia="宋体" w:cs="宋体"/>
          <w:b w:val="0"/>
          <w:i w:val="0"/>
          <w:spacing w:val="0"/>
          <w:sz w:val="21"/>
        </w:rPr>
        <w:t xml:space="preserve"> 士人价值观变化对政治生态的影响</w:t>
      </w:r>
      <w:bookmarkEnd w:id="42"/>
    </w:p>
    <w:p w14:paraId="488B2077">
      <w:pPr>
        <w:pageBreakBefore w:val="0"/>
        <w:wordWrap/>
        <w:spacing w:before="0" w:after="0" w:line="360" w:lineRule="auto"/>
        <w:ind w:left="0" w:right="0"/>
        <w:jc w:val="both"/>
        <w:textAlignment w:val="auto"/>
        <w:rPr>
          <w:sz w:val="21"/>
        </w:rPr>
      </w:pPr>
      <w:bookmarkStart w:id="43" w:name="2df7a43c-98d8-4b21-93bb-4ce0c0ecfd67"/>
      <w:r>
        <w:rPr>
          <w:rFonts w:hint="eastAsia" w:ascii="宋体" w:hAnsi="宋体" w:eastAsia="宋体" w:cs="宋体"/>
          <w:b w:val="0"/>
          <w:i w:val="0"/>
          <w:spacing w:val="0"/>
          <w:sz w:val="21"/>
          <w:lang w:val="en-US" w:eastAsia="zh-CN"/>
        </w:rPr>
        <w:t>5</w:t>
      </w:r>
      <w:r>
        <w:rPr>
          <w:rFonts w:ascii="宋体" w:hAnsi="宋体" w:eastAsia="宋体" w:cs="宋体"/>
          <w:b w:val="0"/>
          <w:i w:val="0"/>
          <w:spacing w:val="0"/>
          <w:sz w:val="21"/>
        </w:rPr>
        <w:t>. 结论</w:t>
      </w:r>
      <w:bookmarkEnd w:id="43"/>
    </w:p>
    <w:p w14:paraId="454967B3">
      <w:pPr>
        <w:pageBreakBefore w:val="0"/>
        <w:wordWrap/>
        <w:spacing w:before="0" w:after="0" w:line="360" w:lineRule="auto"/>
        <w:ind w:left="0" w:right="0" w:firstLine="420"/>
        <w:jc w:val="both"/>
        <w:textAlignment w:val="auto"/>
        <w:rPr>
          <w:sz w:val="21"/>
        </w:rPr>
      </w:pPr>
      <w:bookmarkStart w:id="44" w:name="a86f9adb-3da1-4b53-903d-4459419400fc"/>
      <w:r>
        <w:rPr>
          <w:rFonts w:hint="eastAsia" w:ascii="宋体" w:hAnsi="宋体" w:eastAsia="宋体" w:cs="宋体"/>
          <w:b w:val="0"/>
          <w:i w:val="0"/>
          <w:spacing w:val="0"/>
          <w:sz w:val="21"/>
          <w:lang w:val="en-US" w:eastAsia="zh-CN"/>
        </w:rPr>
        <w:t>5</w:t>
      </w:r>
      <w:r>
        <w:rPr>
          <w:rFonts w:ascii="宋体" w:hAnsi="宋体" w:eastAsia="宋体" w:cs="宋体"/>
          <w:b w:val="0"/>
          <w:i w:val="0"/>
          <w:spacing w:val="0"/>
          <w:sz w:val="21"/>
        </w:rPr>
        <w:t>.1 研究总结</w:t>
      </w:r>
      <w:bookmarkEnd w:id="44"/>
    </w:p>
    <w:p w14:paraId="4395197A">
      <w:pPr>
        <w:pageBreakBefore w:val="0"/>
        <w:wordWrap/>
        <w:spacing w:before="0" w:after="0" w:line="360" w:lineRule="auto"/>
        <w:ind w:left="0" w:right="0" w:firstLine="420"/>
        <w:jc w:val="both"/>
        <w:textAlignment w:val="auto"/>
        <w:rPr>
          <w:sz w:val="21"/>
        </w:rPr>
      </w:pPr>
      <w:bookmarkStart w:id="45" w:name="ee5c0149-fd8f-43f4-a6f2-cc3072652216"/>
      <w:r>
        <w:rPr>
          <w:rFonts w:hint="eastAsia" w:ascii="宋体" w:hAnsi="宋体" w:eastAsia="宋体" w:cs="宋体"/>
          <w:b w:val="0"/>
          <w:i w:val="0"/>
          <w:spacing w:val="0"/>
          <w:sz w:val="21"/>
          <w:lang w:val="en-US" w:eastAsia="zh-CN"/>
        </w:rPr>
        <w:t>5</w:t>
      </w:r>
      <w:r>
        <w:rPr>
          <w:rFonts w:ascii="宋体" w:hAnsi="宋体" w:eastAsia="宋体" w:cs="宋体"/>
          <w:b w:val="0"/>
          <w:i w:val="0"/>
          <w:spacing w:val="0"/>
          <w:sz w:val="21"/>
        </w:rPr>
        <w:t>.2 研究展望</w:t>
      </w:r>
      <w:bookmarkEnd w:id="45"/>
    </w:p>
    <w:p w14:paraId="3FBEE91B">
      <w:pPr>
        <w:pageBreakBefore w:val="0"/>
        <w:wordWrap/>
        <w:spacing w:before="0" w:after="0" w:line="360" w:lineRule="auto"/>
        <w:ind w:left="0" w:right="0"/>
        <w:jc w:val="both"/>
        <w:textAlignment w:val="auto"/>
        <w:rPr>
          <w:sz w:val="21"/>
        </w:rPr>
      </w:pPr>
      <w:bookmarkStart w:id="46" w:name="73793fb5-c994-409d-a6ff-0a66970113d1"/>
      <w:r>
        <w:rPr>
          <w:rFonts w:ascii="宋体" w:hAnsi="宋体" w:eastAsia="宋体" w:cs="宋体"/>
          <w:b w:val="0"/>
          <w:i w:val="0"/>
          <w:spacing w:val="0"/>
          <w:sz w:val="21"/>
        </w:rPr>
        <w:t>参考文献</w:t>
      </w:r>
      <w:bookmarkEnd w:id="46"/>
    </w:p>
    <w:p w14:paraId="5DE071B5">
      <w:pPr>
        <w:pageBreakBefore w:val="0"/>
        <w:wordWrap/>
        <w:spacing w:before="0" w:after="0" w:line="360" w:lineRule="auto"/>
        <w:ind w:left="0" w:right="0"/>
        <w:jc w:val="both"/>
        <w:textAlignment w:val="auto"/>
        <w:rPr>
          <w:sz w:val="21"/>
        </w:rPr>
        <w:sectPr>
          <w:pgSz w:w="11900" w:h="16840"/>
          <w:pgMar w:top="1440" w:right="1800" w:bottom="1440" w:left="1800" w:header="840" w:footer="980" w:gutter="0"/>
          <w:cols w:space="720" w:num="1"/>
        </w:sectPr>
      </w:pPr>
    </w:p>
    <w:p w14:paraId="35CC0F11">
      <w:pPr>
        <w:pageBreakBefore w:val="0"/>
        <w:wordWrap/>
        <w:spacing w:before="0" w:after="0" w:line="360" w:lineRule="auto"/>
        <w:ind w:left="0" w:right="0"/>
        <w:jc w:val="left"/>
        <w:textAlignment w:val="auto"/>
        <w:outlineLvl w:val="1"/>
        <w:rPr>
          <w:sz w:val="21"/>
        </w:rPr>
      </w:pPr>
      <w:bookmarkStart w:id="47" w:name="b4e84e7d-fa53-499c-b17c-51a825980b28"/>
      <w:r>
        <w:rPr>
          <w:rFonts w:ascii="黑体" w:hAnsi="黑体" w:eastAsia="黑体" w:cs="黑体"/>
          <w:b w:val="0"/>
          <w:i w:val="0"/>
          <w:spacing w:val="0"/>
          <w:sz w:val="21"/>
        </w:rPr>
        <w:t>1. 引言</w:t>
      </w:r>
      <w:bookmarkEnd w:id="47"/>
    </w:p>
    <w:p w14:paraId="187B9205">
      <w:pPr>
        <w:pageBreakBefore w:val="0"/>
        <w:wordWrap/>
        <w:spacing w:before="0" w:after="0" w:line="360" w:lineRule="auto"/>
        <w:ind w:left="0" w:right="0"/>
        <w:jc w:val="left"/>
        <w:textAlignment w:val="auto"/>
        <w:outlineLvl w:val="2"/>
        <w:rPr>
          <w:sz w:val="21"/>
        </w:rPr>
      </w:pPr>
      <w:bookmarkStart w:id="48" w:name="65b9f897-2725-4731-b012-ea60065ce22b"/>
      <w:r>
        <w:rPr>
          <w:rFonts w:ascii="黑体" w:hAnsi="黑体" w:eastAsia="黑体" w:cs="黑体"/>
          <w:b w:val="0"/>
          <w:i w:val="0"/>
          <w:spacing w:val="0"/>
          <w:sz w:val="21"/>
        </w:rPr>
        <w:t>1.1 研究背景</w:t>
      </w:r>
      <w:bookmarkEnd w:id="48"/>
    </w:p>
    <w:p w14:paraId="635C0F10">
      <w:pPr>
        <w:pageBreakBefore w:val="0"/>
        <w:wordWrap/>
        <w:spacing w:before="0" w:after="0" w:line="360" w:lineRule="auto"/>
        <w:ind w:left="0" w:right="0" w:firstLine="420"/>
        <w:jc w:val="both"/>
        <w:textAlignment w:val="auto"/>
        <w:rPr>
          <w:sz w:val="21"/>
        </w:rPr>
      </w:pPr>
      <w:bookmarkStart w:id="49" w:name="e97b607b-d5be-42b8-bee3-dec69de7bfa5"/>
      <w:r>
        <w:rPr>
          <w:rFonts w:ascii="宋体" w:hAnsi="宋体" w:eastAsia="宋体" w:cs="宋体"/>
          <w:b w:val="0"/>
          <w:i w:val="0"/>
          <w:spacing w:val="0"/>
          <w:sz w:val="21"/>
        </w:rPr>
        <w:t>科举制度作为我国古代选拔人才的主要方式，历经千余年，对古代社会的政治、经济、文化等诸多方面产生了深远影响。它不仅是封建王朝选拔官员的重要途径，更在一定程度上推动了社会阶层的流动，促进了文化的传承与发展</w:t>
      </w:r>
      <w:r>
        <w:rPr>
          <w:rFonts w:ascii="宋体" w:hAnsi="宋体" w:eastAsia="宋体" w:cs="宋体"/>
          <w:b w:val="0"/>
          <w:i w:val="0"/>
          <w:spacing w:val="0"/>
          <w:sz w:val="21"/>
          <w:vertAlign w:val="superscript"/>
        </w:rPr>
        <w:t>[2][5]</w:t>
      </w:r>
      <w:r>
        <w:rPr>
          <w:rFonts w:ascii="宋体" w:hAnsi="宋体" w:eastAsia="宋体" w:cs="宋体"/>
          <w:b w:val="0"/>
          <w:i w:val="0"/>
          <w:spacing w:val="0"/>
          <w:sz w:val="21"/>
        </w:rPr>
        <w:t>。成语典故作为历史文化的重要载体，以简洁而富有内涵的语言，反映了特定历史时期的社会风貌、价值观念等。每一个成语典故背后，往往都隐藏着一段生动的历史故事，它们从微观角度为研究历史文化提供了独特视角。因此，深入研究“白蜡明经”这一典故与科举制度的关系，对于全面理解古代科举文化具有必要性。</w:t>
      </w:r>
      <w:bookmarkEnd w:id="49"/>
    </w:p>
    <w:p w14:paraId="1F322986">
      <w:pPr>
        <w:pageBreakBefore w:val="0"/>
        <w:wordWrap/>
        <w:spacing w:before="0" w:after="0" w:line="360" w:lineRule="auto"/>
        <w:ind w:left="0" w:right="0"/>
        <w:jc w:val="left"/>
        <w:textAlignment w:val="auto"/>
        <w:outlineLvl w:val="2"/>
        <w:rPr>
          <w:sz w:val="21"/>
        </w:rPr>
      </w:pPr>
      <w:bookmarkStart w:id="50" w:name="997d19ca-1c30-4cb6-bea3-f5167957d303"/>
      <w:r>
        <w:rPr>
          <w:rFonts w:ascii="黑体" w:hAnsi="黑体" w:eastAsia="黑体" w:cs="黑体"/>
          <w:b w:val="0"/>
          <w:i w:val="0"/>
          <w:spacing w:val="0"/>
          <w:sz w:val="21"/>
        </w:rPr>
        <w:t>1.2 问题提出</w:t>
      </w:r>
      <w:bookmarkEnd w:id="50"/>
    </w:p>
    <w:p w14:paraId="16F6D6DD">
      <w:pPr>
        <w:pageBreakBefore w:val="0"/>
        <w:wordWrap/>
        <w:spacing w:before="0" w:after="0" w:line="360" w:lineRule="auto"/>
        <w:ind w:left="0" w:right="0" w:firstLine="420"/>
        <w:jc w:val="both"/>
        <w:textAlignment w:val="auto"/>
        <w:rPr>
          <w:sz w:val="21"/>
        </w:rPr>
      </w:pPr>
      <w:bookmarkStart w:id="51" w:name="55c128f4-5638-4b46-a3c1-1073d8ed5403"/>
      <w:r>
        <w:rPr>
          <w:rFonts w:ascii="宋体" w:hAnsi="宋体" w:eastAsia="宋体" w:cs="宋体"/>
          <w:b w:val="0"/>
          <w:i w:val="0"/>
          <w:spacing w:val="0"/>
          <w:sz w:val="21"/>
        </w:rPr>
        <w:t>本研究旨在清晰梳理“白蜡明经”典故的来龙去脉，包括其起源的历史背景、具体场景，以及在历史长河中的流传与演变情况。同时，以该典故为切入点，深入探讨科举制度如何塑造士人价值观。具体而言，研究科举制度在何种程度上影响了士人的思想观念与行为方式，进而剖析这种价值观的塑造对古代社会文化、政治生态等方面所产生的深远影响</w:t>
      </w:r>
      <w:r>
        <w:rPr>
          <w:rFonts w:ascii="宋体" w:hAnsi="宋体" w:eastAsia="宋体" w:cs="宋体"/>
          <w:b w:val="0"/>
          <w:i w:val="0"/>
          <w:spacing w:val="0"/>
          <w:sz w:val="21"/>
          <w:vertAlign w:val="superscript"/>
        </w:rPr>
        <w:t>[3]</w:t>
      </w:r>
      <w:r>
        <w:rPr>
          <w:rFonts w:ascii="宋体" w:hAnsi="宋体" w:eastAsia="宋体" w:cs="宋体"/>
          <w:b w:val="0"/>
          <w:i w:val="0"/>
          <w:spacing w:val="0"/>
          <w:sz w:val="21"/>
        </w:rPr>
        <w:t>。</w:t>
      </w:r>
      <w:bookmarkEnd w:id="51"/>
    </w:p>
    <w:p w14:paraId="0F622513">
      <w:pPr>
        <w:pageBreakBefore w:val="0"/>
        <w:wordWrap/>
        <w:spacing w:before="0" w:after="0" w:line="360" w:lineRule="auto"/>
        <w:ind w:left="0" w:right="0"/>
        <w:jc w:val="left"/>
        <w:textAlignment w:val="auto"/>
        <w:outlineLvl w:val="2"/>
        <w:rPr>
          <w:sz w:val="21"/>
        </w:rPr>
      </w:pPr>
      <w:bookmarkStart w:id="52" w:name="142d9824-975f-4e1f-ac13-4c4675089a31"/>
      <w:r>
        <w:rPr>
          <w:rFonts w:ascii="黑体" w:hAnsi="黑体" w:eastAsia="黑体" w:cs="黑体"/>
          <w:b w:val="0"/>
          <w:i w:val="0"/>
          <w:spacing w:val="0"/>
          <w:sz w:val="21"/>
        </w:rPr>
        <w:t>1.3 研究意义</w:t>
      </w:r>
      <w:bookmarkEnd w:id="52"/>
    </w:p>
    <w:p w14:paraId="695CDB56">
      <w:pPr>
        <w:pageBreakBefore w:val="0"/>
        <w:wordWrap/>
        <w:spacing w:before="0" w:after="0" w:line="360" w:lineRule="auto"/>
        <w:ind w:left="0" w:right="0" w:firstLine="420"/>
        <w:jc w:val="both"/>
        <w:textAlignment w:val="auto"/>
        <w:rPr>
          <w:sz w:val="21"/>
        </w:rPr>
      </w:pPr>
      <w:bookmarkStart w:id="53" w:name="cb231907-4641-4357-92e3-c46eb2f493d0"/>
      <w:r>
        <w:rPr>
          <w:rFonts w:ascii="宋体" w:hAnsi="宋体" w:eastAsia="宋体" w:cs="宋体"/>
          <w:b w:val="0"/>
          <w:i w:val="0"/>
          <w:spacing w:val="0"/>
          <w:sz w:val="21"/>
        </w:rPr>
        <w:t>从学术价值来看，本研究有助于深化对科举制度微观层面的认识，通过对“白蜡明经”典故的分析，揭示科举制度在运行过程中对士人心态及价值观的具体影响，为科举制度研究提供新的思路与视角。对于古代士人文化研究而言，能进一步丰富其内涵，使我们更全面地理解古代士人在科举制度环境下的生存状态与文化特征</w:t>
      </w:r>
      <w:r>
        <w:rPr>
          <w:rFonts w:ascii="宋体" w:hAnsi="宋体" w:eastAsia="宋体" w:cs="宋体"/>
          <w:b w:val="0"/>
          <w:i w:val="0"/>
          <w:spacing w:val="0"/>
          <w:sz w:val="21"/>
          <w:vertAlign w:val="superscript"/>
        </w:rPr>
        <w:t>[1]</w:t>
      </w:r>
      <w:r>
        <w:rPr>
          <w:rFonts w:ascii="宋体" w:hAnsi="宋体" w:eastAsia="宋体" w:cs="宋体"/>
          <w:b w:val="0"/>
          <w:i w:val="0"/>
          <w:spacing w:val="0"/>
          <w:sz w:val="21"/>
        </w:rPr>
        <w:t>。从社会价值角度，研究古代科举制度对士人价值观的塑造，可为现代教育制度及人才培养模式提供历史借鉴，反思如何在当今教育中避免过度功利化倾向，培养全面发展的人才</w:t>
      </w:r>
      <w:r>
        <w:rPr>
          <w:rFonts w:ascii="宋体" w:hAnsi="宋体" w:eastAsia="宋体" w:cs="宋体"/>
          <w:b w:val="0"/>
          <w:i w:val="0"/>
          <w:spacing w:val="0"/>
          <w:sz w:val="21"/>
          <w:vertAlign w:val="superscript"/>
        </w:rPr>
        <w:t>[11]</w:t>
      </w:r>
      <w:r>
        <w:rPr>
          <w:rFonts w:ascii="宋体" w:hAnsi="宋体" w:eastAsia="宋体" w:cs="宋体"/>
          <w:b w:val="0"/>
          <w:i w:val="0"/>
          <w:spacing w:val="0"/>
          <w:sz w:val="21"/>
        </w:rPr>
        <w:t>。</w:t>
      </w:r>
      <w:bookmarkEnd w:id="53"/>
    </w:p>
    <w:p w14:paraId="511C4801">
      <w:pPr>
        <w:pageBreakBefore w:val="0"/>
        <w:wordWrap/>
        <w:spacing w:before="0" w:after="0" w:line="360" w:lineRule="auto"/>
        <w:ind w:left="0" w:right="0"/>
        <w:jc w:val="left"/>
        <w:textAlignment w:val="auto"/>
        <w:outlineLvl w:val="1"/>
        <w:rPr>
          <w:sz w:val="21"/>
        </w:rPr>
      </w:pPr>
      <w:bookmarkStart w:id="54" w:name="2549ea6c-f811-4927-9dcc-e86378b8d3ba"/>
      <w:r>
        <w:rPr>
          <w:rFonts w:hint="eastAsia" w:ascii="黑体" w:hAnsi="黑体" w:eastAsia="黑体" w:cs="黑体"/>
          <w:b w:val="0"/>
          <w:i w:val="0"/>
          <w:spacing w:val="0"/>
          <w:sz w:val="21"/>
          <w:lang w:val="en-US" w:eastAsia="zh-CN"/>
        </w:rPr>
        <w:t>2</w:t>
      </w:r>
      <w:r>
        <w:rPr>
          <w:rFonts w:ascii="黑体" w:hAnsi="黑体" w:eastAsia="黑体" w:cs="黑体"/>
          <w:b w:val="0"/>
          <w:i w:val="0"/>
          <w:spacing w:val="0"/>
          <w:sz w:val="21"/>
        </w:rPr>
        <w:t>. “白蜡明经”典故的来龙去脉</w:t>
      </w:r>
      <w:bookmarkEnd w:id="54"/>
    </w:p>
    <w:p w14:paraId="12630B16">
      <w:pPr>
        <w:keepNext w:val="0"/>
        <w:keepLines w:val="0"/>
        <w:pageBreakBefore w:val="0"/>
        <w:widowControl w:val="0"/>
        <w:kinsoku/>
        <w:wordWrap/>
        <w:overflowPunct/>
        <w:topLinePunct w:val="0"/>
        <w:autoSpaceDE/>
        <w:autoSpaceDN/>
        <w:bidi w:val="0"/>
        <w:adjustRightInd/>
        <w:snapToGrid/>
        <w:spacing w:before="0" w:after="0" w:line="360" w:lineRule="auto"/>
        <w:ind w:left="0" w:right="0" w:firstLine="425"/>
        <w:jc w:val="both"/>
        <w:textAlignment w:val="auto"/>
        <w:rPr>
          <w:rFonts w:ascii="宋体" w:hAnsi="宋体" w:eastAsia="宋体" w:cs="宋体"/>
          <w:b w:val="0"/>
          <w:i w:val="0"/>
          <w:spacing w:val="0"/>
          <w:sz w:val="21"/>
        </w:rPr>
      </w:pPr>
      <w:bookmarkStart w:id="55" w:name="83cdb0b5-9218-4278-b772-f21547cc1e2c"/>
      <w:r>
        <w:rPr>
          <w:rFonts w:ascii="宋体" w:hAnsi="宋体" w:eastAsia="宋体" w:cs="宋体"/>
          <w:b w:val="0"/>
          <w:i w:val="0"/>
          <w:spacing w:val="0"/>
          <w:sz w:val="21"/>
        </w:rPr>
        <w:t>白蜡明经典故最早见于唐代张鷟的《朝野佥载》。其卷一记载：“张鷟号青钱学士，以其万选万中。时有明经董万九上不第，号白蜡明经。与鷟同赴选，万九被放，鷟授鸿胪寺丞。万九谓人曰：‘吾虽不得官，亦与青钱学士同榜。’” 这段记载明确指出了董万九多次参加明经科考试未中，被称作“白蜡明经”，而张鷟则因才华出众，每次应试都能选中，号称“青钱学士”。两人一同参加科举选拔，结果董万九落选，张鷟却得以授官。从这一文本依据可知，典故最初便是围绕科举考试及士人的应试经历展开。</w:t>
      </w:r>
    </w:p>
    <w:p w14:paraId="199859A2">
      <w:pPr>
        <w:keepNext w:val="0"/>
        <w:keepLines w:val="0"/>
        <w:pageBreakBefore w:val="0"/>
        <w:widowControl w:val="0"/>
        <w:kinsoku/>
        <w:wordWrap/>
        <w:overflowPunct/>
        <w:topLinePunct w:val="0"/>
        <w:autoSpaceDE/>
        <w:autoSpaceDN/>
        <w:bidi w:val="0"/>
        <w:adjustRightInd/>
        <w:snapToGrid/>
        <w:spacing w:before="0" w:after="0" w:line="360" w:lineRule="auto"/>
        <w:ind w:left="0" w:right="0" w:firstLine="425"/>
        <w:jc w:val="both"/>
        <w:textAlignment w:val="auto"/>
        <w:rPr>
          <w:rFonts w:ascii="宋体" w:hAnsi="宋体" w:eastAsia="宋体" w:cs="宋体"/>
          <w:b w:val="0"/>
          <w:i w:val="0"/>
          <w:spacing w:val="0"/>
          <w:sz w:val="21"/>
        </w:rPr>
      </w:pPr>
      <w:r>
        <w:rPr>
          <w:rFonts w:ascii="宋体" w:hAnsi="宋体" w:eastAsia="宋体" w:cs="宋体"/>
          <w:b w:val="0"/>
          <w:i w:val="0"/>
          <w:spacing w:val="0"/>
          <w:sz w:val="21"/>
        </w:rPr>
        <w:t>典故产生的唐代，社会文化繁荣昌盛，文学艺术蓬勃发展，科举制度也日趋完善。在政治上，唐朝统治者极为重视人才的选拔，科举成为士人进入仕途的重要途径。明经科作为科举考试的重要科目之一，注重对儒家经典的记忆与理解。这种社会文化环境为白蜡明经典故的诞生提供了土壤。一方面，科举考试的竞争激烈，士人为了求取功名，往往多次应试，董万九“不第”正是这种现象的反映；另一方面，社会对科举及第者的推崇，使得像张鷟这样才华横溢、屡屡中第的人备受赞誉，而董万九虽多次尝试却未能成功，形成了鲜明的对比，进而催生了这一典故。</w:t>
      </w:r>
    </w:p>
    <w:bookmarkEnd w:id="55"/>
    <w:p w14:paraId="0996F47E">
      <w:pPr>
        <w:pageBreakBefore w:val="0"/>
        <w:wordWrap/>
        <w:spacing w:before="0" w:after="0" w:line="360" w:lineRule="auto"/>
        <w:ind w:left="0" w:right="0"/>
        <w:jc w:val="left"/>
        <w:textAlignment w:val="auto"/>
        <w:outlineLvl w:val="1"/>
        <w:rPr>
          <w:sz w:val="21"/>
        </w:rPr>
      </w:pPr>
      <w:bookmarkStart w:id="56" w:name="bb3de593-7aec-4bd6-ac36-f7971ea50566"/>
      <w:r>
        <w:rPr>
          <w:rFonts w:hint="eastAsia" w:ascii="黑体" w:hAnsi="黑体" w:eastAsia="黑体" w:cs="黑体"/>
          <w:b w:val="0"/>
          <w:i w:val="0"/>
          <w:spacing w:val="0"/>
          <w:sz w:val="21"/>
          <w:lang w:val="en-US" w:eastAsia="zh-CN"/>
        </w:rPr>
        <w:t>3</w:t>
      </w:r>
      <w:r>
        <w:rPr>
          <w:rFonts w:ascii="黑体" w:hAnsi="黑体" w:eastAsia="黑体" w:cs="黑体"/>
          <w:b w:val="0"/>
          <w:i w:val="0"/>
          <w:spacing w:val="0"/>
          <w:sz w:val="21"/>
        </w:rPr>
        <w:t>. “白蜡明经”典故与科举制度的联系</w:t>
      </w:r>
      <w:bookmarkEnd w:id="56"/>
    </w:p>
    <w:p w14:paraId="06EF4C5E">
      <w:pPr>
        <w:pageBreakBefore w:val="0"/>
        <w:wordWrap/>
        <w:spacing w:before="0" w:after="0" w:line="360" w:lineRule="auto"/>
        <w:ind w:left="0" w:right="0" w:firstLine="420"/>
        <w:jc w:val="both"/>
        <w:textAlignment w:val="auto"/>
        <w:rPr>
          <w:rFonts w:ascii="宋体" w:hAnsi="宋体" w:eastAsia="宋体" w:cs="宋体"/>
          <w:b w:val="0"/>
          <w:i w:val="0"/>
          <w:spacing w:val="0"/>
          <w:sz w:val="21"/>
        </w:rPr>
      </w:pPr>
      <w:bookmarkStart w:id="57" w:name="bd145bc5-815c-4455-9bf8-ccbafbd996b6"/>
      <w:r>
        <w:rPr>
          <w:rFonts w:ascii="宋体" w:hAnsi="宋体" w:eastAsia="宋体" w:cs="宋体"/>
          <w:b w:val="0"/>
          <w:i w:val="0"/>
          <w:spacing w:val="0"/>
          <w:sz w:val="21"/>
        </w:rPr>
        <w:t>“白蜡明经”典故深刻揭示了科举制度下读书人功利心态的具体表现。张鷟</w:t>
      </w:r>
      <w:r>
        <w:rPr>
          <w:rFonts w:hint="eastAsia" w:ascii="宋体" w:hAnsi="宋体" w:eastAsia="宋体" w:cs="宋体"/>
          <w:b w:val="0"/>
          <w:i w:val="0"/>
          <w:spacing w:val="0"/>
          <w:sz w:val="21"/>
          <w:lang w:eastAsia="zh-CN"/>
        </w:rPr>
        <w:t>“</w:t>
      </w:r>
      <w:r>
        <w:rPr>
          <w:rFonts w:hint="eastAsia" w:ascii="宋体" w:hAnsi="宋体" w:eastAsia="宋体" w:cs="宋体"/>
          <w:b w:val="0"/>
          <w:i w:val="0"/>
          <w:spacing w:val="0"/>
          <w:sz w:val="21"/>
          <w:lang w:val="en-US" w:eastAsia="zh-CN"/>
        </w:rPr>
        <w:t>万选万中</w:t>
      </w:r>
      <w:r>
        <w:rPr>
          <w:rFonts w:hint="eastAsia" w:ascii="宋体" w:hAnsi="宋体" w:eastAsia="宋体" w:cs="宋体"/>
          <w:b w:val="0"/>
          <w:i w:val="0"/>
          <w:spacing w:val="0"/>
          <w:sz w:val="21"/>
          <w:lang w:eastAsia="zh-CN"/>
        </w:rPr>
        <w:t>”，</w:t>
      </w:r>
      <w:r>
        <w:rPr>
          <w:rFonts w:hint="eastAsia" w:ascii="宋体" w:hAnsi="宋体" w:eastAsia="宋体" w:cs="宋体"/>
          <w:b w:val="0"/>
          <w:i w:val="0"/>
          <w:spacing w:val="0"/>
          <w:sz w:val="21"/>
          <w:lang w:val="en-US" w:eastAsia="zh-CN"/>
        </w:rPr>
        <w:t>所以被称赞为“青钱居士”，相比之下，董万九则因多次落选被人嘲笑为“白蜡明经”。读书人对功名的渴求在褒贬对比中十分明显。</w:t>
      </w:r>
      <w:r>
        <w:rPr>
          <w:rFonts w:ascii="宋体" w:hAnsi="宋体" w:eastAsia="宋体" w:cs="宋体"/>
          <w:b w:val="0"/>
          <w:i w:val="0"/>
          <w:spacing w:val="0"/>
          <w:sz w:val="21"/>
        </w:rPr>
        <w:t>在这一典故中，读书人参加科举考试，并非纯粹出于对知识的追求或为国家效力的情怀，而是对功名表现出过度的追求。他们将科举视为获取个人利益、提升社会地位的阶梯，渴望通过科举及第，获得财富、权势与荣誉。</w:t>
      </w:r>
    </w:p>
    <w:p w14:paraId="665E1D1E">
      <w:pPr>
        <w:pageBreakBefore w:val="0"/>
        <w:wordWrap/>
        <w:spacing w:before="0" w:after="0" w:line="360" w:lineRule="auto"/>
        <w:ind w:left="0" w:right="0" w:firstLine="420"/>
        <w:jc w:val="both"/>
        <w:textAlignment w:val="auto"/>
        <w:rPr>
          <w:rFonts w:hint="default" w:eastAsia="宋体"/>
          <w:sz w:val="21"/>
          <w:vertAlign w:val="baseline"/>
          <w:lang w:val="en-US" w:eastAsia="zh-CN"/>
        </w:rPr>
      </w:pPr>
      <w:r>
        <w:rPr>
          <w:rFonts w:ascii="宋体" w:hAnsi="宋体" w:eastAsia="宋体" w:cs="宋体"/>
          <w:b w:val="0"/>
          <w:i w:val="0"/>
          <w:spacing w:val="0"/>
          <w:sz w:val="21"/>
        </w:rPr>
        <w:t>这种功利心态</w:t>
      </w:r>
      <w:r>
        <w:rPr>
          <w:rFonts w:hint="eastAsia" w:ascii="宋体" w:hAnsi="宋体" w:eastAsia="宋体" w:cs="宋体"/>
          <w:b w:val="0"/>
          <w:i w:val="0"/>
          <w:spacing w:val="0"/>
          <w:sz w:val="21"/>
          <w:lang w:val="en-US" w:eastAsia="zh-CN"/>
        </w:rPr>
        <w:t>一方面</w:t>
      </w:r>
      <w:r>
        <w:rPr>
          <w:rFonts w:ascii="宋体" w:hAnsi="宋体" w:eastAsia="宋体" w:cs="宋体"/>
          <w:b w:val="0"/>
          <w:i w:val="0"/>
          <w:spacing w:val="0"/>
          <w:sz w:val="21"/>
        </w:rPr>
        <w:t>使得读书人在科举备考过程中，往往只专注于与考试直接相关的知识内容，忽视了对其他学问的探索与钻研，将全部精力投入到追求科举成功上，以实现对功名的获取。</w:t>
      </w:r>
      <w:r>
        <w:rPr>
          <w:rFonts w:ascii="宋体" w:hAnsi="宋体" w:eastAsia="宋体" w:cs="宋体"/>
          <w:b w:val="0"/>
          <w:i w:val="0"/>
          <w:spacing w:val="0"/>
          <w:sz w:val="21"/>
          <w:vertAlign w:val="superscript"/>
        </w:rPr>
        <w:t>[3]</w:t>
      </w:r>
      <w:bookmarkEnd w:id="57"/>
      <w:r>
        <w:rPr>
          <w:rFonts w:hint="eastAsia" w:ascii="宋体" w:hAnsi="宋体" w:eastAsia="宋体" w:cs="宋体"/>
          <w:b w:val="0"/>
          <w:i w:val="0"/>
          <w:spacing w:val="0"/>
          <w:sz w:val="21"/>
          <w:vertAlign w:val="superscript"/>
          <w:lang w:val="en-US" w:eastAsia="zh-CN"/>
        </w:rPr>
        <w:t>[12]</w:t>
      </w:r>
      <w:r>
        <w:rPr>
          <w:rFonts w:hint="eastAsia" w:ascii="宋体" w:hAnsi="宋体" w:eastAsia="宋体" w:cs="宋体"/>
          <w:b w:val="0"/>
          <w:i w:val="0"/>
          <w:spacing w:val="0"/>
          <w:sz w:val="21"/>
          <w:vertAlign w:val="baseline"/>
          <w:lang w:val="en-US" w:eastAsia="zh-CN"/>
        </w:rPr>
        <w:t>另一方面也塑造了一种“万般皆下品，唯有读书高”的价值观，科举取士的成败几乎成了评价人才的唯一标准，考得进士则为才子，科举落选则被认为是没有文采和能力的“白蜡明经”。明代《儒林外史》中范进中举前后的境遇反差，反映了科举成功者被视为“德才兼备”，而失败者则被质疑品行。科举的成败与读书人能否得到社会认可密切相关。</w:t>
      </w:r>
    </w:p>
    <w:p w14:paraId="0E257EB2">
      <w:pPr>
        <w:pageBreakBefore w:val="0"/>
        <w:wordWrap/>
        <w:spacing w:before="0" w:after="0" w:line="360" w:lineRule="auto"/>
        <w:ind w:left="0" w:right="0"/>
        <w:jc w:val="left"/>
        <w:textAlignment w:val="auto"/>
        <w:outlineLvl w:val="1"/>
        <w:rPr>
          <w:rFonts w:hint="default" w:eastAsia="黑体"/>
          <w:sz w:val="21"/>
          <w:lang w:val="en-US" w:eastAsia="zh-CN"/>
        </w:rPr>
      </w:pPr>
      <w:bookmarkStart w:id="58" w:name="09795f12-0feb-444e-8220-c252aeca8ea5"/>
      <w:r>
        <w:rPr>
          <w:rFonts w:hint="eastAsia" w:ascii="黑体" w:hAnsi="黑体" w:eastAsia="黑体" w:cs="黑体"/>
          <w:b w:val="0"/>
          <w:i w:val="0"/>
          <w:spacing w:val="0"/>
          <w:sz w:val="21"/>
          <w:lang w:val="en-US" w:eastAsia="zh-CN"/>
        </w:rPr>
        <w:t>4</w:t>
      </w:r>
      <w:r>
        <w:rPr>
          <w:rFonts w:ascii="黑体" w:hAnsi="黑体" w:eastAsia="黑体" w:cs="黑体"/>
          <w:b w:val="0"/>
          <w:i w:val="0"/>
          <w:spacing w:val="0"/>
          <w:sz w:val="21"/>
        </w:rPr>
        <w:t>. 以“白蜡明经”为切入点看科举制度对士人</w:t>
      </w:r>
      <w:r>
        <w:rPr>
          <w:rFonts w:hint="eastAsia" w:ascii="黑体" w:hAnsi="黑体" w:eastAsia="黑体" w:cs="黑体"/>
          <w:b w:val="0"/>
          <w:i w:val="0"/>
          <w:spacing w:val="0"/>
          <w:sz w:val="21"/>
          <w:lang w:val="en-US" w:eastAsia="zh-CN"/>
        </w:rPr>
        <w:t>功利心态</w:t>
      </w:r>
      <w:r>
        <w:rPr>
          <w:rFonts w:ascii="黑体" w:hAnsi="黑体" w:eastAsia="黑体" w:cs="黑体"/>
          <w:b w:val="0"/>
          <w:i w:val="0"/>
          <w:spacing w:val="0"/>
          <w:sz w:val="21"/>
        </w:rPr>
        <w:t>塑造</w:t>
      </w:r>
      <w:bookmarkEnd w:id="58"/>
      <w:r>
        <w:rPr>
          <w:rFonts w:hint="eastAsia" w:ascii="黑体" w:hAnsi="黑体" w:eastAsia="黑体" w:cs="黑体"/>
          <w:b w:val="0"/>
          <w:i w:val="0"/>
          <w:spacing w:val="0"/>
          <w:sz w:val="21"/>
          <w:lang w:val="en-US" w:eastAsia="zh-CN"/>
        </w:rPr>
        <w:t>的影响</w:t>
      </w:r>
    </w:p>
    <w:p w14:paraId="4C4EC434">
      <w:pPr>
        <w:pageBreakBefore w:val="0"/>
        <w:wordWrap/>
        <w:spacing w:before="0" w:after="0" w:line="360" w:lineRule="auto"/>
        <w:ind w:left="0" w:right="0"/>
        <w:jc w:val="left"/>
        <w:textAlignment w:val="auto"/>
        <w:outlineLvl w:val="2"/>
        <w:rPr>
          <w:sz w:val="21"/>
        </w:rPr>
      </w:pPr>
      <w:bookmarkStart w:id="59" w:name="886ce154-36d7-45cf-9cc1-f051a7cc9259"/>
      <w:r>
        <w:rPr>
          <w:rFonts w:hint="eastAsia" w:ascii="黑体" w:hAnsi="黑体" w:eastAsia="黑体" w:cs="黑体"/>
          <w:b w:val="0"/>
          <w:i w:val="0"/>
          <w:spacing w:val="0"/>
          <w:sz w:val="21"/>
          <w:lang w:val="en-US" w:eastAsia="zh-CN"/>
        </w:rPr>
        <w:t>4</w:t>
      </w:r>
      <w:r>
        <w:rPr>
          <w:rFonts w:ascii="黑体" w:hAnsi="黑体" w:eastAsia="黑体" w:cs="黑体"/>
          <w:b w:val="0"/>
          <w:i w:val="0"/>
          <w:spacing w:val="0"/>
          <w:sz w:val="21"/>
        </w:rPr>
        <w:t xml:space="preserve">.1 </w:t>
      </w:r>
      <w:bookmarkEnd w:id="59"/>
      <w:r>
        <w:rPr>
          <w:rFonts w:hint="eastAsia" w:ascii="黑体" w:hAnsi="黑体" w:eastAsia="黑体" w:cs="黑体"/>
          <w:b w:val="0"/>
          <w:i w:val="0"/>
          <w:spacing w:val="0"/>
          <w:sz w:val="21"/>
        </w:rPr>
        <w:t>“白蜡明经”与科举考核的形式主义困境</w:t>
      </w:r>
    </w:p>
    <w:p w14:paraId="7035D0D1">
      <w:pPr>
        <w:pageBreakBefore w:val="0"/>
        <w:wordWrap/>
        <w:spacing w:before="0" w:after="0" w:line="360" w:lineRule="auto"/>
        <w:ind w:left="0" w:right="0" w:firstLine="420"/>
        <w:jc w:val="both"/>
        <w:textAlignment w:val="auto"/>
        <w:rPr>
          <w:rFonts w:hint="eastAsia" w:ascii="宋体" w:hAnsi="宋体" w:eastAsia="宋体" w:cs="宋体"/>
          <w:b w:val="0"/>
          <w:i w:val="0"/>
          <w:spacing w:val="0"/>
          <w:sz w:val="21"/>
        </w:rPr>
      </w:pPr>
      <w:bookmarkStart w:id="60" w:name="5a60330b-55eb-47c8-8b79-3b7812a67d84"/>
      <w:r>
        <w:rPr>
          <w:rFonts w:hint="eastAsia" w:ascii="宋体" w:hAnsi="宋体" w:eastAsia="宋体" w:cs="宋体"/>
          <w:b w:val="0"/>
          <w:i w:val="0"/>
          <w:spacing w:val="0"/>
          <w:sz w:val="21"/>
        </w:rPr>
        <w:t>“白蜡明经”这一典故，</w:t>
      </w:r>
      <w:r>
        <w:rPr>
          <w:rFonts w:hint="eastAsia" w:ascii="宋体" w:hAnsi="宋体" w:eastAsia="宋体" w:cs="宋体"/>
          <w:b w:val="0"/>
          <w:i w:val="0"/>
          <w:spacing w:val="0"/>
          <w:sz w:val="21"/>
          <w:lang w:val="en-US" w:eastAsia="zh-CN"/>
        </w:rPr>
        <w:t>或许可以含有对这种科举弊端的批评。它的本义固然</w:t>
      </w:r>
      <w:r>
        <w:rPr>
          <w:rFonts w:hint="eastAsia" w:ascii="宋体" w:hAnsi="宋体" w:eastAsia="宋体" w:cs="宋体"/>
          <w:b w:val="0"/>
          <w:i w:val="0"/>
          <w:spacing w:val="0"/>
          <w:sz w:val="21"/>
        </w:rPr>
        <w:t>指的是屡次参加科举考试却未能中举的人，</w:t>
      </w:r>
      <w:r>
        <w:rPr>
          <w:rFonts w:hint="eastAsia" w:ascii="宋体" w:hAnsi="宋体" w:eastAsia="宋体" w:cs="宋体"/>
          <w:b w:val="0"/>
          <w:i w:val="0"/>
          <w:spacing w:val="0"/>
          <w:sz w:val="21"/>
          <w:lang w:val="en-US" w:eastAsia="zh-CN"/>
        </w:rPr>
        <w:t>是</w:t>
      </w:r>
      <w:r>
        <w:rPr>
          <w:rFonts w:hint="eastAsia" w:ascii="宋体" w:hAnsi="宋体" w:eastAsia="宋体" w:cs="宋体"/>
          <w:b w:val="0"/>
          <w:i w:val="0"/>
          <w:spacing w:val="0"/>
          <w:sz w:val="21"/>
        </w:rPr>
        <w:t>对</w:t>
      </w:r>
      <w:r>
        <w:rPr>
          <w:rFonts w:hint="eastAsia" w:ascii="宋体" w:hAnsi="宋体" w:eastAsia="宋体" w:cs="宋体"/>
          <w:b w:val="0"/>
          <w:i w:val="0"/>
          <w:spacing w:val="0"/>
          <w:sz w:val="21"/>
          <w:lang w:val="en-US" w:eastAsia="zh-CN"/>
        </w:rPr>
        <w:t>科举不第的士子的揶揄嘲讽</w:t>
      </w:r>
      <w:r>
        <w:rPr>
          <w:rFonts w:hint="eastAsia" w:ascii="宋体" w:hAnsi="宋体" w:eastAsia="宋体" w:cs="宋体"/>
          <w:b w:val="0"/>
          <w:i w:val="0"/>
          <w:spacing w:val="0"/>
          <w:sz w:val="21"/>
        </w:rPr>
        <w:t>。然而，</w:t>
      </w:r>
      <w:r>
        <w:rPr>
          <w:rFonts w:hint="eastAsia" w:ascii="宋体" w:hAnsi="宋体" w:eastAsia="宋体" w:cs="宋体"/>
          <w:b w:val="0"/>
          <w:i w:val="0"/>
          <w:spacing w:val="0"/>
          <w:sz w:val="21"/>
          <w:lang w:val="en-US" w:eastAsia="zh-CN"/>
        </w:rPr>
        <w:t>如果换个角度重新解读这一典故，便可生出新意来。“白蜡明经”也可以指，</w:t>
      </w:r>
      <w:r>
        <w:rPr>
          <w:rFonts w:hint="eastAsia" w:ascii="宋体" w:hAnsi="宋体" w:eastAsia="宋体" w:cs="宋体"/>
          <w:b w:val="0"/>
          <w:i w:val="0"/>
          <w:spacing w:val="0"/>
          <w:sz w:val="21"/>
        </w:rPr>
        <w:t>尽管考生能够熟练地背诵大量经文，但往往对其中的思想精髓一无所知，表面上看来，他们对经典的理解“明经”而实际上却空洞无物，犹如“白蜡”般没有生命力和实质内涵。这</w:t>
      </w:r>
      <w:r>
        <w:rPr>
          <w:rFonts w:hint="eastAsia" w:ascii="宋体" w:hAnsi="宋体" w:eastAsia="宋体" w:cs="宋体"/>
          <w:b w:val="0"/>
          <w:i w:val="0"/>
          <w:spacing w:val="0"/>
          <w:sz w:val="21"/>
          <w:lang w:val="en-US" w:eastAsia="zh-CN"/>
        </w:rPr>
        <w:t>样看来，这</w:t>
      </w:r>
      <w:r>
        <w:rPr>
          <w:rFonts w:hint="eastAsia" w:ascii="宋体" w:hAnsi="宋体" w:eastAsia="宋体" w:cs="宋体"/>
          <w:b w:val="0"/>
          <w:i w:val="0"/>
          <w:spacing w:val="0"/>
          <w:sz w:val="21"/>
        </w:rPr>
        <w:t>一典故揭示了科举制度考核方式的僵化与单一性。科举制强调“四书五经”的背诵，使得考生往往只是在机械地重复经典的文字，而缺乏对其深层次义理的理解与思考。正是这种表面功夫与内在空虚的现象，才成为“白蜡明经”所讽刺的主要对象。这种考核方式无疑加剧了学术研究的肤浅化，也折射出科举制度在选拔人才时的局限性，未能有效发掘考生的综合素质与创新能力，最终形成了对“形式主义”的固守。</w:t>
      </w:r>
    </w:p>
    <w:bookmarkEnd w:id="60"/>
    <w:p w14:paraId="4CDA9C00">
      <w:pPr>
        <w:pageBreakBefore w:val="0"/>
        <w:wordWrap/>
        <w:spacing w:before="0" w:after="0" w:line="360" w:lineRule="auto"/>
        <w:ind w:left="0" w:right="0"/>
        <w:jc w:val="left"/>
        <w:textAlignment w:val="auto"/>
        <w:outlineLvl w:val="2"/>
        <w:rPr>
          <w:rFonts w:hint="eastAsia" w:ascii="黑体" w:hAnsi="黑体" w:eastAsia="黑体" w:cs="黑体"/>
          <w:b w:val="0"/>
          <w:i w:val="0"/>
          <w:spacing w:val="0"/>
          <w:sz w:val="21"/>
        </w:rPr>
      </w:pPr>
      <w:bookmarkStart w:id="61" w:name="a35c5125-7d7f-48de-9c15-1b0812f378a4"/>
      <w:r>
        <w:rPr>
          <w:rFonts w:hint="eastAsia" w:ascii="黑体" w:hAnsi="黑体" w:eastAsia="黑体" w:cs="黑体"/>
          <w:b w:val="0"/>
          <w:i w:val="0"/>
          <w:spacing w:val="0"/>
          <w:sz w:val="21"/>
          <w:lang w:val="en-US" w:eastAsia="zh-CN"/>
        </w:rPr>
        <w:t>4</w:t>
      </w:r>
      <w:r>
        <w:rPr>
          <w:rFonts w:ascii="黑体" w:hAnsi="黑体" w:eastAsia="黑体" w:cs="黑体"/>
          <w:b w:val="0"/>
          <w:i w:val="0"/>
          <w:spacing w:val="0"/>
          <w:sz w:val="21"/>
        </w:rPr>
        <w:t xml:space="preserve">.2 </w:t>
      </w:r>
      <w:bookmarkEnd w:id="61"/>
      <w:r>
        <w:rPr>
          <w:rFonts w:hint="eastAsia" w:ascii="黑体" w:hAnsi="黑体" w:eastAsia="黑体" w:cs="黑体"/>
          <w:b w:val="0"/>
          <w:i w:val="0"/>
          <w:spacing w:val="0"/>
          <w:sz w:val="21"/>
        </w:rPr>
        <w:t>考试内容的功利导向与学术失衡</w:t>
      </w:r>
    </w:p>
    <w:p w14:paraId="2081D258">
      <w:pPr>
        <w:pageBreakBefore w:val="0"/>
        <w:wordWrap/>
        <w:spacing w:before="0" w:after="0" w:line="360" w:lineRule="auto"/>
        <w:ind w:left="0" w:right="0" w:firstLine="420"/>
        <w:jc w:val="both"/>
        <w:textAlignment w:val="auto"/>
        <w:rPr>
          <w:rFonts w:ascii="宋体" w:hAnsi="宋体" w:eastAsia="宋体" w:cs="宋体"/>
          <w:b w:val="0"/>
          <w:i w:val="0"/>
          <w:spacing w:val="0"/>
          <w:sz w:val="21"/>
        </w:rPr>
      </w:pPr>
      <w:r>
        <w:rPr>
          <w:rFonts w:ascii="宋体" w:hAnsi="宋体" w:eastAsia="宋体" w:cs="宋体"/>
          <w:b w:val="0"/>
          <w:i w:val="0"/>
          <w:spacing w:val="0"/>
          <w:sz w:val="21"/>
        </w:rPr>
        <w:t>同时，科举重视文学才能，诗词歌赋、八股文章成为考查重点，使得士人形成重文轻技的思想观念，将大量精力投入文学创作与文辞雕琢，而对实用技术、自然科学等缺乏关注与研究，认为这些与功名无关，无助于科举成功</w:t>
      </w:r>
      <w:r>
        <w:rPr>
          <w:rFonts w:ascii="宋体" w:hAnsi="宋体" w:eastAsia="宋体" w:cs="宋体"/>
          <w:b w:val="0"/>
          <w:i w:val="0"/>
          <w:spacing w:val="0"/>
          <w:sz w:val="21"/>
          <w:vertAlign w:val="superscript"/>
        </w:rPr>
        <w:t>[5]</w:t>
      </w:r>
      <w:r>
        <w:rPr>
          <w:rFonts w:ascii="宋体" w:hAnsi="宋体" w:eastAsia="宋体" w:cs="宋体"/>
          <w:b w:val="0"/>
          <w:i w:val="0"/>
          <w:spacing w:val="0"/>
          <w:sz w:val="21"/>
        </w:rPr>
        <w:t>。</w:t>
      </w:r>
    </w:p>
    <w:p w14:paraId="2F1ED4BC">
      <w:pPr>
        <w:pageBreakBefore w:val="0"/>
        <w:wordWrap/>
        <w:spacing w:before="0" w:after="0" w:line="360" w:lineRule="auto"/>
        <w:ind w:left="0" w:right="0" w:firstLine="420"/>
        <w:jc w:val="both"/>
        <w:textAlignment w:val="auto"/>
        <w:rPr>
          <w:rFonts w:hint="default" w:ascii="黑体" w:hAnsi="黑体" w:eastAsia="黑体" w:cs="黑体"/>
          <w:b w:val="0"/>
          <w:i w:val="0"/>
          <w:spacing w:val="0"/>
          <w:sz w:val="21"/>
          <w:lang w:val="en-US"/>
        </w:rPr>
      </w:pPr>
      <w:r>
        <w:rPr>
          <w:rFonts w:hint="eastAsia" w:ascii="宋体" w:hAnsi="宋体" w:eastAsia="宋体" w:cs="宋体"/>
          <w:b w:val="0"/>
          <w:i w:val="0"/>
          <w:spacing w:val="0"/>
          <w:sz w:val="21"/>
          <w:lang w:val="en-US" w:eastAsia="zh-CN"/>
        </w:rPr>
        <w:t>客观地说，科举的考试内容很大程度上影响了当时一朝的学术风气和研究重点。唐朝以诗取士，是唐诗兴盛的很大一原因</w:t>
      </w:r>
      <w:r>
        <w:rPr>
          <w:rFonts w:hint="eastAsia" w:ascii="宋体" w:hAnsi="宋体" w:eastAsia="宋体" w:cs="宋体"/>
          <w:b w:val="0"/>
          <w:i w:val="0"/>
          <w:spacing w:val="0"/>
          <w:sz w:val="21"/>
          <w:vertAlign w:val="superscript"/>
          <w:lang w:val="en-US" w:eastAsia="zh-CN"/>
        </w:rPr>
        <w:t>[16]</w:t>
      </w:r>
      <w:r>
        <w:rPr>
          <w:rFonts w:hint="eastAsia" w:ascii="宋体" w:hAnsi="宋体" w:eastAsia="宋体" w:cs="宋体"/>
          <w:b w:val="0"/>
          <w:i w:val="0"/>
          <w:spacing w:val="0"/>
          <w:sz w:val="21"/>
          <w:lang w:val="en-US" w:eastAsia="zh-CN"/>
        </w:rPr>
        <w:t>。正因为“以诗取士”，所以唐诗成为“百世的典型”。而宋代并不以诗取士，重视策论，所以诗歌渐衰，而古文运动得到一定发展和重视。至于明清，八股取士，诗词歌赋的发展更是受了很大障碍，甚至古文本身也受到阻碍，“时文”等科举考试用书则流行一时。“今之为时文者，父兄师训无不望其速成，其肯多费时日于典籍乎？是古学之亡，亡于时文之视为分途也。”</w:t>
      </w:r>
      <w:r>
        <w:rPr>
          <w:rFonts w:hint="eastAsia" w:ascii="宋体" w:hAnsi="宋体" w:eastAsia="宋体" w:cs="宋体"/>
          <w:b w:val="0"/>
          <w:i w:val="0"/>
          <w:spacing w:val="0"/>
          <w:sz w:val="21"/>
          <w:vertAlign w:val="superscript"/>
          <w:lang w:val="en-US" w:eastAsia="zh-CN"/>
        </w:rPr>
        <w:t xml:space="preserve">[17] </w:t>
      </w:r>
      <w:r>
        <w:rPr>
          <w:rFonts w:hint="eastAsia" w:ascii="宋体" w:hAnsi="宋体" w:eastAsia="宋体" w:cs="宋体"/>
          <w:b w:val="0"/>
          <w:i w:val="0"/>
          <w:spacing w:val="0"/>
          <w:sz w:val="21"/>
          <w:vertAlign w:val="baseline"/>
          <w:lang w:val="en-US" w:eastAsia="zh-CN"/>
        </w:rPr>
        <w:t>就是一个很生动的例子。这导致了很严重的学术发展不平衡，明清时期古诗古文式微，从唐至明清中国自然科学发展不够充分，都与科举考试的内容选择密切相关。可以说，科举考试内容的变化，深刻影响了中国文学史的发展轨迹，也在一定程度上造成了中国自然科学的落后，放在今天观察高考制度，仍有一定借鉴意义。</w:t>
      </w:r>
    </w:p>
    <w:p w14:paraId="5484E73F">
      <w:pPr>
        <w:pageBreakBefore w:val="0"/>
        <w:wordWrap/>
        <w:spacing w:before="0" w:after="0" w:line="360" w:lineRule="auto"/>
        <w:ind w:left="0" w:right="0"/>
        <w:jc w:val="left"/>
        <w:textAlignment w:val="auto"/>
        <w:outlineLvl w:val="2"/>
        <w:rPr>
          <w:rFonts w:hint="eastAsia" w:ascii="黑体" w:hAnsi="黑体" w:eastAsia="黑体" w:cs="黑体"/>
          <w:b w:val="0"/>
          <w:i w:val="0"/>
          <w:spacing w:val="0"/>
          <w:sz w:val="21"/>
        </w:rPr>
      </w:pPr>
      <w:bookmarkStart w:id="62" w:name="e96a1bc6-7103-45b4-ae2b-2bf885f46d64"/>
      <w:r>
        <w:rPr>
          <w:rFonts w:hint="eastAsia" w:ascii="黑体" w:hAnsi="黑体" w:eastAsia="黑体" w:cs="黑体"/>
          <w:b w:val="0"/>
          <w:i w:val="0"/>
          <w:spacing w:val="0"/>
          <w:sz w:val="21"/>
          <w:lang w:val="en-US" w:eastAsia="zh-CN"/>
        </w:rPr>
        <w:t>4</w:t>
      </w:r>
      <w:r>
        <w:rPr>
          <w:rFonts w:ascii="黑体" w:hAnsi="黑体" w:eastAsia="黑体" w:cs="黑体"/>
          <w:b w:val="0"/>
          <w:i w:val="0"/>
          <w:spacing w:val="0"/>
          <w:sz w:val="21"/>
        </w:rPr>
        <w:t xml:space="preserve">.3 </w:t>
      </w:r>
      <w:bookmarkEnd w:id="62"/>
      <w:r>
        <w:rPr>
          <w:rFonts w:hint="eastAsia" w:ascii="黑体" w:hAnsi="黑体" w:eastAsia="黑体" w:cs="黑体"/>
          <w:b w:val="0"/>
          <w:i w:val="0"/>
          <w:spacing w:val="0"/>
          <w:sz w:val="21"/>
        </w:rPr>
        <w:t>科举成败作为士人价值的唯一标尺</w:t>
      </w:r>
    </w:p>
    <w:p w14:paraId="588F225B">
      <w:pPr>
        <w:pageBreakBefore w:val="0"/>
        <w:wordWrap/>
        <w:spacing w:before="0" w:after="0" w:line="360" w:lineRule="auto"/>
        <w:ind w:left="0" w:right="0" w:firstLine="420"/>
        <w:jc w:val="both"/>
        <w:textAlignment w:val="auto"/>
        <w:rPr>
          <w:rFonts w:hint="eastAsia" w:ascii="宋体" w:hAnsi="宋体" w:eastAsia="宋体" w:cs="宋体"/>
          <w:b w:val="0"/>
          <w:i w:val="0"/>
          <w:spacing w:val="0"/>
          <w:sz w:val="21"/>
          <w:lang w:val="en-US" w:eastAsia="zh-CN"/>
        </w:rPr>
      </w:pPr>
      <w:r>
        <w:rPr>
          <w:rFonts w:hint="eastAsia" w:ascii="宋体" w:hAnsi="宋体" w:eastAsia="宋体" w:cs="宋体"/>
          <w:b w:val="0"/>
          <w:i w:val="0"/>
          <w:spacing w:val="0"/>
          <w:sz w:val="21"/>
          <w:lang w:val="en-US" w:eastAsia="zh-CN"/>
        </w:rPr>
        <w:t>此外，科举的成败也成为士人相互评判的几乎唯一的标准。例如王士禛记载的一则关于《史记》的笑话就很难能说明这一问题：</w:t>
      </w:r>
    </w:p>
    <w:p w14:paraId="1128FB56">
      <w:pPr>
        <w:pageBreakBefore w:val="0"/>
        <w:wordWrap/>
        <w:spacing w:before="0" w:after="0" w:line="360" w:lineRule="auto"/>
        <w:ind w:left="0" w:right="0" w:firstLine="420"/>
        <w:jc w:val="both"/>
        <w:textAlignment w:val="auto"/>
        <w:rPr>
          <w:rFonts w:hint="eastAsia" w:ascii="宋体" w:hAnsi="宋体" w:eastAsia="宋体" w:cs="宋体"/>
          <w:b w:val="0"/>
          <w:i w:val="0"/>
          <w:spacing w:val="0"/>
          <w:sz w:val="21"/>
          <w:lang w:val="en-US" w:eastAsia="zh-CN"/>
        </w:rPr>
      </w:pPr>
      <w:r>
        <w:rPr>
          <w:rFonts w:hint="eastAsia" w:ascii="宋体" w:hAnsi="宋体" w:eastAsia="宋体" w:cs="宋体"/>
          <w:b w:val="0"/>
          <w:i w:val="0"/>
          <w:spacing w:val="0"/>
          <w:sz w:val="21"/>
          <w:lang w:val="en-US" w:eastAsia="zh-CN"/>
        </w:rPr>
        <w:t>莱阳宋荔裳（琬）按察言幼时读书家塾，其邑一前辈老甲科过之，问：“孺子所读何书？”对曰：“《史记》。”又问：“何人所 作？”曰：“司马迁。”又问：“渠是某科进士？”曰：“汉太史令，非进士也。”遽取而观之，读未一二行，辄抵于案，曰：“亦不见佳，何用读为？[18]</w:t>
      </w:r>
    </w:p>
    <w:p w14:paraId="309BDEA9">
      <w:pPr>
        <w:pageBreakBefore w:val="0"/>
        <w:wordWrap/>
        <w:spacing w:before="0" w:after="0" w:line="360" w:lineRule="auto"/>
        <w:ind w:left="0" w:right="0" w:firstLine="420"/>
        <w:jc w:val="both"/>
        <w:textAlignment w:val="auto"/>
        <w:rPr>
          <w:rFonts w:hint="eastAsia" w:ascii="黑体" w:hAnsi="黑体" w:eastAsia="黑体" w:cs="黑体"/>
          <w:b w:val="0"/>
          <w:i w:val="0"/>
          <w:spacing w:val="0"/>
          <w:sz w:val="21"/>
        </w:rPr>
      </w:pPr>
      <w:r>
        <w:rPr>
          <w:rFonts w:hint="eastAsia" w:ascii="宋体" w:hAnsi="宋体" w:eastAsia="宋体" w:cs="宋体"/>
          <w:b w:val="0"/>
          <w:i w:val="0"/>
          <w:spacing w:val="0"/>
          <w:sz w:val="21"/>
          <w:lang w:val="en-US" w:eastAsia="zh-CN"/>
        </w:rPr>
        <w:t>进士的文章视若珍宝，其余的文章，即使是《史记》《汉书》等历史经典也难免被冷落。</w:t>
      </w:r>
    </w:p>
    <w:p w14:paraId="30DF4EDB">
      <w:pPr>
        <w:pageBreakBefore w:val="0"/>
        <w:wordWrap/>
        <w:spacing w:before="0" w:after="0" w:line="360" w:lineRule="auto"/>
        <w:ind w:left="0" w:right="0"/>
        <w:jc w:val="left"/>
        <w:textAlignment w:val="auto"/>
        <w:outlineLvl w:val="2"/>
        <w:rPr>
          <w:rFonts w:ascii="黑体" w:hAnsi="黑体" w:eastAsia="黑体" w:cs="黑体"/>
          <w:b w:val="0"/>
          <w:i w:val="0"/>
          <w:spacing w:val="0"/>
          <w:sz w:val="21"/>
        </w:rPr>
      </w:pPr>
      <w:bookmarkStart w:id="63" w:name="424a244e-9211-49e4-9ac9-ca9b13cd9abe"/>
      <w:r>
        <w:rPr>
          <w:rFonts w:hint="eastAsia" w:ascii="黑体" w:hAnsi="黑体" w:eastAsia="黑体" w:cs="黑体"/>
          <w:b w:val="0"/>
          <w:i w:val="0"/>
          <w:spacing w:val="0"/>
          <w:sz w:val="21"/>
          <w:lang w:val="en-US" w:eastAsia="zh-CN"/>
        </w:rPr>
        <w:t>4</w:t>
      </w:r>
      <w:r>
        <w:rPr>
          <w:rFonts w:ascii="黑体" w:hAnsi="黑体" w:eastAsia="黑体" w:cs="黑体"/>
          <w:b w:val="0"/>
          <w:i w:val="0"/>
          <w:spacing w:val="0"/>
          <w:sz w:val="21"/>
        </w:rPr>
        <w:t>.</w:t>
      </w:r>
      <w:r>
        <w:rPr>
          <w:rFonts w:hint="eastAsia" w:ascii="黑体" w:hAnsi="黑体" w:eastAsia="黑体" w:cs="黑体"/>
          <w:b w:val="0"/>
          <w:i w:val="0"/>
          <w:spacing w:val="0"/>
          <w:sz w:val="21"/>
          <w:lang w:val="en-US" w:eastAsia="zh-CN"/>
        </w:rPr>
        <w:t>4</w:t>
      </w:r>
      <w:r>
        <w:rPr>
          <w:rFonts w:ascii="黑体" w:hAnsi="黑体" w:eastAsia="黑体" w:cs="黑体"/>
          <w:b w:val="0"/>
          <w:i w:val="0"/>
          <w:spacing w:val="0"/>
          <w:sz w:val="21"/>
        </w:rPr>
        <w:t xml:space="preserve"> 士人价值观变化对</w:t>
      </w:r>
      <w:r>
        <w:rPr>
          <w:rFonts w:hint="eastAsia" w:ascii="黑体" w:hAnsi="黑体" w:eastAsia="黑体" w:cs="黑体"/>
          <w:b w:val="0"/>
          <w:i w:val="0"/>
          <w:spacing w:val="0"/>
          <w:sz w:val="21"/>
          <w:lang w:val="en-US" w:eastAsia="zh-CN"/>
        </w:rPr>
        <w:t>社会文化</w:t>
      </w:r>
      <w:r>
        <w:rPr>
          <w:rFonts w:ascii="黑体" w:hAnsi="黑体" w:eastAsia="黑体" w:cs="黑体"/>
          <w:b w:val="0"/>
          <w:i w:val="0"/>
          <w:spacing w:val="0"/>
          <w:sz w:val="21"/>
        </w:rPr>
        <w:t>的影响</w:t>
      </w:r>
    </w:p>
    <w:p w14:paraId="169BD60F">
      <w:pPr>
        <w:pageBreakBefore w:val="0"/>
        <w:wordWrap/>
        <w:spacing w:before="0" w:after="0" w:line="360" w:lineRule="auto"/>
        <w:ind w:left="0" w:right="0" w:firstLine="420"/>
        <w:jc w:val="both"/>
        <w:textAlignment w:val="auto"/>
        <w:rPr>
          <w:rFonts w:hint="eastAsia" w:ascii="宋体" w:hAnsi="宋体" w:eastAsia="宋体" w:cs="宋体"/>
          <w:b w:val="0"/>
          <w:i w:val="0"/>
          <w:spacing w:val="0"/>
          <w:sz w:val="21"/>
          <w:lang w:val="en-US" w:eastAsia="zh-CN"/>
        </w:rPr>
      </w:pPr>
      <w:bookmarkStart w:id="64" w:name="2e1ceb6d-d95b-4635-b57f-fed90bf5db00"/>
      <w:r>
        <w:rPr>
          <w:rFonts w:ascii="宋体" w:hAnsi="宋体" w:eastAsia="宋体" w:cs="宋体"/>
          <w:b w:val="0"/>
          <w:i w:val="0"/>
          <w:spacing w:val="0"/>
          <w:sz w:val="21"/>
        </w:rPr>
        <w:t>科举制度塑造的士人价值观变化，对社会文化产生诸多影响。一方面，引发文化功利化倾向，社会普遍以科举成败衡量个人价值，文化活动也围绕科举展开，文学创作、学术研究多旨在辅助科举，缺乏对文化本身价值的追求</w:t>
      </w:r>
      <w:r>
        <w:rPr>
          <w:rFonts w:ascii="宋体" w:hAnsi="宋体" w:eastAsia="宋体" w:cs="宋体"/>
          <w:b w:val="0"/>
          <w:i w:val="0"/>
          <w:spacing w:val="0"/>
          <w:sz w:val="21"/>
          <w:vertAlign w:val="superscript"/>
        </w:rPr>
        <w:t>[1]</w:t>
      </w:r>
      <w:r>
        <w:rPr>
          <w:rFonts w:ascii="宋体" w:hAnsi="宋体" w:eastAsia="宋体" w:cs="宋体"/>
          <w:b w:val="0"/>
          <w:i w:val="0"/>
          <w:spacing w:val="0"/>
          <w:sz w:val="21"/>
        </w:rPr>
        <w:t>。另一方面，抑制学术创新，士人为适应科举评价标准，遵循既定学术范式，不敢突破传统观念，对新思想、新方法持保守态度，阻碍学术的发展与进步</w:t>
      </w:r>
      <w:r>
        <w:rPr>
          <w:rFonts w:ascii="宋体" w:hAnsi="宋体" w:eastAsia="宋体" w:cs="宋体"/>
          <w:b w:val="0"/>
          <w:i w:val="0"/>
          <w:spacing w:val="0"/>
          <w:sz w:val="21"/>
          <w:vertAlign w:val="superscript"/>
        </w:rPr>
        <w:t>[5]</w:t>
      </w:r>
      <w:r>
        <w:rPr>
          <w:rFonts w:ascii="宋体" w:hAnsi="宋体" w:eastAsia="宋体" w:cs="宋体"/>
          <w:b w:val="0"/>
          <w:i w:val="0"/>
          <w:spacing w:val="0"/>
          <w:sz w:val="21"/>
        </w:rPr>
        <w:t>。</w:t>
      </w:r>
      <w:bookmarkEnd w:id="64"/>
      <w:r>
        <w:rPr>
          <w:rFonts w:hint="eastAsia" w:ascii="宋体" w:hAnsi="宋体" w:eastAsia="宋体" w:cs="宋体"/>
          <w:b w:val="0"/>
          <w:i w:val="0"/>
          <w:spacing w:val="0"/>
          <w:sz w:val="21"/>
          <w:lang w:val="en-US" w:eastAsia="zh-CN"/>
        </w:rPr>
        <w:t>明清时期重视“四书五经”，八股取士，所以当时所谓“时文”兴盛，而经学史学渐废，</w:t>
      </w:r>
      <w:r>
        <w:rPr>
          <w:rFonts w:hint="default" w:ascii="宋体" w:hAnsi="宋体" w:eastAsia="宋体" w:cs="宋体"/>
          <w:b w:val="0"/>
          <w:i w:val="0"/>
          <w:spacing w:val="0"/>
          <w:sz w:val="21"/>
          <w:lang w:val="en-US" w:eastAsia="zh-CN"/>
        </w:rPr>
        <w:t>清人张棡与友人宋燕生在闲谈中</w:t>
      </w:r>
      <w:r>
        <w:rPr>
          <w:rFonts w:hint="eastAsia" w:ascii="宋体" w:hAnsi="宋体" w:eastAsia="宋体" w:cs="宋体"/>
          <w:b w:val="0"/>
          <w:i w:val="0"/>
          <w:spacing w:val="0"/>
          <w:sz w:val="21"/>
          <w:lang w:val="en-US" w:eastAsia="zh-CN"/>
        </w:rPr>
        <w:t>就提到了一件相关的事情</w:t>
      </w:r>
      <w:r>
        <w:rPr>
          <w:rFonts w:hint="default" w:ascii="宋体" w:hAnsi="宋体" w:eastAsia="宋体" w:cs="宋体"/>
          <w:b w:val="0"/>
          <w:i w:val="0"/>
          <w:spacing w:val="0"/>
          <w:sz w:val="21"/>
          <w:lang w:val="en-US" w:eastAsia="zh-CN"/>
        </w:rPr>
        <w:t>，载于张氏日记中</w:t>
      </w:r>
      <w:r>
        <w:rPr>
          <w:rFonts w:hint="eastAsia" w:ascii="宋体" w:hAnsi="宋体" w:eastAsia="宋体" w:cs="宋体"/>
          <w:b w:val="0"/>
          <w:i w:val="0"/>
          <w:spacing w:val="0"/>
          <w:sz w:val="21"/>
          <w:lang w:val="en-US" w:eastAsia="zh-CN"/>
        </w:rPr>
        <w:t>：</w:t>
      </w:r>
    </w:p>
    <w:p w14:paraId="4A7A71A6">
      <w:pPr>
        <w:pageBreakBefore w:val="0"/>
        <w:wordWrap/>
        <w:spacing w:before="0" w:after="0" w:line="360" w:lineRule="auto"/>
        <w:ind w:left="0" w:right="0" w:firstLine="420"/>
        <w:jc w:val="both"/>
        <w:textAlignment w:val="auto"/>
        <w:rPr>
          <w:rFonts w:hint="eastAsia" w:ascii="黑体" w:hAnsi="黑体" w:eastAsia="黑体" w:cs="黑体"/>
          <w:b w:val="0"/>
          <w:i w:val="0"/>
          <w:spacing w:val="0"/>
          <w:sz w:val="21"/>
          <w:lang w:val="en-US" w:eastAsia="zh-CN"/>
        </w:rPr>
      </w:pPr>
      <w:r>
        <w:rPr>
          <w:rFonts w:hint="default" w:ascii="宋体" w:hAnsi="宋体" w:eastAsia="宋体" w:cs="宋体"/>
          <w:b w:val="0"/>
          <w:i w:val="0"/>
          <w:spacing w:val="0"/>
          <w:sz w:val="21"/>
          <w:lang w:val="en-US" w:eastAsia="zh-CN"/>
        </w:rPr>
        <w:t>宋君云：天下学问之最孤陋者，无如中国北边之京官。昔人云问太史公是何科进士？《史记》是何科朱卷？今殆有甚矣。有某翰林向某官借阅《汉书》，甫四五日便送还，某官问已览毕乎？其人摇首曰：此书某不见有一点好处，其中文理荒谬令人费解者甚多，自今而后吾不欲观之矣。</w:t>
      </w:r>
      <w:r>
        <w:rPr>
          <w:rFonts w:hint="eastAsia" w:ascii="宋体" w:hAnsi="宋体" w:eastAsia="宋体" w:cs="宋体"/>
          <w:b w:val="0"/>
          <w:i w:val="0"/>
          <w:spacing w:val="0"/>
          <w:sz w:val="21"/>
          <w:vertAlign w:val="superscript"/>
          <w:lang w:val="en-US" w:eastAsia="zh-CN"/>
        </w:rPr>
        <w:t>[19]</w:t>
      </w:r>
    </w:p>
    <w:p w14:paraId="4A23A63C">
      <w:pPr>
        <w:pageBreakBefore w:val="0"/>
        <w:wordWrap/>
        <w:spacing w:before="0" w:after="0" w:line="360" w:lineRule="auto"/>
        <w:ind w:left="0" w:right="0"/>
        <w:jc w:val="left"/>
        <w:textAlignment w:val="auto"/>
        <w:outlineLvl w:val="2"/>
        <w:rPr>
          <w:sz w:val="21"/>
        </w:rPr>
      </w:pPr>
      <w:r>
        <w:rPr>
          <w:rFonts w:hint="eastAsia" w:ascii="黑体" w:hAnsi="黑体" w:eastAsia="黑体" w:cs="黑体"/>
          <w:b w:val="0"/>
          <w:i w:val="0"/>
          <w:spacing w:val="0"/>
          <w:sz w:val="21"/>
          <w:lang w:val="en-US" w:eastAsia="zh-CN"/>
        </w:rPr>
        <w:t>4</w:t>
      </w:r>
      <w:r>
        <w:rPr>
          <w:rFonts w:ascii="黑体" w:hAnsi="黑体" w:eastAsia="黑体" w:cs="黑体"/>
          <w:b w:val="0"/>
          <w:i w:val="0"/>
          <w:spacing w:val="0"/>
          <w:sz w:val="21"/>
        </w:rPr>
        <w:t>.</w:t>
      </w:r>
      <w:r>
        <w:rPr>
          <w:rFonts w:hint="eastAsia" w:ascii="黑体" w:hAnsi="黑体" w:eastAsia="黑体" w:cs="黑体"/>
          <w:b w:val="0"/>
          <w:i w:val="0"/>
          <w:spacing w:val="0"/>
          <w:sz w:val="21"/>
          <w:lang w:val="en-US" w:eastAsia="zh-CN"/>
        </w:rPr>
        <w:t>5</w:t>
      </w:r>
      <w:r>
        <w:rPr>
          <w:rFonts w:ascii="黑体" w:hAnsi="黑体" w:eastAsia="黑体" w:cs="黑体"/>
          <w:b w:val="0"/>
          <w:i w:val="0"/>
          <w:spacing w:val="0"/>
          <w:sz w:val="21"/>
        </w:rPr>
        <w:t xml:space="preserve"> 士人价值观变化对政治生态的影响</w:t>
      </w:r>
      <w:bookmarkEnd w:id="63"/>
    </w:p>
    <w:p w14:paraId="5D5AF51A">
      <w:pPr>
        <w:pageBreakBefore w:val="0"/>
        <w:wordWrap/>
        <w:spacing w:before="0" w:after="0" w:line="360" w:lineRule="auto"/>
        <w:ind w:left="0" w:right="0" w:firstLine="420"/>
        <w:jc w:val="both"/>
        <w:textAlignment w:val="auto"/>
        <w:rPr>
          <w:rFonts w:hint="default" w:ascii="宋体" w:hAnsi="宋体" w:eastAsia="宋体" w:cs="宋体"/>
          <w:b w:val="0"/>
          <w:i w:val="0"/>
          <w:spacing w:val="0"/>
          <w:sz w:val="21"/>
          <w:lang w:val="en-US" w:eastAsia="zh-CN"/>
        </w:rPr>
      </w:pPr>
      <w:bookmarkStart w:id="65" w:name="a1cc3052-4d8e-4cea-9779-7df2c50d5056"/>
      <w:r>
        <w:rPr>
          <w:rFonts w:ascii="宋体" w:hAnsi="宋体" w:eastAsia="宋体" w:cs="宋体"/>
          <w:b w:val="0"/>
          <w:i w:val="0"/>
          <w:spacing w:val="0"/>
          <w:sz w:val="21"/>
        </w:rPr>
        <w:t>士人价值观改变对政治生态有重要反作用。在官员素质方面，由于科举注重文学与经学，选拔出的官员可能缺乏实际治理能力与多元知识结构，在处理复杂政务时力不从心，影响行政效率与质量</w:t>
      </w:r>
      <w:r>
        <w:rPr>
          <w:rFonts w:ascii="宋体" w:hAnsi="宋体" w:eastAsia="宋体" w:cs="宋体"/>
          <w:b w:val="0"/>
          <w:i w:val="0"/>
          <w:spacing w:val="0"/>
          <w:sz w:val="21"/>
          <w:vertAlign w:val="superscript"/>
        </w:rPr>
        <w:t>[1]</w:t>
      </w:r>
      <w:r>
        <w:rPr>
          <w:rFonts w:ascii="宋体" w:hAnsi="宋体" w:eastAsia="宋体" w:cs="宋体"/>
          <w:b w:val="0"/>
          <w:i w:val="0"/>
          <w:spacing w:val="0"/>
          <w:sz w:val="21"/>
        </w:rPr>
        <w:t>。在政治决策上，受功利价值观影响，官员可能更关注个人政绩与升迁，而非国家与民众长远利益，导致政治决策短期化、功利化，不利于国家的长治久安与可持续发展</w:t>
      </w:r>
      <w:r>
        <w:rPr>
          <w:rFonts w:ascii="宋体" w:hAnsi="宋体" w:eastAsia="宋体" w:cs="宋体"/>
          <w:b w:val="0"/>
          <w:i w:val="0"/>
          <w:spacing w:val="0"/>
          <w:sz w:val="21"/>
          <w:vertAlign w:val="superscript"/>
        </w:rPr>
        <w:t>[5]</w:t>
      </w:r>
      <w:r>
        <w:rPr>
          <w:rFonts w:ascii="宋体" w:hAnsi="宋体" w:eastAsia="宋体" w:cs="宋体"/>
          <w:b w:val="0"/>
          <w:i w:val="0"/>
          <w:spacing w:val="0"/>
          <w:sz w:val="21"/>
        </w:rPr>
        <w:t>。</w:t>
      </w:r>
      <w:bookmarkEnd w:id="65"/>
    </w:p>
    <w:p w14:paraId="16B08F9D">
      <w:pPr>
        <w:pageBreakBefore w:val="0"/>
        <w:wordWrap/>
        <w:spacing w:before="0" w:after="0" w:line="360" w:lineRule="auto"/>
        <w:ind w:left="0" w:right="0"/>
        <w:jc w:val="left"/>
        <w:textAlignment w:val="auto"/>
        <w:outlineLvl w:val="1"/>
        <w:rPr>
          <w:sz w:val="21"/>
        </w:rPr>
      </w:pPr>
      <w:bookmarkStart w:id="66" w:name="c5904c85-215e-4a8b-903e-fdbe1079f442"/>
      <w:r>
        <w:rPr>
          <w:rFonts w:hint="eastAsia" w:ascii="黑体" w:hAnsi="黑体" w:eastAsia="黑体" w:cs="黑体"/>
          <w:b w:val="0"/>
          <w:i w:val="0"/>
          <w:spacing w:val="0"/>
          <w:sz w:val="21"/>
          <w:lang w:val="en-US" w:eastAsia="zh-CN"/>
        </w:rPr>
        <w:t>5</w:t>
      </w:r>
      <w:r>
        <w:rPr>
          <w:rFonts w:ascii="黑体" w:hAnsi="黑体" w:eastAsia="黑体" w:cs="黑体"/>
          <w:b w:val="0"/>
          <w:i w:val="0"/>
          <w:spacing w:val="0"/>
          <w:sz w:val="21"/>
        </w:rPr>
        <w:t>. 结论</w:t>
      </w:r>
      <w:bookmarkEnd w:id="66"/>
    </w:p>
    <w:p w14:paraId="4BC1DF17">
      <w:pPr>
        <w:pageBreakBefore w:val="0"/>
        <w:wordWrap/>
        <w:spacing w:before="0" w:after="0" w:line="360" w:lineRule="auto"/>
        <w:ind w:left="0" w:right="0"/>
        <w:jc w:val="left"/>
        <w:textAlignment w:val="auto"/>
        <w:outlineLvl w:val="2"/>
        <w:rPr>
          <w:sz w:val="21"/>
        </w:rPr>
      </w:pPr>
      <w:bookmarkStart w:id="67" w:name="e358a988-e14f-4806-bcbc-617e8789fc9e"/>
      <w:r>
        <w:rPr>
          <w:rFonts w:hint="eastAsia" w:ascii="黑体" w:hAnsi="黑体" w:eastAsia="黑体" w:cs="黑体"/>
          <w:b w:val="0"/>
          <w:i w:val="0"/>
          <w:spacing w:val="0"/>
          <w:sz w:val="21"/>
          <w:lang w:val="en-US" w:eastAsia="zh-CN"/>
        </w:rPr>
        <w:t>5</w:t>
      </w:r>
      <w:r>
        <w:rPr>
          <w:rFonts w:ascii="黑体" w:hAnsi="黑体" w:eastAsia="黑体" w:cs="黑体"/>
          <w:b w:val="0"/>
          <w:i w:val="0"/>
          <w:spacing w:val="0"/>
          <w:sz w:val="21"/>
        </w:rPr>
        <w:t>.1 研究总结</w:t>
      </w:r>
      <w:bookmarkEnd w:id="67"/>
    </w:p>
    <w:p w14:paraId="662812E5">
      <w:pPr>
        <w:pageBreakBefore w:val="0"/>
        <w:wordWrap/>
        <w:spacing w:before="0" w:after="0" w:line="360" w:lineRule="auto"/>
        <w:ind w:left="0" w:right="0" w:firstLine="420"/>
        <w:jc w:val="both"/>
        <w:textAlignment w:val="auto"/>
        <w:rPr>
          <w:sz w:val="21"/>
        </w:rPr>
      </w:pPr>
      <w:bookmarkStart w:id="68" w:name="be233518-0de9-4cf7-9ee5-244c830c786f"/>
      <w:r>
        <w:rPr>
          <w:rFonts w:ascii="宋体" w:hAnsi="宋体" w:eastAsia="宋体" w:cs="宋体"/>
          <w:b w:val="0"/>
          <w:i w:val="0"/>
          <w:spacing w:val="0"/>
          <w:sz w:val="21"/>
        </w:rPr>
        <w:t>本研究</w:t>
      </w:r>
      <w:r>
        <w:rPr>
          <w:rFonts w:hint="eastAsia" w:ascii="宋体" w:hAnsi="宋体" w:eastAsia="宋体" w:cs="宋体"/>
          <w:b w:val="0"/>
          <w:i w:val="0"/>
          <w:spacing w:val="0"/>
          <w:sz w:val="21"/>
          <w:lang w:val="en-US" w:eastAsia="zh-CN"/>
        </w:rPr>
        <w:t>首先</w:t>
      </w:r>
      <w:r>
        <w:rPr>
          <w:rFonts w:ascii="宋体" w:hAnsi="宋体" w:eastAsia="宋体" w:cs="宋体"/>
          <w:b w:val="0"/>
          <w:i w:val="0"/>
          <w:spacing w:val="0"/>
          <w:sz w:val="21"/>
        </w:rPr>
        <w:t>深入梳理了“白蜡明经”典故的来龙去脉</w:t>
      </w:r>
      <w:r>
        <w:rPr>
          <w:rFonts w:hint="eastAsia" w:ascii="宋体" w:hAnsi="宋体" w:eastAsia="宋体" w:cs="宋体"/>
          <w:b w:val="0"/>
          <w:i w:val="0"/>
          <w:spacing w:val="0"/>
          <w:sz w:val="21"/>
          <w:lang w:eastAsia="zh-CN"/>
        </w:rPr>
        <w:t>，</w:t>
      </w:r>
      <w:r>
        <w:rPr>
          <w:rFonts w:hint="eastAsia" w:ascii="宋体" w:hAnsi="宋体" w:eastAsia="宋体" w:cs="宋体"/>
          <w:b w:val="0"/>
          <w:i w:val="0"/>
          <w:spacing w:val="0"/>
          <w:sz w:val="21"/>
          <w:lang w:val="en-US" w:eastAsia="zh-CN"/>
        </w:rPr>
        <w:t>其次</w:t>
      </w:r>
      <w:r>
        <w:rPr>
          <w:rFonts w:ascii="宋体" w:hAnsi="宋体" w:eastAsia="宋体" w:cs="宋体"/>
          <w:b w:val="0"/>
          <w:i w:val="0"/>
          <w:spacing w:val="0"/>
          <w:sz w:val="21"/>
        </w:rPr>
        <w:t>以“白蜡明经”典故为切入点，揭示了科举制度对士人价值观的塑造作用。科举制度通过考试内容与评价标准，影响士人思想观念，引导其行为方式，进而使士人形成功利心态。这种价值观变化不仅对社会文化产生如文化功利化、学术创新抑制等影响，还对政治生态中的官员素质与政治决策等方面造成反作用。同时，本研究也</w:t>
      </w:r>
      <w:r>
        <w:rPr>
          <w:rFonts w:hint="eastAsia" w:ascii="宋体" w:hAnsi="宋体" w:eastAsia="宋体" w:cs="宋体"/>
          <w:b w:val="0"/>
          <w:i w:val="0"/>
          <w:spacing w:val="0"/>
          <w:sz w:val="21"/>
          <w:lang w:val="en-US" w:eastAsia="zh-CN"/>
        </w:rPr>
        <w:t>指出了</w:t>
      </w:r>
      <w:r>
        <w:rPr>
          <w:rFonts w:ascii="宋体" w:hAnsi="宋体" w:eastAsia="宋体" w:cs="宋体"/>
          <w:b w:val="0"/>
          <w:i w:val="0"/>
          <w:spacing w:val="0"/>
          <w:sz w:val="21"/>
        </w:rPr>
        <w:t>科举制度</w:t>
      </w:r>
      <w:r>
        <w:rPr>
          <w:rFonts w:hint="eastAsia" w:ascii="宋体" w:hAnsi="宋体" w:eastAsia="宋体" w:cs="宋体"/>
          <w:b w:val="0"/>
          <w:i w:val="0"/>
          <w:spacing w:val="0"/>
          <w:sz w:val="21"/>
          <w:lang w:val="en-US" w:eastAsia="zh-CN"/>
        </w:rPr>
        <w:t>在塑造士人价值观</w:t>
      </w:r>
      <w:r>
        <w:rPr>
          <w:rFonts w:ascii="宋体" w:hAnsi="宋体" w:eastAsia="宋体" w:cs="宋体"/>
          <w:b w:val="0"/>
          <w:i w:val="0"/>
          <w:spacing w:val="0"/>
          <w:sz w:val="21"/>
        </w:rPr>
        <w:t>等方面的</w:t>
      </w:r>
      <w:r>
        <w:rPr>
          <w:rFonts w:hint="eastAsia" w:ascii="宋体" w:hAnsi="宋体" w:eastAsia="宋体" w:cs="宋体"/>
          <w:b w:val="0"/>
          <w:i w:val="0"/>
          <w:spacing w:val="0"/>
          <w:sz w:val="21"/>
          <w:lang w:val="en-US" w:eastAsia="zh-CN"/>
        </w:rPr>
        <w:t>复杂影响</w:t>
      </w:r>
      <w:r>
        <w:rPr>
          <w:rFonts w:ascii="宋体" w:hAnsi="宋体" w:eastAsia="宋体" w:cs="宋体"/>
          <w:b w:val="0"/>
          <w:i w:val="0"/>
          <w:spacing w:val="0"/>
          <w:sz w:val="21"/>
        </w:rPr>
        <w:t>。</w:t>
      </w:r>
      <w:r>
        <w:rPr>
          <w:rFonts w:ascii="宋体" w:hAnsi="宋体" w:eastAsia="宋体" w:cs="宋体"/>
          <w:b w:val="0"/>
          <w:i w:val="0"/>
          <w:spacing w:val="0"/>
          <w:sz w:val="21"/>
          <w:vertAlign w:val="superscript"/>
        </w:rPr>
        <w:t>[1][3]</w:t>
      </w:r>
      <w:bookmarkEnd w:id="68"/>
    </w:p>
    <w:p w14:paraId="2E60AEDB">
      <w:pPr>
        <w:pageBreakBefore w:val="0"/>
        <w:wordWrap/>
        <w:spacing w:before="0" w:after="0" w:line="360" w:lineRule="auto"/>
        <w:ind w:left="0" w:right="0"/>
        <w:jc w:val="left"/>
        <w:textAlignment w:val="auto"/>
        <w:outlineLvl w:val="2"/>
        <w:rPr>
          <w:sz w:val="21"/>
        </w:rPr>
      </w:pPr>
      <w:bookmarkStart w:id="69" w:name="eb3fcd24-504c-4b0d-b9f1-220027bcf56c"/>
      <w:r>
        <w:rPr>
          <w:rFonts w:hint="eastAsia" w:ascii="黑体" w:hAnsi="黑体" w:eastAsia="黑体" w:cs="黑体"/>
          <w:b w:val="0"/>
          <w:i w:val="0"/>
          <w:spacing w:val="0"/>
          <w:sz w:val="21"/>
          <w:lang w:val="en-US" w:eastAsia="zh-CN"/>
        </w:rPr>
        <w:t>5</w:t>
      </w:r>
      <w:r>
        <w:rPr>
          <w:rFonts w:ascii="黑体" w:hAnsi="黑体" w:eastAsia="黑体" w:cs="黑体"/>
          <w:b w:val="0"/>
          <w:i w:val="0"/>
          <w:spacing w:val="0"/>
          <w:sz w:val="21"/>
        </w:rPr>
        <w:t>.2 研究展望</w:t>
      </w:r>
      <w:bookmarkEnd w:id="69"/>
    </w:p>
    <w:p w14:paraId="70C7DC06">
      <w:pPr>
        <w:pageBreakBefore w:val="0"/>
        <w:wordWrap/>
        <w:spacing w:before="0" w:after="0" w:line="360" w:lineRule="auto"/>
        <w:ind w:left="0" w:right="0" w:firstLine="420"/>
        <w:jc w:val="both"/>
        <w:textAlignment w:val="auto"/>
        <w:rPr>
          <w:sz w:val="21"/>
        </w:rPr>
      </w:pPr>
      <w:bookmarkStart w:id="70" w:name="88eb4973-7c01-4aae-bd48-a8423fd26c72"/>
      <w:r>
        <w:rPr>
          <w:rFonts w:ascii="宋体" w:hAnsi="宋体" w:eastAsia="宋体" w:cs="宋体"/>
          <w:b w:val="0"/>
          <w:i w:val="0"/>
          <w:spacing w:val="0"/>
          <w:sz w:val="21"/>
        </w:rPr>
        <w:t>对于成语典故与古代文化的研究，应加强对更多成语典故的剖析，构建成语典故与古代文化更为全面、系统的关联网络。在研究方法上，可综合运用多学科理论与方法，如社会学、心理学等，以深化对科举制度、成语典故及古代文化的理解。此外，随着新史料的不断发现，有望对科举制度及相关成语典故的研究进行补充与修正，推动该领域研究不断向前发展。</w:t>
      </w:r>
      <w:r>
        <w:rPr>
          <w:rFonts w:ascii="宋体" w:hAnsi="宋体" w:eastAsia="宋体" w:cs="宋体"/>
          <w:b w:val="0"/>
          <w:i w:val="0"/>
          <w:spacing w:val="0"/>
          <w:sz w:val="21"/>
          <w:vertAlign w:val="superscript"/>
        </w:rPr>
        <w:t>[2]</w:t>
      </w:r>
      <w:bookmarkEnd w:id="70"/>
    </w:p>
    <w:p w14:paraId="0DB634FB">
      <w:pPr>
        <w:pageBreakBefore/>
        <w:wordWrap/>
        <w:spacing w:before="0" w:after="0" w:line="360" w:lineRule="auto"/>
        <w:ind w:left="0" w:right="0"/>
        <w:jc w:val="center"/>
        <w:textAlignment w:val="auto"/>
        <w:outlineLvl w:val="1"/>
        <w:rPr>
          <w:sz w:val="21"/>
        </w:rPr>
      </w:pPr>
      <w:bookmarkStart w:id="71" w:name="b0da3253-ee73-4e89-91f7-71e3339110ed"/>
      <w:r>
        <w:rPr>
          <w:rFonts w:ascii="黑体" w:hAnsi="黑体" w:eastAsia="黑体" w:cs="黑体"/>
          <w:b w:val="0"/>
          <w:i w:val="0"/>
          <w:spacing w:val="0"/>
          <w:sz w:val="21"/>
        </w:rPr>
        <w:t>参考文献</w:t>
      </w:r>
      <w:bookmarkEnd w:id="71"/>
    </w:p>
    <w:p w14:paraId="745D4999">
      <w:pPr>
        <w:pageBreakBefore w:val="0"/>
        <w:wordWrap/>
        <w:spacing w:before="0" w:after="0" w:line="240" w:lineRule="auto"/>
        <w:ind w:left="420" w:right="0" w:hanging="420"/>
        <w:jc w:val="both"/>
        <w:textAlignment w:val="auto"/>
        <w:rPr>
          <w:sz w:val="24"/>
        </w:rPr>
      </w:pPr>
      <w:bookmarkStart w:id="72" w:name="3b60676b-3562-4be2-9feb-f95043396cba"/>
      <w:r>
        <w:rPr>
          <w:rFonts w:ascii="宋体" w:hAnsi="宋体" w:eastAsia="宋体" w:cs="宋体"/>
          <w:b w:val="0"/>
          <w:i w:val="0"/>
          <w:spacing w:val="0"/>
          <w:sz w:val="24"/>
        </w:rPr>
        <w:t>[1]王玉超.明代儒经学术与科举制衡作用下的儒家类丛书编纂[J].四川大学学报（哲学社会科学版）,2022,(2):32-41.</w:t>
      </w:r>
      <w:bookmarkEnd w:id="72"/>
    </w:p>
    <w:p w14:paraId="12CED98D">
      <w:pPr>
        <w:pageBreakBefore w:val="0"/>
        <w:wordWrap/>
        <w:spacing w:before="0" w:after="0" w:line="240" w:lineRule="auto"/>
        <w:ind w:left="420" w:right="0" w:hanging="420"/>
        <w:jc w:val="both"/>
        <w:textAlignment w:val="auto"/>
        <w:rPr>
          <w:sz w:val="24"/>
        </w:rPr>
      </w:pPr>
      <w:bookmarkStart w:id="73" w:name="c34b23e7-9955-49ee-85aa-61e8f753b4f0"/>
      <w:r>
        <w:rPr>
          <w:rFonts w:ascii="宋体" w:hAnsi="宋体" w:eastAsia="宋体" w:cs="宋体"/>
          <w:b w:val="0"/>
          <w:i w:val="0"/>
          <w:spacing w:val="0"/>
          <w:sz w:val="24"/>
        </w:rPr>
        <w:t>[2]庞玲.阅读学术成果,促进历史教材内容整合[J].江苏教育,2023,(46):10-13.</w:t>
      </w:r>
      <w:bookmarkEnd w:id="73"/>
    </w:p>
    <w:p w14:paraId="22253B6E">
      <w:pPr>
        <w:pageBreakBefore w:val="0"/>
        <w:wordWrap/>
        <w:spacing w:before="0" w:after="0" w:line="240" w:lineRule="auto"/>
        <w:ind w:left="420" w:right="0" w:hanging="420"/>
        <w:jc w:val="both"/>
        <w:textAlignment w:val="auto"/>
        <w:rPr>
          <w:sz w:val="24"/>
        </w:rPr>
      </w:pPr>
      <w:bookmarkStart w:id="74" w:name="cb54088b-b9d8-4def-88eb-9c64e875c76f"/>
      <w:r>
        <w:rPr>
          <w:rFonts w:ascii="宋体" w:hAnsi="宋体" w:eastAsia="宋体" w:cs="宋体"/>
          <w:b w:val="0"/>
          <w:i w:val="0"/>
          <w:spacing w:val="0"/>
          <w:sz w:val="24"/>
        </w:rPr>
        <w:t>[3]张昊阳.义利与天命:明代中后期士人举业心态钩沉[J].开封文化艺术职业学院学报,2024,44(2):12-17.</w:t>
      </w:r>
      <w:bookmarkEnd w:id="74"/>
    </w:p>
    <w:p w14:paraId="63B0CE54">
      <w:pPr>
        <w:pageBreakBefore w:val="0"/>
        <w:wordWrap/>
        <w:spacing w:before="0" w:after="0" w:line="240" w:lineRule="auto"/>
        <w:ind w:left="420" w:right="0" w:hanging="420"/>
        <w:jc w:val="both"/>
        <w:textAlignment w:val="auto"/>
        <w:rPr>
          <w:rFonts w:ascii="宋体" w:hAnsi="宋体" w:eastAsia="宋体" w:cs="宋体"/>
          <w:b w:val="0"/>
          <w:i w:val="0"/>
          <w:spacing w:val="0"/>
          <w:sz w:val="24"/>
        </w:rPr>
      </w:pPr>
      <w:bookmarkStart w:id="75" w:name="1b0ad295-d7ba-4fd9-97ed-31b5c47538c1"/>
      <w:r>
        <w:rPr>
          <w:rFonts w:ascii="宋体" w:hAnsi="宋体" w:eastAsia="宋体" w:cs="宋体"/>
          <w:b w:val="0"/>
          <w:i w:val="0"/>
          <w:spacing w:val="0"/>
          <w:sz w:val="24"/>
        </w:rPr>
        <w:t>[4]</w:t>
      </w:r>
      <w:bookmarkEnd w:id="75"/>
      <w:bookmarkStart w:id="76" w:name="dba9b619-faef-417a-8cdf-b022911e223e"/>
      <w:r>
        <w:rPr>
          <w:rFonts w:ascii="宋体" w:hAnsi="宋体" w:eastAsia="宋体" w:cs="宋体"/>
          <w:b w:val="0"/>
          <w:i w:val="0"/>
          <w:spacing w:val="0"/>
          <w:sz w:val="24"/>
        </w:rPr>
        <w:t>龚笃清.中国八股文史·明代卷[M].长沙：岳麓书社， 2017:2.</w:t>
      </w:r>
    </w:p>
    <w:p w14:paraId="7E6E1B22">
      <w:pPr>
        <w:pageBreakBefore w:val="0"/>
        <w:wordWrap/>
        <w:spacing w:before="0" w:after="0" w:line="240" w:lineRule="auto"/>
        <w:ind w:left="420" w:right="0" w:hanging="420"/>
        <w:jc w:val="both"/>
        <w:textAlignment w:val="auto"/>
        <w:rPr>
          <w:sz w:val="24"/>
        </w:rPr>
      </w:pPr>
      <w:r>
        <w:rPr>
          <w:rFonts w:ascii="宋体" w:hAnsi="宋体" w:eastAsia="宋体" w:cs="宋体"/>
          <w:b w:val="0"/>
          <w:i w:val="0"/>
          <w:spacing w:val="0"/>
          <w:sz w:val="24"/>
        </w:rPr>
        <w:t>[5]杨青华.乾隆朝制科、科举与乾嘉经史考据学的兴起[J].安徽大学学报（哲学社会科学版）,2022,46(2):38-48.</w:t>
      </w:r>
      <w:bookmarkEnd w:id="76"/>
    </w:p>
    <w:p w14:paraId="2A3D115C">
      <w:pPr>
        <w:pageBreakBefore w:val="0"/>
        <w:wordWrap/>
        <w:spacing w:before="0" w:after="0" w:line="240" w:lineRule="auto"/>
        <w:ind w:left="420" w:right="0" w:hanging="420"/>
        <w:jc w:val="both"/>
        <w:textAlignment w:val="auto"/>
        <w:rPr>
          <w:rFonts w:ascii="宋体" w:hAnsi="宋体" w:eastAsia="宋体" w:cs="宋体"/>
          <w:b w:val="0"/>
          <w:i w:val="0"/>
          <w:spacing w:val="0"/>
          <w:sz w:val="24"/>
        </w:rPr>
      </w:pPr>
      <w:bookmarkStart w:id="77" w:name="eaa48b9d-f146-4f25-afb4-5cf3231b4387"/>
      <w:r>
        <w:rPr>
          <w:rFonts w:ascii="宋体" w:hAnsi="宋体" w:eastAsia="宋体" w:cs="宋体"/>
          <w:b w:val="0"/>
          <w:i w:val="0"/>
          <w:spacing w:val="0"/>
          <w:sz w:val="24"/>
        </w:rPr>
        <w:t>[6]</w:t>
      </w:r>
      <w:bookmarkEnd w:id="77"/>
      <w:bookmarkStart w:id="78" w:name="df54281d-28e0-47b9-809d-158578604e20"/>
      <w:r>
        <w:rPr>
          <w:rFonts w:ascii="宋体" w:hAnsi="宋体" w:eastAsia="宋体" w:cs="宋体"/>
          <w:b w:val="0"/>
          <w:i w:val="0"/>
          <w:spacing w:val="0"/>
          <w:sz w:val="24"/>
        </w:rPr>
        <w:t>张新科.《史记》文学经典化的重要途径——以明代评 点为例[J].文史哲,2014(3):124-132.</w:t>
      </w:r>
    </w:p>
    <w:p w14:paraId="70B9A7ED">
      <w:pPr>
        <w:pageBreakBefore w:val="0"/>
        <w:wordWrap/>
        <w:spacing w:before="0" w:after="0" w:line="240" w:lineRule="auto"/>
        <w:ind w:left="420" w:right="0" w:hanging="420"/>
        <w:jc w:val="both"/>
        <w:textAlignment w:val="auto"/>
        <w:rPr>
          <w:sz w:val="24"/>
        </w:rPr>
      </w:pPr>
      <w:r>
        <w:rPr>
          <w:rFonts w:ascii="宋体" w:hAnsi="宋体" w:eastAsia="宋体" w:cs="宋体"/>
          <w:b w:val="0"/>
          <w:i w:val="0"/>
          <w:spacing w:val="0"/>
          <w:sz w:val="24"/>
        </w:rPr>
        <w:t>[7]崔越.中国科举博物馆文化符号在设计中的应用[J].美与时代（创意）（上）,2024,(2):28-31.</w:t>
      </w:r>
      <w:bookmarkEnd w:id="78"/>
    </w:p>
    <w:p w14:paraId="3BDAA2B8">
      <w:pPr>
        <w:pageBreakBefore w:val="0"/>
        <w:wordWrap/>
        <w:spacing w:before="0" w:after="0" w:line="240" w:lineRule="auto"/>
        <w:ind w:left="420" w:right="0" w:hanging="420"/>
        <w:jc w:val="both"/>
        <w:textAlignment w:val="auto"/>
        <w:rPr>
          <w:sz w:val="24"/>
        </w:rPr>
      </w:pPr>
      <w:bookmarkStart w:id="79" w:name="5b8d8142-2502-4f98-bb13-9116f140687c"/>
      <w:r>
        <w:rPr>
          <w:rFonts w:ascii="宋体" w:hAnsi="宋体" w:eastAsia="宋体" w:cs="宋体"/>
          <w:b w:val="0"/>
          <w:i w:val="0"/>
          <w:spacing w:val="0"/>
          <w:sz w:val="24"/>
        </w:rPr>
        <w:t>[8]尚继武.《聊斋志异》与《镜花缘》科举叙事的比较研究[J].蒲松龄研究,2024,(1):80-95.</w:t>
      </w:r>
      <w:bookmarkEnd w:id="79"/>
    </w:p>
    <w:p w14:paraId="587FC0EC">
      <w:pPr>
        <w:pageBreakBefore w:val="0"/>
        <w:wordWrap/>
        <w:spacing w:before="0" w:after="0" w:line="240" w:lineRule="auto"/>
        <w:ind w:left="420" w:right="0" w:hanging="420"/>
        <w:jc w:val="both"/>
        <w:textAlignment w:val="auto"/>
        <w:rPr>
          <w:sz w:val="24"/>
        </w:rPr>
      </w:pPr>
      <w:bookmarkStart w:id="80" w:name="9ef9c99a-2c8b-48ad-b00d-556390281ffc"/>
      <w:r>
        <w:rPr>
          <w:rFonts w:ascii="宋体" w:hAnsi="宋体" w:eastAsia="宋体" w:cs="宋体"/>
          <w:b w:val="0"/>
          <w:i w:val="0"/>
          <w:spacing w:val="0"/>
          <w:sz w:val="24"/>
        </w:rPr>
        <w:t>[9]刘全波;曹丹.类书与科举的互动交融——以敦煌写本《语对》为中心[J].敦煌学辑刊,2023,(1):14-26.</w:t>
      </w:r>
      <w:bookmarkEnd w:id="80"/>
    </w:p>
    <w:p w14:paraId="3BA3851A">
      <w:pPr>
        <w:pageBreakBefore w:val="0"/>
        <w:wordWrap/>
        <w:spacing w:before="0" w:after="0" w:line="240" w:lineRule="auto"/>
        <w:ind w:left="420" w:right="0" w:hanging="420"/>
        <w:jc w:val="both"/>
        <w:textAlignment w:val="auto"/>
        <w:rPr>
          <w:sz w:val="24"/>
        </w:rPr>
      </w:pPr>
      <w:bookmarkStart w:id="81" w:name="2909d03a-cd87-4c6f-b59c-a8330534b62a"/>
      <w:r>
        <w:rPr>
          <w:rFonts w:ascii="宋体" w:hAnsi="宋体" w:eastAsia="宋体" w:cs="宋体"/>
          <w:b w:val="0"/>
          <w:i w:val="0"/>
          <w:spacing w:val="0"/>
          <w:sz w:val="24"/>
        </w:rPr>
        <w:t>[10]贾智.《新译华严经音义私记》与唐代字样学东传日本新考[J].苏州大学学报（哲学社会科学版）,2020,41(3):166-175.</w:t>
      </w:r>
      <w:bookmarkEnd w:id="81"/>
    </w:p>
    <w:p w14:paraId="7510F6E0">
      <w:pPr>
        <w:pageBreakBefore w:val="0"/>
        <w:wordWrap/>
        <w:spacing w:before="0" w:after="0" w:line="240" w:lineRule="auto"/>
        <w:ind w:left="420" w:right="0" w:hanging="420"/>
        <w:jc w:val="both"/>
        <w:textAlignment w:val="auto"/>
        <w:rPr>
          <w:rFonts w:ascii="宋体" w:hAnsi="宋体" w:eastAsia="宋体" w:cs="宋体"/>
          <w:b w:val="0"/>
          <w:i w:val="0"/>
          <w:spacing w:val="0"/>
          <w:sz w:val="24"/>
        </w:rPr>
      </w:pPr>
      <w:bookmarkStart w:id="82" w:name="5a3d5dd5-762a-4e66-9f1c-117532e52a7b"/>
      <w:r>
        <w:rPr>
          <w:rFonts w:ascii="宋体" w:hAnsi="宋体" w:eastAsia="宋体" w:cs="宋体"/>
          <w:b w:val="0"/>
          <w:i w:val="0"/>
          <w:spacing w:val="0"/>
          <w:sz w:val="24"/>
        </w:rPr>
        <w:t>[11]李力.科举劝善:故事、传统与文化——以《考试佳话》为中心[J].教育与考试,2023,(2):34-44.</w:t>
      </w:r>
      <w:bookmarkEnd w:id="82"/>
    </w:p>
    <w:p w14:paraId="15A91808">
      <w:pPr>
        <w:pageBreakBefore w:val="0"/>
        <w:wordWrap/>
        <w:spacing w:before="0" w:after="0" w:line="240" w:lineRule="auto"/>
        <w:ind w:left="420" w:right="0" w:hanging="420"/>
        <w:jc w:val="both"/>
        <w:textAlignment w:val="auto"/>
        <w:rPr>
          <w:rFonts w:ascii="宋体" w:hAnsi="宋体" w:eastAsia="宋体" w:cs="宋体"/>
          <w:b w:val="0"/>
          <w:i w:val="0"/>
          <w:spacing w:val="0"/>
          <w:sz w:val="24"/>
        </w:rPr>
      </w:pPr>
      <w:r>
        <w:rPr>
          <w:rFonts w:ascii="宋体" w:hAnsi="宋体" w:eastAsia="宋体" w:cs="宋体"/>
          <w:b w:val="0"/>
          <w:i w:val="0"/>
          <w:spacing w:val="0"/>
          <w:sz w:val="24"/>
        </w:rPr>
        <w:t>[1</w:t>
      </w:r>
      <w:r>
        <w:rPr>
          <w:rFonts w:hint="eastAsia" w:ascii="宋体" w:hAnsi="宋体" w:eastAsia="宋体" w:cs="宋体"/>
          <w:b w:val="0"/>
          <w:i w:val="0"/>
          <w:spacing w:val="0"/>
          <w:sz w:val="24"/>
          <w:lang w:val="en-US" w:eastAsia="zh-CN"/>
        </w:rPr>
        <w:t>2</w:t>
      </w:r>
      <w:r>
        <w:rPr>
          <w:rFonts w:ascii="宋体" w:hAnsi="宋体" w:eastAsia="宋体" w:cs="宋体"/>
          <w:b w:val="0"/>
          <w:i w:val="0"/>
          <w:spacing w:val="0"/>
          <w:sz w:val="24"/>
        </w:rPr>
        <w:t>]张小伙.明清士人《史记》阅读考察——基于科举应试视角[J].淮北师范大学学报(哲学社会科学版),2023,44(05):56-64.</w:t>
      </w:r>
    </w:p>
    <w:p w14:paraId="578B2F36">
      <w:pPr>
        <w:pageBreakBefore w:val="0"/>
        <w:wordWrap/>
        <w:spacing w:before="0" w:after="0" w:line="240" w:lineRule="auto"/>
        <w:ind w:left="420" w:right="0" w:hanging="420"/>
        <w:jc w:val="both"/>
        <w:textAlignment w:val="auto"/>
        <w:rPr>
          <w:sz w:val="24"/>
        </w:rPr>
      </w:pPr>
      <w:bookmarkStart w:id="83" w:name="b8f619d1-bd19-4f6b-beea-5d45db0a5912"/>
      <w:r>
        <w:rPr>
          <w:rFonts w:ascii="宋体" w:hAnsi="宋体" w:eastAsia="宋体" w:cs="宋体"/>
          <w:b w:val="0"/>
          <w:i w:val="0"/>
          <w:spacing w:val="0"/>
          <w:sz w:val="24"/>
        </w:rPr>
        <w:t>[13]周沫如.墓志铭所见隋代科举语词集解[J].唐都学刊,2020,36(4):84-89.</w:t>
      </w:r>
      <w:bookmarkEnd w:id="83"/>
    </w:p>
    <w:p w14:paraId="095B92DC">
      <w:pPr>
        <w:pageBreakBefore w:val="0"/>
        <w:wordWrap/>
        <w:spacing w:before="0" w:after="0" w:line="240" w:lineRule="auto"/>
        <w:ind w:left="420" w:right="0" w:hanging="420"/>
        <w:jc w:val="both"/>
        <w:textAlignment w:val="auto"/>
        <w:rPr>
          <w:sz w:val="24"/>
        </w:rPr>
      </w:pPr>
      <w:bookmarkStart w:id="84" w:name="2fe93020-df42-4a9e-b0ea-b5351255e14d"/>
      <w:r>
        <w:rPr>
          <w:rFonts w:ascii="宋体" w:hAnsi="宋体" w:eastAsia="宋体" w:cs="宋体"/>
          <w:b w:val="0"/>
          <w:i w:val="0"/>
          <w:spacing w:val="0"/>
          <w:sz w:val="24"/>
        </w:rPr>
        <w:t>[14]</w:t>
      </w:r>
      <w:bookmarkEnd w:id="84"/>
      <w:r>
        <w:rPr>
          <w:rFonts w:ascii="宋体" w:hAnsi="宋体" w:eastAsia="宋体" w:cs="宋体"/>
          <w:b w:val="0"/>
          <w:i w:val="0"/>
          <w:spacing w:val="0"/>
          <w:sz w:val="24"/>
        </w:rPr>
        <w:t>[1]苏秋成.近百年来文学史著作中的“唐代科举与文学”书写[J].三峡大学学报(人文社会科学版),2025,47(03):49-55.</w:t>
      </w:r>
    </w:p>
    <w:p w14:paraId="34A20FDC">
      <w:pPr>
        <w:pageBreakBefore w:val="0"/>
        <w:wordWrap/>
        <w:spacing w:before="0" w:after="0" w:line="240" w:lineRule="auto"/>
        <w:ind w:left="420" w:right="0" w:hanging="420"/>
        <w:jc w:val="both"/>
        <w:textAlignment w:val="auto"/>
        <w:rPr>
          <w:rFonts w:ascii="宋体" w:hAnsi="宋体" w:eastAsia="宋体" w:cs="宋体"/>
          <w:b w:val="0"/>
          <w:i w:val="0"/>
          <w:spacing w:val="0"/>
          <w:sz w:val="24"/>
        </w:rPr>
      </w:pPr>
      <w:bookmarkStart w:id="85" w:name="3453adea-4c00-41b0-a397-84e3ab2be67f"/>
      <w:r>
        <w:rPr>
          <w:rFonts w:ascii="宋体" w:hAnsi="宋体" w:eastAsia="宋体" w:cs="宋体"/>
          <w:b w:val="0"/>
          <w:i w:val="0"/>
          <w:spacing w:val="0"/>
          <w:sz w:val="24"/>
        </w:rPr>
        <w:t>[15]陈刚.论明万历笔记的材料取舍[J].北京社会科学,2021,(5):21-34.</w:t>
      </w:r>
      <w:bookmarkEnd w:id="85"/>
    </w:p>
    <w:p w14:paraId="7A06863F">
      <w:pPr>
        <w:pageBreakBefore w:val="0"/>
        <w:wordWrap/>
        <w:spacing w:before="0" w:after="0" w:line="240" w:lineRule="auto"/>
        <w:ind w:left="420" w:right="0" w:hanging="420"/>
        <w:jc w:val="both"/>
        <w:textAlignment w:val="auto"/>
        <w:rPr>
          <w:rFonts w:hint="eastAsia" w:ascii="宋体" w:hAnsi="宋体" w:eastAsia="宋体" w:cs="宋体"/>
          <w:b w:val="0"/>
          <w:i w:val="0"/>
          <w:spacing w:val="0"/>
          <w:sz w:val="24"/>
          <w:lang w:val="en-US" w:eastAsia="zh-CN"/>
        </w:rPr>
      </w:pPr>
      <w:r>
        <w:rPr>
          <w:rFonts w:hint="eastAsia" w:ascii="宋体" w:hAnsi="宋体" w:eastAsia="宋体" w:cs="宋体"/>
          <w:b w:val="0"/>
          <w:i w:val="0"/>
          <w:spacing w:val="0"/>
          <w:sz w:val="24"/>
          <w:lang w:val="en-US" w:eastAsia="zh-CN"/>
        </w:rPr>
        <w:t>[16]苏秋成.近百年来文学史著作中的“唐代科举与文学”书写[J].三峡大学学报(人文社会科学版),2025,47(03):49-55.</w:t>
      </w:r>
    </w:p>
    <w:p w14:paraId="76175AB7">
      <w:pPr>
        <w:pageBreakBefore w:val="0"/>
        <w:wordWrap/>
        <w:spacing w:before="0" w:after="0" w:line="240" w:lineRule="auto"/>
        <w:ind w:left="420" w:right="0" w:hanging="420"/>
        <w:jc w:val="both"/>
        <w:textAlignment w:val="auto"/>
        <w:rPr>
          <w:rFonts w:ascii="宋体" w:hAnsi="宋体" w:eastAsia="宋体" w:cs="宋体"/>
          <w:sz w:val="24"/>
          <w:szCs w:val="24"/>
        </w:rPr>
      </w:pPr>
      <w:r>
        <w:rPr>
          <w:rFonts w:hint="eastAsia" w:ascii="宋体" w:hAnsi="宋体" w:eastAsia="宋体" w:cs="宋体"/>
          <w:b w:val="0"/>
          <w:i w:val="0"/>
          <w:spacing w:val="0"/>
          <w:sz w:val="24"/>
          <w:lang w:val="en-US" w:eastAsia="zh-CN"/>
        </w:rPr>
        <w:t>[17]</w:t>
      </w:r>
      <w:r>
        <w:rPr>
          <w:rFonts w:ascii="宋体" w:hAnsi="宋体" w:eastAsia="宋体" w:cs="宋体"/>
          <w:sz w:val="24"/>
          <w:szCs w:val="24"/>
        </w:rPr>
        <w:t>邓洪波.中国书院学规集成[M].北京：中西书局，2011: 962.</w:t>
      </w:r>
    </w:p>
    <w:p w14:paraId="54E0216F">
      <w:pPr>
        <w:pageBreakBefore w:val="0"/>
        <w:wordWrap/>
        <w:spacing w:before="0" w:after="0" w:line="240" w:lineRule="auto"/>
        <w:ind w:left="420" w:right="0" w:hanging="42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[18]王士禛.香祖笔记[M].北京：学苑出版社，2001:285.</w:t>
      </w:r>
    </w:p>
    <w:p w14:paraId="6C17899D">
      <w:pPr>
        <w:pageBreakBefore w:val="0"/>
        <w:wordWrap/>
        <w:spacing w:before="0" w:after="0" w:line="240" w:lineRule="auto"/>
        <w:ind w:left="420" w:right="0" w:hanging="42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[19]</w:t>
      </w:r>
      <w:r>
        <w:rPr>
          <w:rFonts w:ascii="宋体" w:hAnsi="宋体" w:eastAsia="宋体" w:cs="宋体"/>
          <w:sz w:val="24"/>
          <w:szCs w:val="24"/>
        </w:rPr>
        <w:t>张棡.张棡日记[M].上海：上海社会科学院出版社， 2003:74-75</w:t>
      </w:r>
      <w:r>
        <w:rPr>
          <w:rFonts w:hint="eastAsia" w:ascii="宋体" w:hAnsi="宋体" w:eastAsia="宋体" w:cs="宋体"/>
          <w:sz w:val="24"/>
          <w:szCs w:val="24"/>
          <w:lang w:val="en-US" w:eastAsia="zh-CN"/>
        </w:rPr>
        <w:t>.</w:t>
      </w:r>
    </w:p>
    <w:sectPr>
      <w:footerReference r:id="rId5" w:type="default"/>
      <w:pgSz w:w="11900" w:h="16840"/>
      <w:pgMar w:top="1440" w:right="1800" w:bottom="1440" w:left="1800" w:header="840" w:footer="98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CFDB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1F2A7">
    <w:pPr>
      <w:jc w:val="center"/>
    </w:pPr>
    <w:r>
      <w:fldChar w:fldCharType="begin"/>
    </w:r>
    <w:r>
      <w:instrText xml:space="preserve">PAGE \* ROMAN MERGEFORMAT</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660B6">
    <w:pPr>
      <w:jc w:val="center"/>
    </w:pPr>
    <w:r>
      <w:fldChar w:fldCharType="begin"/>
    </w:r>
    <w:r>
      <w:instrText xml:space="preserve">PAGE \* ARABIC MERGEFORMAT</w:instrText>
    </w:r>
    <w:r>
      <w:fldChar w:fldCharType="separate"/>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ulTrailSpace/>
    <w:doNotExpandShiftReturn/>
    <w:doNotWrapTextWithPunct/>
    <w:doNotUseEastAsianBreakRules/>
    <w:useFELayout/>
    <w:doNotUseIndentAsNumberingTabStop/>
    <w:compatSetting w:name="compatibilityMode" w:uri="http://schemas.microsoft.com/office/word" w:val="15"/>
  </w:compat>
  <w:rsids>
    <w:rsidRoot w:val="00000000"/>
    <w:rsid w:val="0A8A284F"/>
    <w:rsid w:val="1B50431C"/>
    <w:rsid w:val="45474167"/>
    <w:rsid w:val="4E7A632E"/>
    <w:rsid w:val="558E3C91"/>
    <w:rsid w:val="56786ADA"/>
    <w:rsid w:val="7F8E00D4"/>
    <w:rsid w:val="FB5EF77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5866</Words>
  <Characters>7375</Characters>
  <TotalTime>19</TotalTime>
  <ScaleCrop>false</ScaleCrop>
  <LinksUpToDate>false</LinksUpToDate>
  <CharactersWithSpaces>7673</CharactersWithSpaces>
  <Application>WPS Office WWO_base_provider_20250107171338-7e3eb3042c</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2025-05-14T20:15:00Z</dcterms:created>
  <dc:creator>Apache POI</dc:creator>
  <cp:lastModifiedBy>王瑞</cp:lastModifiedBy>
  <dcterms:modified xsi:type="dcterms:W3CDTF">2025-06-20T20:33:16Z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eyJoZGlkIjoiNGQ5ZWU1MWIwYTYwNjhhYTI3OGZmN2E3Y2RlNjUzYmMiLCJ1c2VySWQiOiIxNjM5NDcxNzAxIn0=</vt:lpwstr>
  </property>
  <property fmtid="{D5CDD505-2E9C-101B-9397-08002B2CF9AE}" pid="3" name="KSOProductBuildVer">
    <vt:lpwstr>2052-0.0.0.0</vt:lpwstr>
  </property>
  <property fmtid="{D5CDD505-2E9C-101B-9397-08002B2CF9AE}" pid="4" name="ICV">
    <vt:lpwstr>52F26097246BC1B60C555568B9A772BB_43</vt:lpwstr>
  </property>
</Properties>
</file>