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9F623">
      <w:pPr>
        <w:jc w:val="center"/>
        <w:rPr>
          <w:b/>
          <w:bCs/>
          <w:sz w:val="52"/>
          <w:szCs w:val="52"/>
          <w:highlight w:val="yellow"/>
        </w:rPr>
      </w:pPr>
      <w:commentRangeStart w:id="0"/>
      <w:r>
        <w:rPr>
          <w:rFonts w:hint="eastAsia"/>
          <w:b/>
          <w:bCs/>
          <w:sz w:val="52"/>
          <w:szCs w:val="52"/>
          <w:highlight w:val="yellow"/>
        </w:rPr>
        <w:t>历代科举制度防舞弊的发展</w:t>
      </w:r>
      <w:commentRangeEnd w:id="0"/>
      <w:r>
        <w:rPr>
          <w:rStyle w:val="20"/>
        </w:rPr>
        <w:commentReference w:id="0"/>
      </w:r>
    </w:p>
    <w:p w14:paraId="3E6138A2">
      <w:pPr>
        <w:jc w:val="right"/>
        <w:rPr>
          <w:b/>
          <w:bCs/>
          <w:sz w:val="44"/>
          <w:szCs w:val="44"/>
        </w:rPr>
      </w:pPr>
      <w:r>
        <w:rPr>
          <w:rFonts w:hint="eastAsia"/>
          <w:b/>
          <w:bCs/>
          <w:sz w:val="44"/>
          <w:szCs w:val="44"/>
          <w:highlight w:val="yellow"/>
        </w:rPr>
        <w:t>——以“沆瀣一气”为例</w:t>
      </w:r>
    </w:p>
    <w:p w14:paraId="28423F8F">
      <w:pPr>
        <w:jc w:val="center"/>
        <w:rPr>
          <w:rFonts w:asciiTheme="minorEastAsia" w:hAnsiTheme="minorEastAsia"/>
          <w:b/>
          <w:bCs/>
          <w:sz w:val="24"/>
        </w:rPr>
      </w:pPr>
      <w:bookmarkStart w:id="0" w:name="_GoBack"/>
      <w:bookmarkEnd w:id="0"/>
    </w:p>
    <w:p w14:paraId="7932654F">
      <w:pPr>
        <w:rPr>
          <w:b/>
          <w:bCs/>
          <w:sz w:val="30"/>
          <w:szCs w:val="30"/>
        </w:rPr>
      </w:pPr>
      <w:r>
        <w:rPr>
          <w:rFonts w:hint="eastAsia"/>
          <w:b/>
          <w:bCs/>
          <w:sz w:val="30"/>
          <w:szCs w:val="30"/>
          <w:highlight w:val="yellow"/>
        </w:rPr>
        <w:t>摘要</w:t>
      </w:r>
      <w:r>
        <w:rPr>
          <w:rFonts w:hint="eastAsia"/>
          <w:b/>
          <w:bCs/>
          <w:sz w:val="30"/>
          <w:szCs w:val="30"/>
        </w:rPr>
        <w:t xml:space="preserve"> </w:t>
      </w:r>
    </w:p>
    <w:p w14:paraId="6398F28F">
      <w:pPr>
        <w:spacing w:line="360" w:lineRule="auto"/>
        <w:rPr>
          <w:rFonts w:ascii="宋体" w:hAnsi="宋体" w:eastAsia="宋体"/>
          <w:sz w:val="21"/>
          <w:szCs w:val="21"/>
        </w:rPr>
      </w:pPr>
      <w:r>
        <w:rPr>
          <w:rFonts w:hint="eastAsia" w:ascii="宋体" w:hAnsi="宋体" w:eastAsia="宋体"/>
          <w:sz w:val="21"/>
          <w:szCs w:val="21"/>
          <w:highlight w:val="green"/>
        </w:rPr>
        <w:t>科举制度</w:t>
      </w:r>
      <w:r>
        <w:rPr>
          <w:rFonts w:hint="eastAsia" w:ascii="宋体" w:hAnsi="宋体" w:eastAsia="宋体"/>
          <w:sz w:val="21"/>
          <w:szCs w:val="21"/>
        </w:rPr>
        <w:t xml:space="preserve">是中国古代选拔人才的重要机制，公平性会直接影响社会稳定。然而，科举考试中的舞弊现象屡禁不止，甚至科考官员与考生之间不正常的勾结来往在宋代以后成为常见的社会现象。成语“沆瀣一气”即源于唐代科举考官与考生之间的特殊关系。本文以"沆瀣一气"成语的传说故事为切入点，分析其与科举制度的关联。接下来探讨科举发展历程中考生与考官勾结的现象，并研究历代防作弊措施。最后，本文就科举防弊制度的演变及其历史影响展开研究。我发现，历朝历代科举防弊措施虽不断强化，但受限于社会制度，舞弊现象仍难以根除。  </w:t>
      </w:r>
    </w:p>
    <w:p w14:paraId="62A31E7E">
      <w:pPr>
        <w:rPr>
          <w:rFonts w:ascii="华文宋体" w:hAnsi="华文宋体" w:eastAsia="华文宋体"/>
        </w:rPr>
      </w:pPr>
      <w:r>
        <w:rPr>
          <w:rFonts w:hint="eastAsia"/>
          <w:b/>
          <w:bCs/>
          <w:sz w:val="24"/>
          <w:highlight w:val="yellow"/>
        </w:rPr>
        <w:t>关键词</w:t>
      </w:r>
      <w:r>
        <w:rPr>
          <w:rFonts w:hint="eastAsia" w:ascii="宋体" w:hAnsi="宋体" w:eastAsia="宋体"/>
          <w:sz w:val="24"/>
        </w:rPr>
        <w:t xml:space="preserve">科举制度；防舞弊；沆瀣一气；科举舞弊；公平性 </w:t>
      </w:r>
    </w:p>
    <w:p w14:paraId="4DF20A41">
      <w:pPr>
        <w:jc w:val="center"/>
        <w:rPr>
          <w:b/>
          <w:bCs/>
          <w:sz w:val="32"/>
          <w:szCs w:val="32"/>
        </w:rPr>
      </w:pPr>
      <w:r>
        <w:rPr>
          <w:rFonts w:hint="eastAsia"/>
          <w:b/>
          <w:bCs/>
          <w:sz w:val="32"/>
          <w:szCs w:val="32"/>
          <w:highlight w:val="yellow"/>
        </w:rPr>
        <w:t>一、引言</w:t>
      </w:r>
    </w:p>
    <w:p w14:paraId="20A27BAD">
      <w:pPr>
        <w:spacing w:line="360" w:lineRule="auto"/>
        <w:ind w:firstLine="480" w:firstLineChars="200"/>
        <w:rPr>
          <w:rFonts w:ascii="宋体" w:hAnsi="宋体" w:eastAsia="宋体"/>
          <w:sz w:val="24"/>
        </w:rPr>
      </w:pPr>
      <w:r>
        <w:rPr>
          <w:rFonts w:hint="eastAsia" w:ascii="宋体" w:hAnsi="宋体" w:eastAsia="宋体"/>
          <w:sz w:val="24"/>
        </w:rPr>
        <w:t xml:space="preserve">科举制度自隋唐确立至清末废除，历时1300余年，是中国古代最重要的选官制度。其核心理念是“公平取士”，不过实际操作中舞弊现象却层出不穷。成语“沆瀣一气”即源于唐代科举考试中的考官与考生关系，后演变为形容官场勾结的贬义词。本文以“沆瀣一气”为切入点，探讨科举制度在防作弊方面的发展历程，分析其历史影响。  </w:t>
      </w:r>
    </w:p>
    <w:p w14:paraId="00A01836">
      <w:pPr>
        <w:jc w:val="center"/>
        <w:rPr>
          <w:b/>
          <w:bCs/>
          <w:sz w:val="32"/>
          <w:szCs w:val="32"/>
        </w:rPr>
      </w:pPr>
      <w:r>
        <w:rPr>
          <w:rFonts w:hint="eastAsia"/>
          <w:b/>
          <w:bCs/>
          <w:sz w:val="32"/>
          <w:szCs w:val="32"/>
          <w:highlight w:val="yellow"/>
        </w:rPr>
        <w:t>二、“沆瀣一气”的典故及其与科举的关系</w:t>
      </w:r>
    </w:p>
    <w:p w14:paraId="34FB670F">
      <w:pPr>
        <w:rPr>
          <w:b/>
          <w:bCs/>
          <w:sz w:val="30"/>
          <w:szCs w:val="30"/>
        </w:rPr>
      </w:pPr>
      <w:r>
        <w:rPr>
          <w:rFonts w:hint="eastAsia"/>
          <w:b/>
          <w:bCs/>
          <w:sz w:val="30"/>
          <w:szCs w:val="30"/>
          <w:highlight w:val="yellow"/>
        </w:rPr>
        <w:t>（一）典故来源</w:t>
      </w:r>
      <w:r>
        <w:rPr>
          <w:rFonts w:hint="eastAsia"/>
          <w:b/>
          <w:bCs/>
          <w:sz w:val="30"/>
          <w:szCs w:val="30"/>
        </w:rPr>
        <w:t xml:space="preserve"> </w:t>
      </w:r>
    </w:p>
    <w:p w14:paraId="297A59B1">
      <w:pPr>
        <w:spacing w:line="360" w:lineRule="auto"/>
        <w:ind w:firstLine="480" w:firstLineChars="200"/>
        <w:rPr>
          <w:rFonts w:ascii="宋体" w:hAnsi="宋体" w:eastAsia="宋体"/>
          <w:sz w:val="24"/>
        </w:rPr>
      </w:pPr>
      <w:r>
        <w:rPr>
          <w:rFonts w:hint="eastAsia" w:ascii="宋体" w:hAnsi="宋体" w:eastAsia="宋体"/>
          <w:sz w:val="24"/>
        </w:rPr>
        <w:t xml:space="preserve">“沆瀣一气”最早见于北宋钱易《南部新书》，记载了唐代科举中的一个故事：  </w:t>
      </w:r>
      <w:r>
        <w:rPr>
          <w:rFonts w:hint="eastAsia" w:ascii="宋体" w:hAnsi="宋体" w:eastAsia="宋体"/>
          <w:sz w:val="24"/>
          <w:highlight w:val="green"/>
        </w:rPr>
        <w:t>崔</w:t>
      </w:r>
      <w:r>
        <w:rPr>
          <w:rFonts w:hint="eastAsia" w:ascii="宋体" w:hAnsi="宋体" w:eastAsia="宋体"/>
          <w:sz w:val="24"/>
        </w:rPr>
        <w:t>沆放崔瀣，时人语曰：“座主门生，</w:t>
      </w:r>
      <w:commentRangeStart w:id="1"/>
      <w:r>
        <w:rPr>
          <w:rFonts w:hint="eastAsia" w:ascii="宋体" w:hAnsi="宋体" w:eastAsia="宋体"/>
          <w:sz w:val="24"/>
        </w:rPr>
        <w:t>沆瀣一气</w:t>
      </w:r>
      <w:commentRangeEnd w:id="1"/>
      <w:r>
        <w:rPr>
          <w:rStyle w:val="20"/>
        </w:rPr>
        <w:commentReference w:id="1"/>
      </w:r>
      <w:r>
        <w:rPr>
          <w:rFonts w:hint="eastAsia" w:ascii="宋体" w:hAnsi="宋体" w:eastAsia="宋体"/>
          <w:sz w:val="24"/>
          <w:highlight w:val="green"/>
        </w:rPr>
        <w:t>。”</w:t>
      </w:r>
      <w:r>
        <w:rPr>
          <w:rFonts w:hint="eastAsia" w:ascii="宋体" w:hAnsi="宋体" w:eastAsia="宋体"/>
          <w:sz w:val="24"/>
        </w:rPr>
        <w:t xml:space="preserve">  </w:t>
      </w:r>
    </w:p>
    <w:p w14:paraId="243A3D4D">
      <w:pPr>
        <w:spacing w:line="360" w:lineRule="auto"/>
        <w:ind w:firstLine="480" w:firstLineChars="200"/>
        <w:rPr>
          <w:rFonts w:ascii="宋体" w:hAnsi="宋体" w:eastAsia="宋体"/>
          <w:sz w:val="24"/>
        </w:rPr>
      </w:pPr>
      <w:r>
        <w:rPr>
          <w:rFonts w:hint="eastAsia" w:ascii="宋体" w:hAnsi="宋体" w:eastAsia="宋体"/>
          <w:sz w:val="24"/>
        </w:rPr>
        <w:t>译文如下：唐僖宗乾符二年（875年），主考官崔沆录取了考生崔瀣。由于两人名字连读恰好是“沆瀣”（原指夜间水汽），时人以此调侃他们关系密切。起初并无贬义，仅是对姓名巧合的戏谑，但后世因科举中考官与考生常形成利益集团，“沆瀣一气”逐渐演变为讽刺官场勾结的成语。</w:t>
      </w:r>
    </w:p>
    <w:p w14:paraId="31C24FD1">
      <w:pPr>
        <w:rPr>
          <w:b/>
          <w:bCs/>
          <w:sz w:val="30"/>
          <w:szCs w:val="30"/>
        </w:rPr>
      </w:pPr>
      <w:r>
        <w:rPr>
          <w:rFonts w:hint="eastAsia"/>
          <w:b/>
          <w:bCs/>
          <w:sz w:val="30"/>
          <w:szCs w:val="30"/>
          <w:highlight w:val="yellow"/>
        </w:rPr>
        <w:t>（二）成语与科举的关联</w:t>
      </w:r>
      <w:r>
        <w:rPr>
          <w:rFonts w:hint="eastAsia"/>
          <w:b/>
          <w:bCs/>
          <w:sz w:val="30"/>
          <w:szCs w:val="30"/>
        </w:rPr>
        <w:t xml:space="preserve"> </w:t>
      </w:r>
    </w:p>
    <w:p w14:paraId="00F0A420">
      <w:pPr>
        <w:spacing w:line="360" w:lineRule="auto"/>
        <w:ind w:firstLine="480" w:firstLineChars="200"/>
        <w:rPr>
          <w:rFonts w:ascii="宋体" w:hAnsi="宋体" w:eastAsia="宋体"/>
          <w:sz w:val="24"/>
        </w:rPr>
      </w:pPr>
      <w:r>
        <w:rPr>
          <w:rFonts w:hint="eastAsia" w:ascii="宋体" w:hAnsi="宋体" w:eastAsia="宋体"/>
          <w:sz w:val="24"/>
        </w:rPr>
        <w:t>“沆瀣一气”的典故与科举制度密切相关，主要体现在两个方面：首先，科举中的座主门生关系的形成。及第考生尊称主考官为“座主”，自称“门生”，有攀援座主以谋仕进的倾向。考官通过提拔门生巩固自身势力，而考生则依赖座主谋求仕途发展，这种利益交换成为徇私舞弊的温床。其次，成语语义随科举舞弊制定推进而发生的变化反映了科举制度的弊端。随着防作弊制度的完善，“沆瀣一气”逐渐脱离中性语境，成为批判官场朋党勾结的贬义词。这一变化映射了科举腐败的长期存在，揭示了古代社会对考试公平性的深刻反思。</w:t>
      </w:r>
    </w:p>
    <w:p w14:paraId="5E44D28E">
      <w:pPr>
        <w:jc w:val="center"/>
        <w:rPr>
          <w:b/>
          <w:bCs/>
          <w:sz w:val="32"/>
          <w:szCs w:val="32"/>
        </w:rPr>
      </w:pPr>
      <w:r>
        <w:rPr>
          <w:rFonts w:hint="eastAsia"/>
          <w:b/>
          <w:bCs/>
          <w:sz w:val="32"/>
          <w:szCs w:val="32"/>
          <w:highlight w:val="yellow"/>
        </w:rPr>
        <w:t>三、科举制度中的舞弊现象及防作弊措施的发展</w:t>
      </w:r>
    </w:p>
    <w:p w14:paraId="64856434">
      <w:pPr>
        <w:rPr>
          <w:b/>
          <w:bCs/>
          <w:sz w:val="30"/>
          <w:szCs w:val="30"/>
        </w:rPr>
      </w:pPr>
      <w:r>
        <w:rPr>
          <w:rFonts w:hint="eastAsia"/>
          <w:b/>
          <w:bCs/>
          <w:sz w:val="30"/>
          <w:szCs w:val="30"/>
          <w:highlight w:val="yellow"/>
        </w:rPr>
        <w:t>（一）考生与考官勾结的主要形式</w:t>
      </w:r>
      <w:r>
        <w:rPr>
          <w:rFonts w:hint="eastAsia"/>
          <w:b/>
          <w:bCs/>
          <w:sz w:val="30"/>
          <w:szCs w:val="30"/>
        </w:rPr>
        <w:t xml:space="preserve"> </w:t>
      </w:r>
    </w:p>
    <w:p w14:paraId="2546B11F">
      <w:pPr>
        <w:spacing w:line="360" w:lineRule="auto"/>
        <w:ind w:firstLine="480" w:firstLineChars="200"/>
        <w:rPr>
          <w:rFonts w:ascii="宋体" w:hAnsi="宋体" w:eastAsia="宋体"/>
          <w:sz w:val="24"/>
        </w:rPr>
      </w:pPr>
      <w:r>
        <w:rPr>
          <w:rFonts w:hint="eastAsia" w:ascii="宋体" w:hAnsi="宋体" w:eastAsia="宋体"/>
          <w:sz w:val="24"/>
        </w:rPr>
        <w:t>科举考试中的舞弊手段可谓五花八门，而考生与考官勾结的方式又是众多科举舞弊形式之中最为典型的，这里举三例。一是</w:t>
      </w:r>
      <w:r>
        <w:rPr>
          <w:rFonts w:hint="eastAsia" w:ascii="宋体" w:hAnsi="宋体" w:eastAsia="宋体"/>
          <w:sz w:val="24"/>
          <w:highlight w:val="cyan"/>
        </w:rPr>
        <w:t>请托贿赂</w:t>
      </w:r>
      <w:r>
        <w:rPr>
          <w:rFonts w:hint="eastAsia" w:ascii="宋体" w:hAnsi="宋体" w:eastAsia="宋体"/>
          <w:sz w:val="24"/>
        </w:rPr>
        <w:t>。唐代实行“通榜”制度，允许考官参考名士推荐，这为权贵干预考试提供了方便。据《唐摭言》记载，晚唐时期“请托公行，贿赂成风”，甚至有“一榜及第，半出权门”之</w:t>
      </w:r>
      <w:commentRangeStart w:id="2"/>
      <w:r>
        <w:rPr>
          <w:rFonts w:hint="eastAsia" w:ascii="宋体" w:hAnsi="宋体" w:eastAsia="宋体"/>
          <w:sz w:val="24"/>
        </w:rPr>
        <w:t>说。</w:t>
      </w:r>
      <w:commentRangeEnd w:id="2"/>
      <w:r>
        <w:rPr>
          <w:rStyle w:val="20"/>
        </w:rPr>
        <w:commentReference w:id="2"/>
      </w:r>
      <w:r>
        <w:rPr>
          <w:rFonts w:hint="eastAsia" w:ascii="宋体" w:hAnsi="宋体" w:eastAsia="宋体"/>
          <w:sz w:val="24"/>
        </w:rPr>
        <w:t>二是</w:t>
      </w:r>
      <w:r>
        <w:rPr>
          <w:rFonts w:hint="eastAsia" w:ascii="宋体" w:hAnsi="宋体" w:eastAsia="宋体"/>
          <w:sz w:val="24"/>
          <w:highlight w:val="cyan"/>
        </w:rPr>
        <w:t>枪替</w:t>
      </w:r>
      <w:r>
        <w:rPr>
          <w:rFonts w:hint="eastAsia" w:ascii="宋体" w:hAnsi="宋体" w:eastAsia="宋体"/>
          <w:sz w:val="24"/>
        </w:rPr>
        <w:t>。《论两宋科举取士中的舞弊手段》指出枪替的两种方式：“这种舞弊行为，多数发生在解试中。由一名或数名枪手与应试者一同负责程文，然后由枪手将自己所作的程文传给应试者。这实际上是一种代笔与传义相结合的舞弊行为，被称为‘就院假手’。另有一种所谓‘全身代名’者就更加直截了当，它纯粹由枪手一人完成考试的全过程，本人根本不需要进入场屋</w:t>
      </w:r>
      <w:commentRangeStart w:id="3"/>
      <w:r>
        <w:rPr>
          <w:rFonts w:hint="eastAsia" w:ascii="宋体" w:hAnsi="宋体" w:eastAsia="宋体"/>
          <w:sz w:val="24"/>
        </w:rPr>
        <w:t>。”</w:t>
      </w:r>
      <w:commentRangeEnd w:id="3"/>
      <w:r>
        <w:rPr>
          <w:rStyle w:val="20"/>
        </w:rPr>
        <w:commentReference w:id="3"/>
      </w:r>
      <w:r>
        <w:rPr>
          <w:rFonts w:hint="eastAsia" w:ascii="宋体" w:hAnsi="宋体" w:eastAsia="宋体"/>
          <w:sz w:val="24"/>
        </w:rPr>
        <w:t>三是</w:t>
      </w:r>
      <w:r>
        <w:rPr>
          <w:rFonts w:hint="eastAsia" w:ascii="宋体" w:hAnsi="宋体" w:eastAsia="宋体"/>
          <w:sz w:val="24"/>
          <w:highlight w:val="cyan"/>
        </w:rPr>
        <w:t>关节舞弊</w:t>
      </w:r>
      <w:r>
        <w:rPr>
          <w:rFonts w:hint="eastAsia" w:ascii="宋体" w:hAnsi="宋体" w:eastAsia="宋体"/>
          <w:sz w:val="24"/>
        </w:rPr>
        <w:t>，即考生与考官事先约定暗号。北宋尚未实行糊名誊录制时，常有考官“私识其卷”（《宋史·选举志》），通过特定字句或笔迹辨认关系考生。这些舞弊方式极大损害了历朝历代科举的公正性，促使各种防弊制度产生与完善。</w:t>
      </w:r>
    </w:p>
    <w:p w14:paraId="72DDBCE7">
      <w:pPr>
        <w:rPr>
          <w:b/>
          <w:bCs/>
          <w:sz w:val="30"/>
          <w:szCs w:val="30"/>
        </w:rPr>
      </w:pPr>
      <w:r>
        <w:rPr>
          <w:rFonts w:hint="eastAsia"/>
          <w:b/>
          <w:bCs/>
          <w:sz w:val="30"/>
          <w:szCs w:val="30"/>
          <w:highlight w:val="yellow"/>
        </w:rPr>
        <w:t>（二）历代防作弊制度的</w:t>
      </w:r>
      <w:commentRangeStart w:id="4"/>
      <w:r>
        <w:rPr>
          <w:rFonts w:hint="eastAsia"/>
          <w:b/>
          <w:bCs/>
          <w:sz w:val="30"/>
          <w:szCs w:val="30"/>
          <w:highlight w:val="yellow"/>
        </w:rPr>
        <w:t>演进</w:t>
      </w:r>
      <w:commentRangeEnd w:id="4"/>
      <w:r>
        <w:rPr>
          <w:rStyle w:val="20"/>
        </w:rPr>
        <w:commentReference w:id="4"/>
      </w:r>
      <w:r>
        <w:rPr>
          <w:rFonts w:hint="eastAsia"/>
          <w:b/>
          <w:bCs/>
          <w:sz w:val="30"/>
          <w:szCs w:val="30"/>
        </w:rPr>
        <w:t xml:space="preserve"> </w:t>
      </w:r>
    </w:p>
    <w:p w14:paraId="715DF746">
      <w:pPr>
        <w:rPr>
          <w:rFonts w:ascii="宋体" w:hAnsi="宋体" w:eastAsia="宋体"/>
          <w:b/>
          <w:bCs/>
          <w:sz w:val="28"/>
          <w:szCs w:val="28"/>
        </w:rPr>
      </w:pPr>
      <w:r>
        <w:rPr>
          <w:rFonts w:hint="eastAsia" w:ascii="宋体" w:hAnsi="宋体" w:eastAsia="宋体"/>
          <w:b/>
          <w:bCs/>
          <w:sz w:val="28"/>
          <w:szCs w:val="28"/>
        </w:rPr>
        <w:t xml:space="preserve">1.唐代 </w:t>
      </w:r>
    </w:p>
    <w:p w14:paraId="238193B8">
      <w:pPr>
        <w:spacing w:line="360" w:lineRule="auto"/>
        <w:ind w:firstLine="480" w:firstLineChars="200"/>
        <w:rPr>
          <w:rFonts w:ascii="宋体" w:hAnsi="宋体" w:eastAsia="宋体"/>
          <w:sz w:val="24"/>
        </w:rPr>
      </w:pPr>
      <w:r>
        <w:rPr>
          <w:rFonts w:hint="eastAsia" w:ascii="宋体" w:hAnsi="宋体" w:eastAsia="宋体"/>
          <w:sz w:val="24"/>
        </w:rPr>
        <w:t>科举制度的防弊措施随着朝代更迭不断完善，呈现出明显的阶段性特征。唐代作为科举制度的初创期，防弊机制相对薄弱，正如《唐代科举考试舞弊的防范与惩处》所说：“科举制脱胎于南北朝以前的察举推荐制，所以带有一定的荐举制残余，如进士科允许‘通榜’和‘公荐’，而不是完全按成绩录取。特别是科场‘请托’和权贵把持科举的现象还很严重”</w:t>
      </w:r>
      <w:commentRangeStart w:id="5"/>
      <w:r>
        <w:rPr>
          <w:rFonts w:hint="eastAsia" w:ascii="宋体" w:hAnsi="宋体" w:eastAsia="宋体"/>
          <w:sz w:val="24"/>
        </w:rPr>
        <w:t>。</w:t>
      </w:r>
      <w:commentRangeEnd w:id="5"/>
      <w:r>
        <w:rPr>
          <w:rStyle w:val="20"/>
        </w:rPr>
        <w:commentReference w:id="5"/>
      </w:r>
      <w:r>
        <w:rPr>
          <w:rFonts w:hint="eastAsia" w:ascii="宋体" w:hAnsi="宋体" w:eastAsia="宋体"/>
          <w:sz w:val="24"/>
        </w:rPr>
        <w:t xml:space="preserve"> 公荐制度即官员可以直接推荐考生。《新唐书·选举志》明确记载：“每岁仲冬，州、县、馆、监举其成者送之尚书省”，这种推荐制度为权贵干预考试提供了便利。同时，唐代考试尚未实行糊名制，考官可以直观看到考生信息，如《唐摭言》所载“崔沆放崔瀣”的典故，就是考官凭个人喜好录取的典型例子。</w:t>
      </w:r>
    </w:p>
    <w:p w14:paraId="60E2954F">
      <w:pPr>
        <w:rPr>
          <w:rFonts w:ascii="宋体" w:hAnsi="宋体" w:eastAsia="宋体"/>
          <w:b/>
          <w:bCs/>
          <w:sz w:val="28"/>
          <w:szCs w:val="28"/>
        </w:rPr>
      </w:pPr>
      <w:r>
        <w:rPr>
          <w:rFonts w:hint="eastAsia" w:ascii="宋体" w:hAnsi="宋体" w:eastAsia="宋体"/>
          <w:b/>
          <w:bCs/>
          <w:sz w:val="28"/>
          <w:szCs w:val="28"/>
        </w:rPr>
        <w:t xml:space="preserve">2.宋代 </w:t>
      </w:r>
    </w:p>
    <w:p w14:paraId="74D4C4AA">
      <w:pPr>
        <w:spacing w:line="360" w:lineRule="auto"/>
        <w:ind w:firstLine="480" w:firstLineChars="200"/>
        <w:rPr>
          <w:rFonts w:ascii="宋体" w:hAnsi="宋体" w:eastAsia="宋体"/>
          <w:sz w:val="24"/>
        </w:rPr>
      </w:pPr>
      <w:r>
        <w:rPr>
          <w:rFonts w:hint="eastAsia" w:ascii="宋体" w:hAnsi="宋体" w:eastAsia="宋体"/>
          <w:sz w:val="24"/>
        </w:rPr>
        <w:t>宋代，是科举防弊制度系统化的重要时期。比如《宋代的科举舞弊及防范惩处措施》提到了互保连坐制：“将十个同一地区的考生分为一保，一人考试出了问题，其他人都要受处分</w:t>
      </w:r>
      <w:commentRangeStart w:id="6"/>
      <w:r>
        <w:rPr>
          <w:rFonts w:hint="eastAsia" w:ascii="宋体" w:hAnsi="宋体" w:eastAsia="宋体"/>
          <w:sz w:val="24"/>
        </w:rPr>
        <w:t>”。</w:t>
      </w:r>
      <w:commentRangeEnd w:id="6"/>
      <w:r>
        <w:rPr>
          <w:rStyle w:val="20"/>
        </w:rPr>
        <w:commentReference w:id="6"/>
      </w:r>
      <w:r>
        <w:rPr>
          <w:rFonts w:hint="eastAsia" w:ascii="宋体" w:hAnsi="宋体" w:eastAsia="宋体"/>
          <w:sz w:val="24"/>
        </w:rPr>
        <w:t>真宗景德四年（1007年），糊名制正式推行。糊名制又称弥封制，即在阅卷前将考生姓名、籍贯等个人信息用纸糊盖，使考官无法辨认考生身份以确保评分公正。</w:t>
      </w:r>
      <w:commentRangeStart w:id="7"/>
      <w:r>
        <w:rPr>
          <w:rFonts w:hint="eastAsia" w:ascii="宋体" w:hAnsi="宋体" w:eastAsia="宋体"/>
          <w:sz w:val="24"/>
        </w:rPr>
        <w:t>《续资治通鉴长编》</w:t>
      </w:r>
      <w:commentRangeEnd w:id="7"/>
      <w:r>
        <w:rPr>
          <w:rStyle w:val="20"/>
        </w:rPr>
        <w:commentReference w:id="7"/>
      </w:r>
      <w:r>
        <w:rPr>
          <w:rFonts w:hint="eastAsia" w:ascii="宋体" w:hAnsi="宋体" w:eastAsia="宋体"/>
          <w:sz w:val="24"/>
        </w:rPr>
        <w:t>记载：“诏礼部贡院，考试进士试卷，悉糊名考核”。此外，宋代还推行锁院制。</w:t>
      </w:r>
      <w:commentRangeStart w:id="8"/>
      <w:r>
        <w:rPr>
          <w:rFonts w:hint="eastAsia" w:ascii="宋体" w:hAnsi="宋体" w:eastAsia="宋体"/>
          <w:sz w:val="24"/>
        </w:rPr>
        <w:t>《梦溪笔谈》</w:t>
      </w:r>
      <w:commentRangeEnd w:id="8"/>
      <w:r>
        <w:rPr>
          <w:rStyle w:val="20"/>
        </w:rPr>
        <w:commentReference w:id="8"/>
      </w:r>
      <w:r>
        <w:rPr>
          <w:rFonts w:hint="eastAsia" w:ascii="宋体" w:hAnsi="宋体" w:eastAsia="宋体"/>
          <w:sz w:val="24"/>
        </w:rPr>
        <w:t>记载：“礼部贡院试进士，设帘以隔内外”，考官一旦入院即与外界隔绝。</w:t>
      </w:r>
    </w:p>
    <w:p w14:paraId="0F88CFBC">
      <w:pPr>
        <w:rPr>
          <w:rFonts w:ascii="宋体" w:hAnsi="宋体" w:eastAsia="宋体"/>
          <w:b/>
          <w:bCs/>
          <w:sz w:val="28"/>
          <w:szCs w:val="28"/>
        </w:rPr>
      </w:pPr>
      <w:r>
        <w:rPr>
          <w:rFonts w:hint="eastAsia" w:ascii="宋体" w:hAnsi="宋体" w:eastAsia="宋体"/>
          <w:b/>
          <w:bCs/>
          <w:sz w:val="28"/>
          <w:szCs w:val="28"/>
        </w:rPr>
        <w:t xml:space="preserve">3.明清 </w:t>
      </w:r>
    </w:p>
    <w:p w14:paraId="1CE1AFE7">
      <w:pPr>
        <w:spacing w:line="360" w:lineRule="auto"/>
        <w:ind w:firstLine="480" w:firstLineChars="200"/>
        <w:rPr>
          <w:rFonts w:ascii="宋体" w:hAnsi="宋体" w:eastAsia="宋体"/>
          <w:sz w:val="24"/>
        </w:rPr>
      </w:pPr>
      <w:r>
        <w:rPr>
          <w:rFonts w:hint="eastAsia" w:ascii="宋体" w:hAnsi="宋体" w:eastAsia="宋体"/>
          <w:sz w:val="24"/>
        </w:rPr>
        <w:t>明清时期防舞弊制度达到顶峰，不过仍有漏洞可钻。八股文虽然一定程度上减少了评分主观性，但也导致了文风的僵化。此外，搜检制度变得空前严格，“士子入场，皆穿拆缝衣服，单层鞋袜”，甚至要求“解衣脱帽”接受检查（《钦定科场条例》）。连坐法的实施也使责任追究更为严厉，《清史稿》记载：“如有怀挟等弊，本生黜革，父师及保结者同罪”。尽管如此，《清稗类钞》仍记载了咸丰年间“关节舞弊”的案例，说明如此严格的制度仍不能免去舞弊行为。周凡《明代科举舞弊防治研究》也提到：“明代末年随着封建统治的腐朽、王朝的没落，某些官员在制度的执行上敷衍了事使得制度在执行环节出了差错，导致后期的舞弊泛滥。但是在制度严格执行时期又能体现其积极的效果。”</w:t>
      </w:r>
    </w:p>
    <w:p w14:paraId="54569E35">
      <w:pPr>
        <w:rPr>
          <w:b/>
          <w:bCs/>
          <w:sz w:val="30"/>
          <w:szCs w:val="30"/>
        </w:rPr>
      </w:pPr>
      <w:r>
        <w:rPr>
          <w:rFonts w:hint="eastAsia"/>
          <w:b/>
          <w:bCs/>
          <w:sz w:val="30"/>
          <w:szCs w:val="30"/>
          <w:highlight w:val="yellow"/>
        </w:rPr>
        <w:t>（三）防作弊措施的局限性</w:t>
      </w:r>
    </w:p>
    <w:p w14:paraId="3DD01B36">
      <w:pPr>
        <w:spacing w:line="360" w:lineRule="auto"/>
        <w:ind w:firstLine="480" w:firstLineChars="200"/>
        <w:rPr>
          <w:rFonts w:ascii="宋体" w:hAnsi="宋体" w:eastAsia="宋体"/>
          <w:sz w:val="24"/>
        </w:rPr>
      </w:pPr>
      <w:r>
        <w:rPr>
          <w:rFonts w:hint="eastAsia" w:ascii="宋体" w:hAnsi="宋体" w:eastAsia="宋体"/>
          <w:sz w:val="24"/>
        </w:rPr>
        <w:t>在历代统治者不断完善科举防舞弊制度的背景下，舞弊现象依然未能被根绝。究其原因，主要体现在三个方面：</w:t>
      </w:r>
    </w:p>
    <w:p w14:paraId="1147D767">
      <w:pPr>
        <w:spacing w:line="360" w:lineRule="auto"/>
        <w:ind w:firstLine="480" w:firstLineChars="200"/>
        <w:rPr>
          <w:rFonts w:ascii="宋体" w:hAnsi="宋体" w:eastAsia="宋体"/>
          <w:sz w:val="24"/>
        </w:rPr>
      </w:pPr>
      <w:r>
        <w:rPr>
          <w:rFonts w:hint="eastAsia" w:ascii="宋体" w:hAnsi="宋体" w:eastAsia="宋体"/>
          <w:sz w:val="24"/>
          <w:highlight w:val="cyan"/>
        </w:rPr>
        <w:t>首先，人情社会的深刻影响。</w:t>
      </w:r>
      <w:r>
        <w:rPr>
          <w:rFonts w:hint="eastAsia" w:ascii="宋体" w:hAnsi="宋体" w:eastAsia="宋体"/>
          <w:sz w:val="24"/>
        </w:rPr>
        <w:t>中国社会讲人情、讲人缘、讲关系，不论古今，我们这种文化特质使得所谓“沆瀣一气”的现象在科举考试中长期延续。明代著名思想家王夫之在其著作《读通鉴论》中指出：“朋党比周，相为引重，此古今之通患也”。清代康熙年间的江南科场案就是典型案例，据《清圣祖实录》记载，主考官方猷、副考官赵晋因“交通关节”被处斩，涉案官员达十余人之多。这种官场网络的强大惯性，使得再严密的制度也难以完全杜绝人情因素的干扰。</w:t>
      </w:r>
    </w:p>
    <w:p w14:paraId="6F0F4264">
      <w:pPr>
        <w:spacing w:line="360" w:lineRule="auto"/>
        <w:ind w:firstLine="480" w:firstLineChars="200"/>
        <w:rPr>
          <w:rFonts w:ascii="宋体" w:hAnsi="宋体" w:eastAsia="宋体"/>
          <w:sz w:val="24"/>
        </w:rPr>
      </w:pPr>
      <w:r>
        <w:rPr>
          <w:rFonts w:hint="eastAsia" w:ascii="宋体" w:hAnsi="宋体" w:eastAsia="宋体"/>
          <w:sz w:val="24"/>
          <w:highlight w:val="cyan"/>
        </w:rPr>
        <w:t>再者，技术的限制</w:t>
      </w:r>
      <w:r>
        <w:rPr>
          <w:rFonts w:hint="eastAsia" w:ascii="宋体" w:hAnsi="宋体" w:eastAsia="宋体"/>
          <w:sz w:val="24"/>
        </w:rPr>
        <w:t>也严重制约了防弊效果。古代社会并无现代监考技术手段，如《万历野获编》记载的“飞鸽传题”舞弊方式：“有以驯鸽自外投递文字者”，这种作弊手法在当时的技术条件下极难防范。清代学者赵翼在《檐曝杂记》中感叹：“虽有严法，而巧诈百出，终不能尽绝”。尤其是在试卷保管环节，比如《宋会要辑稿》记载的南宋时“贡院失火”事件，能充分暴露出当时在试卷安保方面的缺陷。</w:t>
      </w:r>
    </w:p>
    <w:p w14:paraId="45FAB07A">
      <w:pPr>
        <w:spacing w:line="360" w:lineRule="auto"/>
        <w:ind w:firstLine="480" w:firstLineChars="200"/>
        <w:rPr>
          <w:rFonts w:ascii="宋体" w:hAnsi="宋体" w:eastAsia="宋体"/>
          <w:sz w:val="24"/>
        </w:rPr>
      </w:pPr>
      <w:r>
        <w:rPr>
          <w:rFonts w:hint="eastAsia" w:ascii="宋体" w:hAnsi="宋体" w:eastAsia="宋体"/>
          <w:sz w:val="24"/>
          <w:highlight w:val="cyan"/>
        </w:rPr>
        <w:t>最后，巨大的利益驱动</w:t>
      </w:r>
      <w:r>
        <w:rPr>
          <w:rFonts w:hint="eastAsia" w:ascii="宋体" w:hAnsi="宋体" w:eastAsia="宋体"/>
          <w:sz w:val="24"/>
        </w:rPr>
        <w:t>使得考生甘愿铤而走险。科举功名带来的社会地位和经济利益实在太过诱人，比较熟悉的例子有《儒林外史》，范进中举后的癫狂状态生动反映了这种社会现实。《清高宗实录》乾隆十七年（1752年）记载，该年顺天乡试爆发大规模舞弊案，乾隆帝谕旨中提到：“闻场前有富室子以金帛夤缘，价至数千金，竟得中式。”乾隆年间一个举人名额的黑市价格竟高达数千金。这种巨大的利益诱惑，使得考生不惜以身试法，《明实录》记载的景泰七年顺天乡试案中，甚至有考生“怀挟文字，藏于粪门”，其疯狂程度可见一斑。</w:t>
      </w:r>
    </w:p>
    <w:p w14:paraId="1EE3B5F8">
      <w:pPr>
        <w:spacing w:line="360" w:lineRule="auto"/>
        <w:ind w:firstLine="480" w:firstLineChars="200"/>
        <w:rPr>
          <w:rFonts w:ascii="宋体" w:hAnsi="宋体" w:eastAsia="宋体"/>
          <w:sz w:val="24"/>
        </w:rPr>
      </w:pPr>
      <w:r>
        <w:rPr>
          <w:rFonts w:hint="eastAsia" w:ascii="宋体" w:hAnsi="宋体" w:eastAsia="宋体"/>
          <w:sz w:val="24"/>
        </w:rPr>
        <w:t>这些局限性说明，科举防弊</w:t>
      </w:r>
      <w:r>
        <w:rPr>
          <w:rFonts w:hint="eastAsia" w:ascii="宋体" w:hAnsi="宋体" w:eastAsia="宋体"/>
          <w:sz w:val="24"/>
          <w:highlight w:val="cyan"/>
        </w:rPr>
        <w:t>不仅是制度设计问题，更是深层的社会文化问题</w:t>
      </w:r>
      <w:r>
        <w:rPr>
          <w:rFonts w:hint="eastAsia" w:ascii="宋体" w:hAnsi="宋体" w:eastAsia="宋体"/>
          <w:sz w:val="24"/>
        </w:rPr>
        <w:t xml:space="preserve">。正如近代学者张仲礼在《中国绅士研究》中所指出的：“科举制度中的舞弊现象，实际上反映了传统中国社会权力与知识的复杂关系”。要完全杜绝舞弊，不但要完善制度，还需要整个社会文化的迎合与转向，这就是科举防弊给我们留下的深刻历史告诫。 </w:t>
      </w:r>
    </w:p>
    <w:p w14:paraId="22F5DBF1">
      <w:pPr>
        <w:jc w:val="center"/>
        <w:rPr>
          <w:b/>
          <w:bCs/>
          <w:sz w:val="32"/>
          <w:szCs w:val="32"/>
        </w:rPr>
      </w:pPr>
      <w:r>
        <w:rPr>
          <w:rFonts w:hint="eastAsia"/>
          <w:b/>
          <w:bCs/>
          <w:sz w:val="32"/>
          <w:szCs w:val="32"/>
          <w:highlight w:val="yellow"/>
        </w:rPr>
        <w:t>四、结论</w:t>
      </w:r>
    </w:p>
    <w:p w14:paraId="1F833B7A">
      <w:pPr>
        <w:spacing w:line="360" w:lineRule="auto"/>
        <w:ind w:firstLine="480" w:firstLineChars="200"/>
        <w:rPr>
          <w:rFonts w:ascii="宋体" w:hAnsi="宋体" w:eastAsia="宋体"/>
          <w:sz w:val="24"/>
        </w:rPr>
      </w:pPr>
      <w:r>
        <w:rPr>
          <w:rFonts w:hint="eastAsia" w:ascii="宋体" w:hAnsi="宋体" w:eastAsia="宋体"/>
          <w:sz w:val="24"/>
        </w:rPr>
        <w:t>“沆瀣一气”的典故反映出了古代科举制度中考官与考生的利益关系，是古代官僚腐败的缩影。历代统治者虽通过包括不限于糊名、誊录、锁院等等措施加强防弊，但受限于社会结构和技术条件，舞弊现象始终未能消除。科举防作弊制度的演变，体现了古代中国社会对公平选拔的追求，也为现代考试制度提供了丰富的历史借鉴。</w:t>
      </w:r>
    </w:p>
    <w:p w14:paraId="3398612C">
      <w:pPr>
        <w:jc w:val="center"/>
        <w:rPr>
          <w:b/>
          <w:bCs/>
          <w:sz w:val="30"/>
          <w:szCs w:val="30"/>
        </w:rPr>
      </w:pPr>
      <w:r>
        <w:rPr>
          <w:rFonts w:hint="eastAsia"/>
          <w:b/>
          <w:bCs/>
          <w:sz w:val="30"/>
          <w:szCs w:val="30"/>
          <w:highlight w:val="yellow"/>
        </w:rPr>
        <w:t>参考文献</w:t>
      </w:r>
    </w:p>
    <w:p w14:paraId="72081409">
      <w:pPr>
        <w:spacing w:line="360" w:lineRule="auto"/>
        <w:ind w:left="420" w:hanging="420" w:hangingChars="200"/>
        <w:rPr>
          <w:rFonts w:ascii="宋体" w:hAnsi="宋体" w:eastAsia="宋体"/>
          <w:sz w:val="21"/>
          <w:szCs w:val="21"/>
        </w:rPr>
      </w:pPr>
      <w:r>
        <w:rPr>
          <w:rFonts w:ascii="宋体" w:hAnsi="宋体" w:eastAsia="宋体"/>
          <w:sz w:val="21"/>
          <w:szCs w:val="21"/>
        </w:rPr>
        <w:t>[1] (宋)钱易. 南部新书[M]. 北京: 中华书局, 2002.</w:t>
      </w:r>
    </w:p>
    <w:p w14:paraId="25149DDB">
      <w:pPr>
        <w:spacing w:line="360" w:lineRule="auto"/>
        <w:ind w:left="420" w:hanging="420" w:hangingChars="200"/>
        <w:rPr>
          <w:rFonts w:ascii="宋体" w:hAnsi="宋体" w:eastAsia="宋体"/>
          <w:sz w:val="21"/>
          <w:szCs w:val="21"/>
        </w:rPr>
      </w:pPr>
      <w:r>
        <w:rPr>
          <w:rFonts w:ascii="宋体" w:hAnsi="宋体" w:eastAsia="宋体"/>
          <w:sz w:val="21"/>
          <w:szCs w:val="21"/>
        </w:rPr>
        <w:t>[2] (五代)王定保. 唐摭言[M]. 上海: 上海古籍出版社, 2012.</w:t>
      </w:r>
    </w:p>
    <w:p w14:paraId="52F1DE94">
      <w:pPr>
        <w:spacing w:line="360" w:lineRule="auto"/>
        <w:ind w:left="420" w:hanging="420" w:hangingChars="200"/>
        <w:rPr>
          <w:rFonts w:ascii="宋体" w:hAnsi="宋体" w:eastAsia="宋体"/>
          <w:sz w:val="21"/>
          <w:szCs w:val="21"/>
        </w:rPr>
      </w:pPr>
      <w:r>
        <w:rPr>
          <w:rFonts w:hint="eastAsia" w:ascii="宋体" w:hAnsi="宋体" w:eastAsia="宋体"/>
          <w:sz w:val="21"/>
          <w:szCs w:val="21"/>
        </w:rPr>
        <w:t>[3]张东光. 唐代科举考试舞弊的防范与惩处[J]. 中州学刊,2007(3):182-184. DOI:10.3969/j.issn.1003-0751.2007.03.052.</w:t>
      </w:r>
    </w:p>
    <w:p w14:paraId="2918638A">
      <w:pPr>
        <w:spacing w:line="360" w:lineRule="auto"/>
        <w:ind w:left="420" w:hanging="420" w:hangingChars="200"/>
        <w:rPr>
          <w:rFonts w:ascii="宋体" w:hAnsi="宋体" w:eastAsia="宋体"/>
          <w:sz w:val="21"/>
          <w:szCs w:val="21"/>
        </w:rPr>
      </w:pPr>
      <w:r>
        <w:rPr>
          <w:rFonts w:hint="eastAsia" w:ascii="宋体" w:hAnsi="宋体" w:eastAsia="宋体"/>
          <w:sz w:val="21"/>
          <w:szCs w:val="21"/>
        </w:rPr>
        <w:t>[4]姚硕.论两宋科举取士中的舞弊手段[J].赤峰学院学报(汉文哲学社会科学版),2013,34(10):12-14.DOI:10.13398/j.cnki.issn1673-2596.2013.10.005.</w:t>
      </w:r>
    </w:p>
    <w:p w14:paraId="45CD2F3C">
      <w:pPr>
        <w:spacing w:line="360" w:lineRule="auto"/>
        <w:ind w:left="420" w:hanging="420" w:hangingChars="200"/>
        <w:rPr>
          <w:rFonts w:ascii="宋体" w:hAnsi="宋体" w:eastAsia="宋体"/>
          <w:sz w:val="21"/>
          <w:szCs w:val="21"/>
        </w:rPr>
      </w:pPr>
      <w:r>
        <w:rPr>
          <w:rFonts w:hint="eastAsia" w:ascii="宋体" w:hAnsi="宋体" w:eastAsia="宋体"/>
          <w:sz w:val="21"/>
          <w:szCs w:val="21"/>
        </w:rPr>
        <w:t>[5]张娟.宋代的科举舞弊及防范惩处措施[J].乐山师范学院学报,2010,25(10):62-65.</w:t>
      </w:r>
    </w:p>
    <w:p w14:paraId="6BE1C1B3">
      <w:pPr>
        <w:spacing w:line="360" w:lineRule="auto"/>
        <w:ind w:left="420" w:hanging="420" w:hangingChars="20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6</w:t>
      </w:r>
      <w:r>
        <w:rPr>
          <w:rFonts w:ascii="宋体" w:hAnsi="宋体" w:eastAsia="宋体"/>
          <w:sz w:val="21"/>
          <w:szCs w:val="21"/>
        </w:rPr>
        <w:t>] (元)脱脱. 宋史[M]. 北京: 中华书局, 1977.</w:t>
      </w:r>
    </w:p>
    <w:p w14:paraId="68158509">
      <w:pPr>
        <w:spacing w:line="360" w:lineRule="auto"/>
        <w:ind w:left="420" w:hanging="420" w:hangingChars="20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7</w:t>
      </w:r>
      <w:r>
        <w:rPr>
          <w:rFonts w:ascii="宋体" w:hAnsi="宋体" w:eastAsia="宋体"/>
          <w:sz w:val="21"/>
          <w:szCs w:val="21"/>
        </w:rPr>
        <w:t>] (宋)沈括. 梦溪笔谈[M]. 北京: 中华书局, 2009.</w:t>
      </w:r>
    </w:p>
    <w:p w14:paraId="0519D40E">
      <w:pPr>
        <w:spacing w:line="360" w:lineRule="auto"/>
        <w:ind w:left="420" w:hanging="420" w:hangingChars="20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8</w:t>
      </w:r>
      <w:r>
        <w:rPr>
          <w:rFonts w:ascii="宋体" w:hAnsi="宋体" w:eastAsia="宋体"/>
          <w:sz w:val="21"/>
          <w:szCs w:val="21"/>
        </w:rPr>
        <w:t>] 钦定科场条例[M]. 清乾隆四十九年武英殿刻本.</w:t>
      </w:r>
    </w:p>
    <w:p w14:paraId="67D6D99A">
      <w:pPr>
        <w:spacing w:line="360" w:lineRule="auto"/>
        <w:ind w:left="420" w:hanging="420" w:hangingChars="20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9</w:t>
      </w:r>
      <w:r>
        <w:rPr>
          <w:rFonts w:ascii="宋体" w:hAnsi="宋体" w:eastAsia="宋体"/>
          <w:sz w:val="21"/>
          <w:szCs w:val="21"/>
        </w:rPr>
        <w:t>] (民国)赵尔巽. 清史稿[M]. 北京: 中华书局, 1977.</w:t>
      </w:r>
    </w:p>
    <w:p w14:paraId="1D00390B">
      <w:pPr>
        <w:spacing w:line="360" w:lineRule="auto"/>
        <w:ind w:left="420" w:hanging="420" w:hangingChars="20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10</w:t>
      </w:r>
      <w:r>
        <w:rPr>
          <w:rFonts w:ascii="宋体" w:hAnsi="宋体" w:eastAsia="宋体"/>
          <w:sz w:val="21"/>
          <w:szCs w:val="21"/>
        </w:rPr>
        <w:t>] (清)徐珂. 清稗类钞[M]. 北京: 中华书局, 1984.</w:t>
      </w:r>
    </w:p>
    <w:p w14:paraId="5D833A88">
      <w:pPr>
        <w:spacing w:line="360" w:lineRule="auto"/>
        <w:ind w:left="420" w:hanging="420" w:hangingChars="200"/>
        <w:rPr>
          <w:rFonts w:ascii="宋体" w:hAnsi="宋体" w:eastAsia="宋体"/>
          <w:sz w:val="21"/>
          <w:szCs w:val="21"/>
        </w:rPr>
      </w:pPr>
      <w:r>
        <w:rPr>
          <w:rFonts w:hint="eastAsia" w:ascii="宋体" w:hAnsi="宋体" w:eastAsia="宋体"/>
          <w:sz w:val="21"/>
          <w:szCs w:val="21"/>
        </w:rPr>
        <w:t>[11]周凡.明代科举舞弊防治研究[D].西南政法大学,2022.DOI:10.27422/d.cnki.gxzfu.2022.000119.</w:t>
      </w:r>
    </w:p>
    <w:p w14:paraId="45868F75">
      <w:pPr>
        <w:spacing w:line="360" w:lineRule="auto"/>
        <w:ind w:left="420" w:hanging="420" w:hangingChars="20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2</w:t>
      </w:r>
      <w:r>
        <w:rPr>
          <w:rFonts w:ascii="宋体" w:hAnsi="宋体" w:eastAsia="宋体"/>
          <w:sz w:val="21"/>
          <w:szCs w:val="21"/>
        </w:rPr>
        <w:t>] (明)沈德符. 万历野获编[M]. 北京: 中华书局, 1959.</w:t>
      </w:r>
    </w:p>
    <w:p w14:paraId="4CB576CC">
      <w:pPr>
        <w:spacing w:line="360" w:lineRule="auto"/>
        <w:ind w:left="420" w:hanging="420" w:hangingChars="20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3</w:t>
      </w:r>
      <w:r>
        <w:rPr>
          <w:rFonts w:ascii="宋体" w:hAnsi="宋体" w:eastAsia="宋体"/>
          <w:sz w:val="21"/>
          <w:szCs w:val="21"/>
        </w:rPr>
        <w:t>] (清)赵翼. 檐曝杂记[M]. 北京: 中华书局, 1982.</w:t>
      </w:r>
    </w:p>
    <w:p w14:paraId="5516899D">
      <w:pPr>
        <w:spacing w:line="360" w:lineRule="auto"/>
        <w:ind w:left="420" w:hanging="420" w:hangingChars="20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4</w:t>
      </w:r>
      <w:r>
        <w:rPr>
          <w:rFonts w:ascii="宋体" w:hAnsi="宋体" w:eastAsia="宋体"/>
          <w:sz w:val="21"/>
          <w:szCs w:val="21"/>
        </w:rPr>
        <w:t>] (清)徐松. 宋会要辑稿[M]. 北京: 中华书局, 1957.</w:t>
      </w:r>
    </w:p>
    <w:p w14:paraId="17096D07">
      <w:pPr>
        <w:spacing w:line="360" w:lineRule="auto"/>
        <w:ind w:left="420" w:hanging="420" w:hangingChars="20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5</w:t>
      </w:r>
      <w:r>
        <w:rPr>
          <w:rFonts w:ascii="宋体" w:hAnsi="宋体" w:eastAsia="宋体"/>
          <w:sz w:val="21"/>
          <w:szCs w:val="21"/>
        </w:rPr>
        <w:t>] (清)吴敬梓. 儒林外史[M]. 北京: 人民文学出版社, 1977.</w:t>
      </w:r>
    </w:p>
    <w:p w14:paraId="633FB106">
      <w:pPr>
        <w:spacing w:line="360" w:lineRule="auto"/>
        <w:ind w:left="420" w:hanging="420" w:hangingChars="20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6</w:t>
      </w:r>
      <w:r>
        <w:rPr>
          <w:rFonts w:ascii="宋体" w:hAnsi="宋体" w:eastAsia="宋体"/>
          <w:sz w:val="21"/>
          <w:szCs w:val="21"/>
        </w:rPr>
        <w:t>] 乾隆朝上谕档[M]. 北京: 档案出版社, 1991.</w:t>
      </w:r>
    </w:p>
    <w:p w14:paraId="425A1EB3">
      <w:pPr>
        <w:spacing w:line="360" w:lineRule="auto"/>
        <w:ind w:left="420" w:hanging="420" w:hangingChars="20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7</w:t>
      </w:r>
      <w:r>
        <w:rPr>
          <w:rFonts w:ascii="宋体" w:hAnsi="宋体" w:eastAsia="宋体"/>
          <w:sz w:val="21"/>
          <w:szCs w:val="21"/>
        </w:rPr>
        <w:t>] 明实录[M]. 台北: 中央研究院历史语言研究所, 1962.</w:t>
      </w:r>
    </w:p>
    <w:p w14:paraId="3140A484">
      <w:pPr>
        <w:spacing w:line="360" w:lineRule="auto"/>
        <w:ind w:left="420" w:hanging="420" w:hangingChars="20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8</w:t>
      </w:r>
      <w:r>
        <w:rPr>
          <w:rFonts w:ascii="宋体" w:hAnsi="宋体" w:eastAsia="宋体"/>
          <w:sz w:val="21"/>
          <w:szCs w:val="21"/>
        </w:rPr>
        <w:t>] (清)王夫之. 读通鉴论[M]. 北京: 中华书局, 1975.</w:t>
      </w:r>
    </w:p>
    <w:p w14:paraId="75934A58">
      <w:pPr>
        <w:spacing w:line="360" w:lineRule="auto"/>
        <w:ind w:left="420" w:hanging="420" w:hangingChars="20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19</w:t>
      </w:r>
      <w:r>
        <w:rPr>
          <w:rFonts w:ascii="宋体" w:hAnsi="宋体" w:eastAsia="宋体"/>
          <w:sz w:val="21"/>
          <w:szCs w:val="21"/>
        </w:rPr>
        <w:t>] 张仲礼. 中国绅士研究[M]. 上海: 上海人民出版社, 2008.</w:t>
      </w:r>
    </w:p>
    <w:p w14:paraId="12E50914"/>
    <w:p w14:paraId="4F31ABEA"/>
    <w:p w14:paraId="5A823734">
      <w:r>
        <w:rPr>
          <w:rFonts w:hint="eastAsia"/>
        </w:rPr>
        <w:t>（注：本文除来源于知网和万方网文献之外，其余文献及史料均利用deepseek检索）</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indows 用户" w:date="2025-05-20T16:55:00Z" w:initials="W用">
    <w:p w14:paraId="7563739E">
      <w:pPr>
        <w:pStyle w:val="11"/>
      </w:pPr>
      <w:r>
        <w:rPr>
          <w:rFonts w:hint="eastAsia"/>
        </w:rPr>
        <w:t>题目太大，三千六百多字，写一千年的科举防弊史。</w:t>
      </w:r>
    </w:p>
  </w:comment>
  <w:comment w:id="1" w:author="Windows 用户" w:date="2025-05-20T16:32:00Z" w:initials="W用">
    <w:p w14:paraId="7DD96091">
      <w:pPr>
        <w:pStyle w:val="11"/>
      </w:pPr>
      <w:r>
        <w:rPr>
          <w:rFonts w:hint="eastAsia"/>
        </w:rPr>
        <w:t>引文要加脚注，标明文献出处。</w:t>
      </w:r>
    </w:p>
  </w:comment>
  <w:comment w:id="2" w:author="Windows 用户" w:date="2025-05-20T16:45:00Z" w:initials="W用">
    <w:p w14:paraId="0E9BD366">
      <w:pPr>
        <w:pStyle w:val="11"/>
      </w:pPr>
      <w:r>
        <w:rPr>
          <w:rFonts w:hint="eastAsia"/>
        </w:rPr>
        <w:t>加脚注。</w:t>
      </w:r>
    </w:p>
  </w:comment>
  <w:comment w:id="3" w:author="Windows 用户" w:date="2025-05-20T16:45:00Z" w:initials="W用">
    <w:p w14:paraId="2BD4B700">
      <w:pPr>
        <w:pStyle w:val="11"/>
        <w:rPr>
          <w:rFonts w:hint="eastAsia"/>
        </w:rPr>
      </w:pPr>
      <w:r>
        <w:rPr>
          <w:rFonts w:hint="eastAsia"/>
        </w:rPr>
        <w:t>枪替并不是考官与考生勾联犯罪。</w:t>
      </w:r>
    </w:p>
    <w:p w14:paraId="255C7970">
      <w:pPr>
        <w:pStyle w:val="11"/>
      </w:pPr>
      <w:r>
        <w:rPr>
          <w:rFonts w:hint="eastAsia"/>
        </w:rPr>
        <w:t>对于已有研究成果，最好用自己语言表述。而且，整个“二”，没有展开，只是别人文章中的一段结论，不合适。应该基于文献。</w:t>
      </w:r>
    </w:p>
  </w:comment>
  <w:comment w:id="4" w:author="Windows 用户" w:date="2025-05-20T16:57:00Z" w:initials="W用">
    <w:p w14:paraId="2F4B4D59">
      <w:pPr>
        <w:pStyle w:val="11"/>
        <w:rPr>
          <w:rFonts w:hint="eastAsia"/>
        </w:rPr>
      </w:pPr>
    </w:p>
    <w:p w14:paraId="11434DCD">
      <w:pPr>
        <w:pStyle w:val="11"/>
        <w:rPr>
          <w:rFonts w:hint="eastAsia"/>
        </w:rPr>
      </w:pPr>
    </w:p>
    <w:p w14:paraId="68FC7BFE">
      <w:pPr>
        <w:pStyle w:val="11"/>
        <w:rPr>
          <w:rFonts w:hint="eastAsia"/>
        </w:rPr>
      </w:pPr>
      <w:r>
        <w:rPr>
          <w:rFonts w:hint="eastAsia"/>
        </w:rPr>
        <w:t>其实可以从官方、考生与读书人三个群体对“沆瀣一气”的态度来阐释：</w:t>
      </w:r>
    </w:p>
    <w:p w14:paraId="1FDF496A">
      <w:pPr>
        <w:pStyle w:val="11"/>
        <w:rPr>
          <w:rFonts w:hint="eastAsia"/>
        </w:rPr>
      </w:pPr>
      <w:r>
        <w:rPr>
          <w:rFonts w:hint="eastAsia"/>
        </w:rPr>
        <w:t>官方：加强科考管理（防弊政策强化），</w:t>
      </w:r>
    </w:p>
    <w:p w14:paraId="0451AF34">
      <w:pPr>
        <w:pStyle w:val="11"/>
        <w:rPr>
          <w:rFonts w:hint="eastAsia"/>
        </w:rPr>
      </w:pPr>
      <w:r>
        <w:rPr>
          <w:rFonts w:hint="eastAsia"/>
        </w:rPr>
        <w:t>考生：想尽办法规避风险（防弊失败）。</w:t>
      </w:r>
    </w:p>
    <w:p w14:paraId="340389DD">
      <w:pPr>
        <w:pStyle w:val="11"/>
      </w:pPr>
      <w:r>
        <w:rPr>
          <w:rFonts w:hint="eastAsia"/>
        </w:rPr>
        <w:t>读书人：科举公平原则的损失，政权信用的削弱。</w:t>
      </w:r>
    </w:p>
  </w:comment>
  <w:comment w:id="5" w:author="Windows 用户" w:date="2025-05-20T16:43:00Z" w:initials="W用">
    <w:p w14:paraId="45944882">
      <w:pPr>
        <w:pStyle w:val="11"/>
      </w:pPr>
      <w:r>
        <w:annotationRef/>
      </w:r>
    </w:p>
  </w:comment>
  <w:comment w:id="6" w:author="Windows 用户" w:date="2025-05-20T16:43:00Z" w:initials="W用">
    <w:p w14:paraId="769A855B">
      <w:pPr>
        <w:pStyle w:val="11"/>
      </w:pPr>
      <w:r>
        <w:annotationRef/>
      </w:r>
    </w:p>
  </w:comment>
  <w:comment w:id="7" w:author="Windows 用户" w:date="2025-05-20T16:43:00Z" w:initials="W用">
    <w:p w14:paraId="68C47957">
      <w:pPr>
        <w:pStyle w:val="11"/>
      </w:pPr>
      <w:r>
        <w:annotationRef/>
      </w:r>
    </w:p>
  </w:comment>
  <w:comment w:id="8" w:author="Windows 用户" w:date="2025-05-20T16:43:00Z" w:initials="W用">
    <w:p w14:paraId="5557BFB5">
      <w:pPr>
        <w:pStyle w:val="11"/>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563739E" w15:done="0"/>
  <w15:commentEx w15:paraId="7DD96091" w15:done="0"/>
  <w15:commentEx w15:paraId="0E9BD366" w15:done="0"/>
  <w15:commentEx w15:paraId="255C7970" w15:done="0"/>
  <w15:commentEx w15:paraId="340389DD" w15:done="0"/>
  <w15:commentEx w15:paraId="45944882" w15:done="0"/>
  <w15:commentEx w15:paraId="769A855B" w15:done="0"/>
  <w15:commentEx w15:paraId="68C47957" w15:done="0"/>
  <w15:commentEx w15:paraId="5557BFB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华文宋体">
    <w:altName w:val="汉仪书宋二KW"/>
    <w:panose1 w:val="02010600040101010101"/>
    <w:charset w:val="86"/>
    <w:family w:val="auto"/>
    <w:pitch w:val="default"/>
    <w:sig w:usb0="00000000" w:usb1="00000000" w:usb2="00000010" w:usb3="00000000" w:csb0="0004009F" w:csb1="00000000"/>
  </w:font>
  <w:font w:name="文泉驿正黑">
    <w:panose1 w:val="02000603000000000000"/>
    <w:charset w:val="86"/>
    <w:family w:val="auto"/>
    <w:pitch w:val="default"/>
    <w:sig w:usb0="900002BF" w:usb1="2BDF7DFB" w:usb2="00000036" w:usb3="00000000" w:csb0="603E000D" w:csb1="D2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indows 用户">
    <w15:presenceInfo w15:providerId="None" w15:userId="Windows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E7E36"/>
    <w:rsid w:val="00012064"/>
    <w:rsid w:val="0001669D"/>
    <w:rsid w:val="0002586D"/>
    <w:rsid w:val="00064A4D"/>
    <w:rsid w:val="000914D0"/>
    <w:rsid w:val="00093313"/>
    <w:rsid w:val="000C17F5"/>
    <w:rsid w:val="000E79D5"/>
    <w:rsid w:val="001453B6"/>
    <w:rsid w:val="001A0520"/>
    <w:rsid w:val="001E4F5A"/>
    <w:rsid w:val="00222FD6"/>
    <w:rsid w:val="00290F42"/>
    <w:rsid w:val="0029543C"/>
    <w:rsid w:val="002C3875"/>
    <w:rsid w:val="002F3BB9"/>
    <w:rsid w:val="00311902"/>
    <w:rsid w:val="00311A74"/>
    <w:rsid w:val="00314FE3"/>
    <w:rsid w:val="00357FA1"/>
    <w:rsid w:val="003E7E36"/>
    <w:rsid w:val="00405705"/>
    <w:rsid w:val="0041033A"/>
    <w:rsid w:val="00454C37"/>
    <w:rsid w:val="00471E8B"/>
    <w:rsid w:val="00486A67"/>
    <w:rsid w:val="004A37E2"/>
    <w:rsid w:val="004C5DDC"/>
    <w:rsid w:val="004D49A0"/>
    <w:rsid w:val="00545628"/>
    <w:rsid w:val="00546CC7"/>
    <w:rsid w:val="0056503D"/>
    <w:rsid w:val="00591C48"/>
    <w:rsid w:val="00592BCB"/>
    <w:rsid w:val="00595F35"/>
    <w:rsid w:val="005D6968"/>
    <w:rsid w:val="005F0F83"/>
    <w:rsid w:val="00600A43"/>
    <w:rsid w:val="00605D4A"/>
    <w:rsid w:val="00653326"/>
    <w:rsid w:val="00690814"/>
    <w:rsid w:val="006A2BA9"/>
    <w:rsid w:val="006B2069"/>
    <w:rsid w:val="006F271A"/>
    <w:rsid w:val="0075612E"/>
    <w:rsid w:val="00761A61"/>
    <w:rsid w:val="00787217"/>
    <w:rsid w:val="007E2209"/>
    <w:rsid w:val="008174C8"/>
    <w:rsid w:val="00820DA1"/>
    <w:rsid w:val="00876F85"/>
    <w:rsid w:val="008A3DDF"/>
    <w:rsid w:val="008C0967"/>
    <w:rsid w:val="0090077D"/>
    <w:rsid w:val="00902F82"/>
    <w:rsid w:val="00922E9C"/>
    <w:rsid w:val="00924294"/>
    <w:rsid w:val="00972A65"/>
    <w:rsid w:val="009C25D1"/>
    <w:rsid w:val="009F33E3"/>
    <w:rsid w:val="00A1080B"/>
    <w:rsid w:val="00A1263D"/>
    <w:rsid w:val="00A436A9"/>
    <w:rsid w:val="00A46423"/>
    <w:rsid w:val="00A70373"/>
    <w:rsid w:val="00A85F52"/>
    <w:rsid w:val="00A957DF"/>
    <w:rsid w:val="00AA235F"/>
    <w:rsid w:val="00AA7818"/>
    <w:rsid w:val="00AE507D"/>
    <w:rsid w:val="00AF37D1"/>
    <w:rsid w:val="00B41E28"/>
    <w:rsid w:val="00BB0A9F"/>
    <w:rsid w:val="00C009D4"/>
    <w:rsid w:val="00C0270E"/>
    <w:rsid w:val="00C07006"/>
    <w:rsid w:val="00C47A5D"/>
    <w:rsid w:val="00CB2F2B"/>
    <w:rsid w:val="00CB316A"/>
    <w:rsid w:val="00CB4924"/>
    <w:rsid w:val="00CC1BAB"/>
    <w:rsid w:val="00CD329B"/>
    <w:rsid w:val="00D01DF4"/>
    <w:rsid w:val="00D13003"/>
    <w:rsid w:val="00D3553A"/>
    <w:rsid w:val="00D406D9"/>
    <w:rsid w:val="00D718CB"/>
    <w:rsid w:val="00D7255B"/>
    <w:rsid w:val="00D908F2"/>
    <w:rsid w:val="00D95B8C"/>
    <w:rsid w:val="00DF0C64"/>
    <w:rsid w:val="00E02F94"/>
    <w:rsid w:val="00E27D09"/>
    <w:rsid w:val="00E32245"/>
    <w:rsid w:val="00E351A0"/>
    <w:rsid w:val="00EA42B8"/>
    <w:rsid w:val="00EC0CFA"/>
    <w:rsid w:val="00EC3294"/>
    <w:rsid w:val="00EC6DC8"/>
    <w:rsid w:val="00EF366A"/>
    <w:rsid w:val="00F116DD"/>
    <w:rsid w:val="00F63C4F"/>
    <w:rsid w:val="00FA5B6D"/>
    <w:rsid w:val="00FB6C6C"/>
    <w:rsid w:val="74BF85D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0F4761" w:themeColor="accent1" w:themeShade="BF"/>
      <w:sz w:val="24"/>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0F4761"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85858" w:themeColor="text1" w:themeTint="A6"/>
    </w:rPr>
  </w:style>
  <w:style w:type="paragraph" w:styleId="9">
    <w:name w:val="heading 8"/>
    <w:basedOn w:val="1"/>
    <w:next w:val="1"/>
    <w:link w:val="28"/>
    <w:semiHidden/>
    <w:unhideWhenUsed/>
    <w:qFormat/>
    <w:uiPriority w:val="9"/>
    <w:pPr>
      <w:keepNext/>
      <w:keepLines/>
      <w:spacing w:after="0"/>
      <w:outlineLvl w:val="7"/>
    </w:pPr>
    <w:rPr>
      <w:rFonts w:cstheme="majorBidi"/>
      <w:color w:val="585858" w:themeColor="text1" w:themeTint="A6"/>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85858" w:themeColor="text1" w:themeTint="A6"/>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1"/>
    <w:semiHidden/>
    <w:unhideWhenUsed/>
    <w:qFormat/>
    <w:uiPriority w:val="99"/>
  </w:style>
  <w:style w:type="paragraph" w:styleId="12">
    <w:name w:val="Balloon Text"/>
    <w:basedOn w:val="1"/>
    <w:link w:val="43"/>
    <w:semiHidden/>
    <w:unhideWhenUsed/>
    <w:qFormat/>
    <w:uiPriority w:val="99"/>
    <w:pPr>
      <w:spacing w:after="0" w:line="240" w:lineRule="auto"/>
    </w:pPr>
    <w:rPr>
      <w:sz w:val="18"/>
      <w:szCs w:val="18"/>
    </w:rPr>
  </w:style>
  <w:style w:type="paragraph" w:styleId="13">
    <w:name w:val="footer"/>
    <w:basedOn w:val="1"/>
    <w:link w:val="40"/>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39"/>
    <w:unhideWhenUsed/>
    <w:qFormat/>
    <w:uiPriority w:val="99"/>
    <w:pPr>
      <w:tabs>
        <w:tab w:val="center" w:pos="4153"/>
        <w:tab w:val="right" w:pos="8306"/>
      </w:tabs>
      <w:snapToGrid w:val="0"/>
      <w:spacing w:line="240" w:lineRule="auto"/>
      <w:jc w:val="center"/>
    </w:pPr>
    <w:rPr>
      <w:sz w:val="18"/>
      <w:szCs w:val="18"/>
    </w:rPr>
  </w:style>
  <w:style w:type="paragraph" w:styleId="15">
    <w:name w:val="Subtitle"/>
    <w:basedOn w:val="1"/>
    <w:next w:val="1"/>
    <w:link w:val="31"/>
    <w:qFormat/>
    <w:uiPriority w:val="11"/>
    <w:pPr>
      <w:jc w:val="center"/>
    </w:pPr>
    <w:rPr>
      <w:rFonts w:asciiTheme="majorHAnsi" w:hAnsiTheme="majorHAnsi" w:eastAsiaTheme="majorEastAsia" w:cstheme="majorBidi"/>
      <w:color w:val="585858" w:themeColor="text1" w:themeTint="A6"/>
      <w:spacing w:val="15"/>
      <w:sz w:val="28"/>
      <w:szCs w:val="28"/>
    </w:rPr>
  </w:style>
  <w:style w:type="paragraph" w:styleId="16">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2"/>
    <w:semiHidden/>
    <w:unhideWhenUsed/>
    <w:qFormat/>
    <w:uiPriority w:val="99"/>
    <w:rPr>
      <w:b/>
      <w:bCs/>
    </w:rPr>
  </w:style>
  <w:style w:type="character" w:styleId="20">
    <w:name w:val="annotation reference"/>
    <w:basedOn w:val="19"/>
    <w:semiHidden/>
    <w:unhideWhenUsed/>
    <w:qFormat/>
    <w:uiPriority w:val="99"/>
    <w:rPr>
      <w:sz w:val="21"/>
      <w:szCs w:val="21"/>
    </w:rPr>
  </w:style>
  <w:style w:type="character" w:customStyle="1" w:styleId="21">
    <w:name w:val="标题 1 Char"/>
    <w:basedOn w:val="19"/>
    <w:link w:val="2"/>
    <w:qFormat/>
    <w:uiPriority w:val="9"/>
    <w:rPr>
      <w:rFonts w:asciiTheme="majorHAnsi" w:hAnsiTheme="majorHAnsi" w:eastAsiaTheme="majorEastAsia" w:cstheme="majorBidi"/>
      <w:color w:val="0F4761" w:themeColor="accent1" w:themeShade="BF"/>
      <w:sz w:val="48"/>
      <w:szCs w:val="48"/>
    </w:rPr>
  </w:style>
  <w:style w:type="character" w:customStyle="1" w:styleId="22">
    <w:name w:val="标题 2 Char"/>
    <w:basedOn w:val="19"/>
    <w:link w:val="3"/>
    <w:semiHidden/>
    <w:qFormat/>
    <w:uiPriority w:val="9"/>
    <w:rPr>
      <w:rFonts w:asciiTheme="majorHAnsi" w:hAnsiTheme="majorHAnsi" w:eastAsiaTheme="majorEastAsia" w:cstheme="majorBidi"/>
      <w:color w:val="0F4761" w:themeColor="accent1" w:themeShade="BF"/>
      <w:sz w:val="40"/>
      <w:szCs w:val="40"/>
    </w:rPr>
  </w:style>
  <w:style w:type="character" w:customStyle="1" w:styleId="23">
    <w:name w:val="标题 3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24">
    <w:name w:val="标题 4 Char"/>
    <w:basedOn w:val="19"/>
    <w:link w:val="5"/>
    <w:semiHidden/>
    <w:qFormat/>
    <w:uiPriority w:val="9"/>
    <w:rPr>
      <w:rFonts w:cstheme="majorBidi"/>
      <w:color w:val="0F4761" w:themeColor="accent1" w:themeShade="BF"/>
      <w:sz w:val="28"/>
      <w:szCs w:val="28"/>
    </w:rPr>
  </w:style>
  <w:style w:type="character" w:customStyle="1" w:styleId="25">
    <w:name w:val="标题 5 Char"/>
    <w:basedOn w:val="19"/>
    <w:link w:val="6"/>
    <w:semiHidden/>
    <w:qFormat/>
    <w:uiPriority w:val="9"/>
    <w:rPr>
      <w:rFonts w:cstheme="majorBidi"/>
      <w:color w:val="0F4761" w:themeColor="accent1" w:themeShade="BF"/>
      <w:sz w:val="24"/>
    </w:rPr>
  </w:style>
  <w:style w:type="character" w:customStyle="1" w:styleId="26">
    <w:name w:val="标题 6 Char"/>
    <w:basedOn w:val="19"/>
    <w:link w:val="7"/>
    <w:semiHidden/>
    <w:qFormat/>
    <w:uiPriority w:val="9"/>
    <w:rPr>
      <w:rFonts w:cstheme="majorBidi"/>
      <w:b/>
      <w:bCs/>
      <w:color w:val="0F4761" w:themeColor="accent1" w:themeShade="BF"/>
    </w:rPr>
  </w:style>
  <w:style w:type="character" w:customStyle="1" w:styleId="27">
    <w:name w:val="标题 7 Char"/>
    <w:basedOn w:val="19"/>
    <w:link w:val="8"/>
    <w:semiHidden/>
    <w:qFormat/>
    <w:uiPriority w:val="9"/>
    <w:rPr>
      <w:rFonts w:cstheme="majorBidi"/>
      <w:b/>
      <w:bCs/>
      <w:color w:val="585858" w:themeColor="text1" w:themeTint="A6"/>
    </w:rPr>
  </w:style>
  <w:style w:type="character" w:customStyle="1" w:styleId="28">
    <w:name w:val="标题 8 Char"/>
    <w:basedOn w:val="19"/>
    <w:link w:val="9"/>
    <w:semiHidden/>
    <w:qFormat/>
    <w:uiPriority w:val="9"/>
    <w:rPr>
      <w:rFonts w:cstheme="majorBidi"/>
      <w:color w:val="585858" w:themeColor="text1" w:themeTint="A6"/>
    </w:rPr>
  </w:style>
  <w:style w:type="character" w:customStyle="1" w:styleId="29">
    <w:name w:val="标题 9 Char"/>
    <w:basedOn w:val="19"/>
    <w:link w:val="10"/>
    <w:semiHidden/>
    <w:qFormat/>
    <w:uiPriority w:val="9"/>
    <w:rPr>
      <w:rFonts w:eastAsiaTheme="majorEastAsia" w:cstheme="majorBidi"/>
      <w:color w:val="585858" w:themeColor="text1" w:themeTint="A6"/>
    </w:rPr>
  </w:style>
  <w:style w:type="character" w:customStyle="1" w:styleId="30">
    <w:name w:val="标题 Char"/>
    <w:basedOn w:val="19"/>
    <w:link w:val="16"/>
    <w:qFormat/>
    <w:uiPriority w:val="10"/>
    <w:rPr>
      <w:rFonts w:asciiTheme="majorHAnsi" w:hAnsiTheme="majorHAnsi" w:eastAsiaTheme="majorEastAsia" w:cstheme="majorBidi"/>
      <w:spacing w:val="-10"/>
      <w:kern w:val="28"/>
      <w:sz w:val="56"/>
      <w:szCs w:val="56"/>
    </w:rPr>
  </w:style>
  <w:style w:type="character" w:customStyle="1" w:styleId="31">
    <w:name w:val="副标题 Char"/>
    <w:basedOn w:val="19"/>
    <w:link w:val="15"/>
    <w:qFormat/>
    <w:uiPriority w:val="11"/>
    <w:rPr>
      <w:rFonts w:asciiTheme="majorHAnsi" w:hAnsiTheme="majorHAnsi" w:eastAsiaTheme="majorEastAsia" w:cstheme="majorBidi"/>
      <w:color w:val="585858" w:themeColor="text1" w:themeTint="A6"/>
      <w:spacing w:val="15"/>
      <w:sz w:val="28"/>
      <w:szCs w:val="28"/>
    </w:rPr>
  </w:style>
  <w:style w:type="paragraph" w:styleId="32">
    <w:name w:val="Quote"/>
    <w:basedOn w:val="1"/>
    <w:next w:val="1"/>
    <w:link w:val="33"/>
    <w:qFormat/>
    <w:uiPriority w:val="29"/>
    <w:pPr>
      <w:spacing w:before="160"/>
      <w:jc w:val="center"/>
    </w:pPr>
    <w:rPr>
      <w:i/>
      <w:iCs/>
      <w:color w:val="3F3F3F" w:themeColor="text1" w:themeTint="BF"/>
    </w:rPr>
  </w:style>
  <w:style w:type="character" w:customStyle="1" w:styleId="33">
    <w:name w:val="引用 Char"/>
    <w:basedOn w:val="19"/>
    <w:link w:val="32"/>
    <w:qFormat/>
    <w:uiPriority w:val="29"/>
    <w:rPr>
      <w:i/>
      <w:iCs/>
      <w:color w:val="3F3F3F" w:themeColor="text1" w:themeTint="BF"/>
    </w:rPr>
  </w:style>
  <w:style w:type="paragraph" w:styleId="34">
    <w:name w:val="List Paragraph"/>
    <w:basedOn w:val="1"/>
    <w:qFormat/>
    <w:uiPriority w:val="34"/>
    <w:pPr>
      <w:ind w:left="720"/>
      <w:contextualSpacing/>
    </w:pPr>
  </w:style>
  <w:style w:type="character" w:customStyle="1" w:styleId="35">
    <w:name w:val="Intense Emphasis"/>
    <w:basedOn w:val="19"/>
    <w:qFormat/>
    <w:uiPriority w:val="21"/>
    <w:rPr>
      <w:i/>
      <w:iCs/>
      <w:color w:val="0F4761"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7">
    <w:name w:val="明显引用 Char"/>
    <w:basedOn w:val="19"/>
    <w:link w:val="36"/>
    <w:qFormat/>
    <w:uiPriority w:val="30"/>
    <w:rPr>
      <w:i/>
      <w:iCs/>
      <w:color w:val="0F4761" w:themeColor="accent1" w:themeShade="BF"/>
    </w:rPr>
  </w:style>
  <w:style w:type="character" w:customStyle="1" w:styleId="38">
    <w:name w:val="Intense Reference"/>
    <w:basedOn w:val="19"/>
    <w:qFormat/>
    <w:uiPriority w:val="32"/>
    <w:rPr>
      <w:b/>
      <w:bCs/>
      <w:smallCaps/>
      <w:color w:val="0F4761" w:themeColor="accent1" w:themeShade="BF"/>
      <w:spacing w:val="5"/>
    </w:rPr>
  </w:style>
  <w:style w:type="character" w:customStyle="1" w:styleId="39">
    <w:name w:val="页眉 Char"/>
    <w:basedOn w:val="19"/>
    <w:link w:val="14"/>
    <w:qFormat/>
    <w:uiPriority w:val="99"/>
    <w:rPr>
      <w:sz w:val="18"/>
      <w:szCs w:val="18"/>
    </w:rPr>
  </w:style>
  <w:style w:type="character" w:customStyle="1" w:styleId="40">
    <w:name w:val="页脚 Char"/>
    <w:basedOn w:val="19"/>
    <w:link w:val="13"/>
    <w:qFormat/>
    <w:uiPriority w:val="99"/>
    <w:rPr>
      <w:sz w:val="18"/>
      <w:szCs w:val="18"/>
    </w:rPr>
  </w:style>
  <w:style w:type="character" w:customStyle="1" w:styleId="41">
    <w:name w:val="批注文字 Char"/>
    <w:basedOn w:val="19"/>
    <w:link w:val="11"/>
    <w:semiHidden/>
    <w:qFormat/>
    <w:uiPriority w:val="99"/>
  </w:style>
  <w:style w:type="character" w:customStyle="1" w:styleId="42">
    <w:name w:val="批注主题 Char"/>
    <w:basedOn w:val="41"/>
    <w:link w:val="17"/>
    <w:semiHidden/>
    <w:qFormat/>
    <w:uiPriority w:val="99"/>
    <w:rPr>
      <w:b/>
      <w:bCs/>
    </w:rPr>
  </w:style>
  <w:style w:type="character" w:customStyle="1" w:styleId="43">
    <w:name w:val="批注框文本 Char"/>
    <w:basedOn w:val="19"/>
    <w:link w:val="12"/>
    <w:semiHidden/>
    <w:uiPriority w:val="99"/>
    <w:rPr>
      <w:sz w:val="18"/>
      <w:szCs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3671</Words>
  <Characters>532</Characters>
  <Lines>4</Lines>
  <Paragraphs>8</Paragraphs>
  <TotalTime>356</TotalTime>
  <ScaleCrop>false</ScaleCrop>
  <LinksUpToDate>false</LinksUpToDate>
  <CharactersWithSpaces>4195</CharactersWithSpaces>
  <Application>WPS Office WWO_base_provider_20250107171338-7e3eb3042c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2025-05-17T17:04:00Z</dcterms:created>
  <dc:creator>旻昊 李</dc:creator>
  <cp:lastModifiedBy>Windows 用户</cp:lastModifiedBy>
  <dcterms:modified xsi:type="dcterms:W3CDTF">2025-06-20T20:37:47Z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3567F3B13F16EF411B56556844F952E7_43</vt:lpwstr>
  </property>
</Properties>
</file>