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B3670">
      <w:pPr>
        <w:pStyle w:val="2"/>
        <w:spacing w:before="156" w:beforeLines="50" w:beforeAutospacing="0" w:after="156" w:afterLines="50" w:afterAutospacing="0"/>
        <w:jc w:val="both"/>
        <w:rPr>
          <w:sz w:val="22"/>
          <w:szCs w:val="22"/>
        </w:rPr>
      </w:pPr>
      <w:r>
        <w:rPr>
          <w:sz w:val="20"/>
          <w:szCs w:val="20"/>
        </w:rPr>
        <w:t>第</w:t>
      </w:r>
      <w:r>
        <w:rPr>
          <w:rFonts w:hint="eastAsia"/>
          <w:sz w:val="20"/>
          <w:szCs w:val="20"/>
        </w:rPr>
        <w:t>一</w:t>
      </w:r>
      <w:r>
        <w:rPr>
          <w:sz w:val="20"/>
          <w:szCs w:val="20"/>
        </w:rPr>
        <w:t>周：</w:t>
      </w:r>
      <w:r>
        <w:rPr>
          <w:rFonts w:hint="eastAsia"/>
          <w:sz w:val="20"/>
          <w:szCs w:val="20"/>
        </w:rPr>
        <w:t>东方文明史</w:t>
      </w:r>
      <w:r>
        <w:rPr>
          <w:sz w:val="20"/>
          <w:szCs w:val="20"/>
        </w:rPr>
        <w:t>序论</w:t>
      </w:r>
    </w:p>
    <w:p w14:paraId="0224258E">
      <w:pPr>
        <w:pStyle w:val="2"/>
        <w:spacing w:before="156" w:beforeLines="50" w:beforeAutospacing="0" w:after="156" w:afterLines="50" w:afterAutospacing="0"/>
        <w:jc w:val="both"/>
        <w:rPr>
          <w:sz w:val="22"/>
          <w:szCs w:val="22"/>
        </w:rPr>
      </w:pPr>
      <w:r>
        <w:rPr>
          <w:sz w:val="20"/>
          <w:szCs w:val="20"/>
        </w:rPr>
        <w:t>（1）</w:t>
      </w:r>
      <w:r>
        <w:rPr>
          <w:rFonts w:hint="eastAsia"/>
          <w:sz w:val="20"/>
          <w:szCs w:val="20"/>
        </w:rPr>
        <w:t>自我介绍，分组</w:t>
      </w:r>
    </w:p>
    <w:p w14:paraId="3A1C1D99">
      <w:pPr>
        <w:pStyle w:val="2"/>
        <w:spacing w:before="156" w:beforeLines="50" w:beforeAutospacing="0" w:after="156" w:afterLines="50" w:afterAutospacing="0"/>
        <w:jc w:val="both"/>
        <w:rPr>
          <w:rFonts w:hint="eastAsia"/>
          <w:sz w:val="20"/>
          <w:szCs w:val="20"/>
          <w:lang w:val="en-US" w:eastAsia="zh-CN"/>
        </w:rPr>
      </w:pPr>
      <w:r>
        <w:rPr>
          <w:sz w:val="20"/>
          <w:szCs w:val="20"/>
        </w:rPr>
        <w:t>（2）你是否读过哪一本与历史相关的书籍，它的研究视角是什么？</w:t>
      </w:r>
    </w:p>
    <w:p w14:paraId="3F063C77">
      <w:pPr>
        <w:pStyle w:val="2"/>
        <w:spacing w:before="156" w:beforeLines="50" w:beforeAutospacing="0" w:after="156" w:afterLines="50" w:afterAutospacing="0"/>
        <w:jc w:val="both"/>
        <w:rPr>
          <w:rFonts w:hint="eastAsia"/>
          <w:sz w:val="20"/>
          <w:szCs w:val="20"/>
        </w:rPr>
      </w:pPr>
      <w:r>
        <w:rPr>
          <w:rFonts w:hint="eastAsia"/>
          <w:sz w:val="20"/>
          <w:szCs w:val="20"/>
        </w:rPr>
        <w:t>我读过田余庆先生的《东晋门阀政治》。这本书的研究视角主要是通过对古代典籍所载史料的细致辨析和严谨论证，来重新审视东晋时期的政治结构与权力运作。作者并未止步于传统叙述，而是深入考辨史料，既建构起自己的观点，也对以往研究中一些不尽合理的成说提出反驳。</w:t>
      </w:r>
    </w:p>
    <w:p w14:paraId="55225580">
      <w:pPr>
        <w:pStyle w:val="2"/>
        <w:spacing w:before="156" w:beforeLines="50" w:beforeAutospacing="0" w:after="156" w:afterLines="50" w:afterAutospacing="0"/>
        <w:jc w:val="both"/>
        <w:rPr>
          <w:rFonts w:hint="eastAsia"/>
          <w:sz w:val="20"/>
          <w:szCs w:val="20"/>
        </w:rPr>
      </w:pPr>
      <w:r>
        <w:rPr>
          <w:rFonts w:hint="eastAsia"/>
          <w:sz w:val="20"/>
          <w:szCs w:val="20"/>
        </w:rPr>
        <w:t>例如，在探讨“东晋是否因民族气节而不与北朝通使”这一问题时，作者通过详实的考证指出，东晋朝廷确实长期不与北方某些政权通使，但这并非出于“收复中原”的民族大义或气节。实际上，西晋“八王之乱”以来，皇室内部矛盾持续不断，并与北方多个游牧民族势力纠缠交错。东晋立国后的南北对立，不仅带有民族冲突的色彩，也延续了西晋宗室斗争的余绪。当时北方存在后赵（石氏）、慕容鲜卑等多个政权，东晋朝廷采取的是“亲鲜卑、疏石赵”的策略——这种选择更多是基于现实利益和派系生存的考量，而非坚定的北伐统一决心。</w:t>
      </w:r>
    </w:p>
    <w:p w14:paraId="3C357B3F">
      <w:pPr>
        <w:pStyle w:val="2"/>
        <w:spacing w:before="156" w:beforeLines="50" w:beforeAutospacing="0" w:after="156" w:afterLines="50" w:afterAutospacing="0"/>
        <w:jc w:val="both"/>
        <w:rPr>
          <w:rFonts w:hint="eastAsia"/>
          <w:sz w:val="20"/>
          <w:szCs w:val="20"/>
        </w:rPr>
      </w:pPr>
      <w:r>
        <w:rPr>
          <w:rFonts w:hint="eastAsia"/>
          <w:sz w:val="20"/>
          <w:szCs w:val="20"/>
        </w:rPr>
        <w:t>在论证过程中，作者广泛援引《晋书》《世说新语》《南史》《北史》等关键原始文献，通过对文本的比对、释读与批判，展现出深厚的历史考证功力，也体现出其立足于原始材料、“释史见理”的独特研究视角。</w:t>
      </w:r>
    </w:p>
    <w:p w14:paraId="51ACA530">
      <w:pPr>
        <w:pStyle w:val="2"/>
        <w:spacing w:before="156" w:beforeLines="50" w:beforeAutospacing="0" w:after="156" w:afterLines="50" w:afterAutospacing="0"/>
        <w:jc w:val="both"/>
        <w:rPr>
          <w:rFonts w:hint="eastAsia"/>
          <w:sz w:val="20"/>
          <w:szCs w:val="22"/>
        </w:rPr>
      </w:pPr>
      <w:r>
        <w:rPr>
          <w:rFonts w:hint="eastAsia"/>
          <w:sz w:val="20"/>
          <w:szCs w:val="20"/>
        </w:rPr>
        <w:t>（</w:t>
      </w:r>
      <w:r>
        <w:rPr>
          <w:sz w:val="20"/>
          <w:szCs w:val="20"/>
        </w:rPr>
        <w:t>3</w:t>
      </w:r>
      <w:r>
        <w:rPr>
          <w:rFonts w:hint="eastAsia"/>
          <w:sz w:val="20"/>
          <w:szCs w:val="20"/>
        </w:rPr>
        <w:t>）古代诸多东方文明中为何只有</w:t>
      </w:r>
      <w:r>
        <w:rPr>
          <w:rFonts w:hint="eastAsia"/>
          <w:sz w:val="20"/>
          <w:szCs w:val="22"/>
        </w:rPr>
        <w:t>中华文明得以绵延不断延续至今？</w:t>
      </w:r>
    </w:p>
    <w:p w14:paraId="4E885901">
      <w:pPr>
        <w:pStyle w:val="2"/>
        <w:spacing w:before="156" w:beforeLines="50" w:beforeAutospacing="0" w:after="156" w:afterLines="50" w:afterAutospacing="0"/>
        <w:jc w:val="both"/>
        <w:rPr>
          <w:rFonts w:hint="default"/>
          <w:sz w:val="20"/>
          <w:szCs w:val="20"/>
        </w:rPr>
      </w:pPr>
      <w:r>
        <w:rPr>
          <w:rFonts w:hint="default"/>
          <w:sz w:val="20"/>
          <w:szCs w:val="20"/>
        </w:rPr>
        <w:t>这一独特的历史现象，主要可归因于两大因素：相对隔绝而完整的地缘格局，以及具有强大包容性和韧性的文化体系。</w:t>
      </w:r>
    </w:p>
    <w:p w14:paraId="7DD9EBAC">
      <w:pPr>
        <w:pStyle w:val="2"/>
        <w:spacing w:before="156" w:beforeLines="50" w:beforeAutospacing="0" w:after="156" w:afterLines="50" w:afterAutospacing="0"/>
        <w:jc w:val="both"/>
        <w:rPr>
          <w:rFonts w:hint="default"/>
          <w:sz w:val="20"/>
          <w:szCs w:val="20"/>
        </w:rPr>
      </w:pPr>
      <w:r>
        <w:rPr>
          <w:rFonts w:hint="default"/>
          <w:sz w:val="20"/>
          <w:szCs w:val="20"/>
        </w:rPr>
        <w:t>从地理环境看，中国处于一个被天然屏障所环绕的独立地理单元：西南耸立着青藏高原，北方横亘着蒙古高原与西伯利亚荒原，东南则濒临浩瀚的太平洋。这一结构有效阻隔了大规模的外来入侵，为文明的持续发展提供了稳定的空间。值得注意的是，西北的河西走廊虽是古代中西交流的通道，但也往往成为军事防御的重点，使得中原地区在大部分历史时期能够保持政治与文化的自主性。</w:t>
      </w:r>
    </w:p>
    <w:p w14:paraId="4B4A0C9C">
      <w:pPr>
        <w:pStyle w:val="2"/>
        <w:spacing w:before="156" w:beforeLines="50" w:beforeAutospacing="0" w:after="156" w:afterLines="50" w:afterAutospacing="0"/>
        <w:jc w:val="both"/>
        <w:rPr>
          <w:rFonts w:hint="default"/>
          <w:sz w:val="20"/>
          <w:szCs w:val="20"/>
        </w:rPr>
      </w:pPr>
      <w:r>
        <w:rPr>
          <w:rFonts w:hint="default"/>
          <w:sz w:val="20"/>
          <w:szCs w:val="20"/>
        </w:rPr>
        <w:t>更关键的是文化的凝聚力。即便在历史上数次被北方游牧民族武力征服（如元朝和清朝），中华文明不但没有消亡，反而以其成熟的制度、伦理观念和文字系统，将入主中原的异族逐渐同化。征服者最终主动继承和发展了华夏的文化与政治制度，而非摧毁或取代它。</w:t>
      </w:r>
    </w:p>
    <w:p w14:paraId="284C46F3">
      <w:pPr>
        <w:pStyle w:val="2"/>
        <w:spacing w:before="156" w:beforeLines="50" w:beforeAutospacing="0" w:after="156" w:afterLines="50" w:afterAutospacing="0"/>
        <w:jc w:val="both"/>
        <w:rPr>
          <w:rFonts w:hint="default"/>
          <w:sz w:val="20"/>
          <w:szCs w:val="20"/>
        </w:rPr>
      </w:pPr>
      <w:r>
        <w:rPr>
          <w:rFonts w:hint="default"/>
          <w:sz w:val="20"/>
          <w:szCs w:val="20"/>
        </w:rPr>
        <w:t>反观其他古文明，则缺乏这样的地缘与文化双重优势：</w:t>
      </w:r>
    </w:p>
    <w:p w14:paraId="63666F69">
      <w:pPr>
        <w:pStyle w:val="2"/>
        <w:spacing w:before="156" w:beforeLines="50" w:beforeAutospacing="0" w:after="156" w:afterLines="50" w:afterAutospacing="0"/>
        <w:jc w:val="both"/>
        <w:rPr>
          <w:rFonts w:hint="default"/>
          <w:sz w:val="20"/>
          <w:szCs w:val="20"/>
        </w:rPr>
      </w:pPr>
      <w:r>
        <w:rPr>
          <w:rFonts w:hint="default"/>
          <w:sz w:val="20"/>
          <w:szCs w:val="20"/>
        </w:rPr>
        <w:t>古埃及地处亚非交汇之地，先后被亚历山大帝国、罗马、阿拉伯帝国征服。在伊斯兰化之后，其古老的文字、神祇与法老文化彻底湮没于历史长河。</w:t>
      </w:r>
    </w:p>
    <w:p w14:paraId="07FFA391">
      <w:pPr>
        <w:pStyle w:val="2"/>
        <w:spacing w:before="156" w:beforeLines="50" w:beforeAutospacing="0" w:after="156" w:afterLines="50" w:afterAutospacing="0"/>
        <w:jc w:val="both"/>
        <w:rPr>
          <w:rFonts w:hint="default"/>
          <w:sz w:val="20"/>
          <w:szCs w:val="20"/>
        </w:rPr>
      </w:pPr>
      <w:r>
        <w:rPr>
          <w:rFonts w:hint="default"/>
          <w:sz w:val="20"/>
          <w:szCs w:val="20"/>
        </w:rPr>
        <w:t>两河流域作为欧亚大陆的“十字路口”，更是兵家必争之地。苏美尔、阿卡德、巴比伦、亚述等原生文明先后被波斯、希腊、阿拉伯和突厥等外来政权覆盖，文明层叠更替，难以延续一脉。</w:t>
      </w:r>
    </w:p>
    <w:p w14:paraId="00F4CAA5">
      <w:pPr>
        <w:pStyle w:val="2"/>
        <w:spacing w:before="156" w:beforeLines="50" w:beforeAutospacing="0" w:after="156" w:afterLines="50" w:afterAutospacing="0"/>
        <w:jc w:val="both"/>
        <w:rPr>
          <w:rFonts w:hint="default"/>
          <w:sz w:val="21"/>
          <w:szCs w:val="21"/>
        </w:rPr>
      </w:pPr>
      <w:r>
        <w:rPr>
          <w:rFonts w:hint="default"/>
          <w:sz w:val="21"/>
          <w:szCs w:val="21"/>
        </w:rPr>
        <w:t>古印度文明（印度河流域哈拉帕文明）因目前尚未完全确定的原因衰亡后，雅利安人入侵并确立种姓制度与印度教。此后波斯、希腊、伊斯兰莫卧儿帝国等外族屡次入侵，该地区长期处于分裂多于统一的状态，缺乏持续稳定的文明传承主体。</w:t>
      </w:r>
    </w:p>
    <w:p w14:paraId="1C6296ED">
      <w:pPr>
        <w:pStyle w:val="2"/>
        <w:spacing w:before="156" w:beforeLines="50" w:beforeAutospacing="0" w:after="156" w:afterLines="50" w:afterAutospacing="0"/>
        <w:jc w:val="both"/>
        <w:rPr>
          <w:rFonts w:hint="default"/>
          <w:sz w:val="21"/>
          <w:szCs w:val="21"/>
        </w:rPr>
      </w:pPr>
      <w:r>
        <w:rPr>
          <w:rFonts w:hint="default"/>
          <w:sz w:val="21"/>
          <w:szCs w:val="21"/>
        </w:rPr>
        <w:t>因此，中华文明的连续性并非偶然。它既得益于“一方水土”的天然保护，更根源于其文化内核中“以文化人”的深厚力量——这种力量使得文明在不同王朝和民族的变迁中，始终能够吸收、融合、延续，从而跨越时空，传承至今。</w:t>
      </w:r>
    </w:p>
    <w:p w14:paraId="006AA9EA">
      <w:pPr>
        <w:rPr>
          <w:rFonts w:hint="eastAsia"/>
          <w:highlight w:val="red"/>
          <w:lang w:val="en-US" w:eastAsia="zh-CN"/>
        </w:rPr>
      </w:pPr>
      <w:r>
        <w:rPr>
          <w:rFonts w:hint="eastAsia"/>
          <w:highlight w:val="red"/>
          <w:lang w:val="en-US" w:eastAsia="zh-CN"/>
        </w:rPr>
        <w:t>和AI的结合：</w:t>
      </w:r>
    </w:p>
    <w:p w14:paraId="25BDE435">
      <w:pPr>
        <w:rPr>
          <w:rFonts w:hint="eastAsia"/>
          <w:lang w:val="en-US" w:eastAsia="zh-CN"/>
        </w:rPr>
      </w:pPr>
      <w:r>
        <w:rPr>
          <w:rFonts w:hint="eastAsia"/>
          <w:lang w:val="en-US" w:eastAsia="zh-CN"/>
        </w:rPr>
        <w:t>我使用了AI评价了一下我原来的文字，有所修改和调整。原始使用ai的记录如下（导出聊天记录为图片）：</w:t>
      </w:r>
    </w:p>
    <w:p w14:paraId="30EE999E">
      <w:pPr>
        <w:rPr>
          <w:rFonts w:hint="eastAsia"/>
          <w:lang w:val="en-US" w:eastAsia="zh-CN"/>
        </w:rPr>
      </w:pPr>
      <w:bookmarkStart w:id="0" w:name="_GoBack"/>
      <w:bookmarkEnd w:id="0"/>
    </w:p>
    <w:p w14:paraId="3FE27D5F">
      <w:pPr>
        <w:jc w:val="center"/>
        <w:rPr>
          <w:rFonts w:hint="default"/>
          <w:lang w:val="en-US" w:eastAsia="zh-CN"/>
        </w:rPr>
      </w:pPr>
      <w:r>
        <w:rPr>
          <w:rFonts w:hint="default"/>
          <w:lang w:val="en-US" w:eastAsia="zh-CN"/>
        </w:rPr>
        <w:drawing>
          <wp:inline distT="0" distB="0" distL="114300" distR="114300">
            <wp:extent cx="2318385" cy="8999855"/>
            <wp:effectExtent l="0" t="0" r="13335" b="6985"/>
            <wp:docPr id="1" name="图片 1" descr="ai结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i结合_00"/>
                    <pic:cNvPicPr>
                      <a:picLocks noChangeAspect="1"/>
                    </pic:cNvPicPr>
                  </pic:nvPicPr>
                  <pic:blipFill>
                    <a:blip r:embed="rId4"/>
                    <a:stretch>
                      <a:fillRect/>
                    </a:stretch>
                  </pic:blipFill>
                  <pic:spPr>
                    <a:xfrm>
                      <a:off x="0" y="0"/>
                      <a:ext cx="2318385" cy="899985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9673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1296</Words>
  <Characters>1298</Characters>
  <Lines>0</Lines>
  <Paragraphs>0</Paragraphs>
  <TotalTime>1</TotalTime>
  <ScaleCrop>false</ScaleCrop>
  <LinksUpToDate>false</LinksUpToDate>
  <CharactersWithSpaces>1298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2025-09-17T12:57:57Z</dcterms:created>
  <dc:creator>lenovo</dc:creator>
  <cp:lastModifiedBy>王瑞</cp:lastModifiedBy>
  <dcterms:modified xsi:type="dcterms:W3CDTF">2025-09-17T13:09:20Z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eyJoZGlkIjoiNGQ5ZWU1MWIwYTYwNjhhYTI3OGZmN2E3Y2RlNjUzYmMiLCJ1c2VySWQiOiIxNjM5NDcxNzAxIn0=</vt:lpwstr>
  </property>
  <property fmtid="{D5CDD505-2E9C-101B-9397-08002B2CF9AE}" pid="4" name="ICV">
    <vt:lpwstr>E9B6F7DD14CE46EB8BF3030A15F69124_12</vt:lpwstr>
  </property>
</Properties>
</file>