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3ABFF">
      <w:pPr>
        <w:pStyle w:val="2"/>
        <w:bidi w:val="0"/>
        <w:jc w:val="center"/>
      </w:pPr>
      <w:r>
        <w:t>Archaeological Ruins of Liangzhu City</w:t>
      </w:r>
    </w:p>
    <w:p w14:paraId="33A65189">
      <w:pPr>
        <w:pStyle w:val="3"/>
        <w:bidi w:val="0"/>
      </w:pPr>
      <w:r>
        <w:rPr>
          <w:rFonts w:hint="eastAsia"/>
          <w:lang w:val="en-US" w:eastAsia="zh-CN"/>
        </w:rPr>
        <w:t>1.</w:t>
      </w:r>
      <w:r>
        <w:t xml:space="preserve">Comprehensive Introduction </w:t>
      </w:r>
    </w:p>
    <w:p w14:paraId="77351F62">
      <w:pPr>
        <w:keepNext w:val="0"/>
        <w:keepLines w:val="0"/>
        <w:pageBreakBefore w:val="0"/>
        <w:widowControl w:val="0"/>
        <w:kinsoku/>
        <w:wordWrap/>
        <w:overflowPunct/>
        <w:topLinePunct w:val="0"/>
        <w:autoSpaceDE/>
        <w:autoSpaceDN/>
        <w:bidi w:val="0"/>
        <w:adjustRightInd/>
        <w:snapToGrid/>
        <w:ind w:firstLine="540" w:firstLineChars="200"/>
        <w:textAlignment w:val="auto"/>
        <w:rPr>
          <w:rFonts w:hint="eastAsia" w:ascii="Segoe UI" w:hAnsi="Segoe UI" w:eastAsia="宋体" w:cs="Segoe UI"/>
          <w:i w:val="0"/>
          <w:iCs w:val="0"/>
          <w:caps w:val="0"/>
          <w:color w:val="000000"/>
          <w:spacing w:val="0"/>
          <w:sz w:val="27"/>
          <w:szCs w:val="27"/>
          <w:lang w:val="en-US" w:eastAsia="zh-CN"/>
        </w:rPr>
      </w:pPr>
      <w:r>
        <w:rPr>
          <w:rFonts w:ascii="Segoe UI" w:hAnsi="Segoe UI" w:eastAsia="Segoe UI" w:cs="Segoe UI"/>
          <w:i w:val="0"/>
          <w:iCs w:val="0"/>
          <w:caps w:val="0"/>
          <w:color w:val="000000"/>
          <w:spacing w:val="0"/>
          <w:sz w:val="27"/>
          <w:szCs w:val="27"/>
        </w:rPr>
        <w:t>The Archaeological Ruins of Liangzhu City, located in Yuhang District, Hangzhou, Zhejiang Province, stand as a monumental testament to China’s 5,000-year-old civilization. Designated a UNESCO World Heritage Site in 2019, this Neolithic-era complex (3300–2300 BCE) spans approximately 100 square kilometers and includes the ancient city core, hydraulic systems, altars, elite tombs, and suburban settlements. Its discovery revolutionized global understanding of early urban development in East Asia, offering irrefutable evidence of a sophisticated state-level society predating the Shang Dynasty by over a millennium</w:t>
      </w:r>
      <w:r>
        <w:rPr>
          <w:rFonts w:hint="eastAsia" w:ascii="Segoe UI" w:hAnsi="Segoe UI" w:eastAsia="宋体" w:cs="Segoe UI"/>
          <w:i w:val="0"/>
          <w:iCs w:val="0"/>
          <w:caps w:val="0"/>
          <w:color w:val="000000"/>
          <w:spacing w:val="0"/>
          <w:sz w:val="27"/>
          <w:szCs w:val="27"/>
          <w:lang w:val="en-US" w:eastAsia="zh-CN"/>
        </w:rPr>
        <w:t>.</w:t>
      </w:r>
    </w:p>
    <w:p w14:paraId="0793150E">
      <w:pPr>
        <w:pStyle w:val="3"/>
        <w:bidi w:val="0"/>
      </w:pPr>
      <w:r>
        <w:rPr>
          <w:rFonts w:hint="eastAsia"/>
          <w:lang w:val="en-US" w:eastAsia="zh-CN"/>
        </w:rPr>
        <w:t>2.</w:t>
      </w:r>
      <w:r>
        <w:t>Historical Background</w:t>
      </w:r>
    </w:p>
    <w:p w14:paraId="3BF76707">
      <w:pPr>
        <w:keepNext w:val="0"/>
        <w:keepLines w:val="0"/>
        <w:pageBreakBefore w:val="0"/>
        <w:widowControl w:val="0"/>
        <w:kinsoku/>
        <w:wordWrap/>
        <w:overflowPunct/>
        <w:topLinePunct w:val="0"/>
        <w:autoSpaceDE/>
        <w:autoSpaceDN/>
        <w:bidi w:val="0"/>
        <w:adjustRightInd/>
        <w:snapToGrid/>
        <w:ind w:firstLine="540" w:firstLineChars="20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sz w:val="27"/>
          <w:szCs w:val="27"/>
        </w:rPr>
        <w:t xml:space="preserve">The Liangzhu culture emerged from the Taihu Lake basin, flourishing between 5300–4300 years ago. Initial excavations in 1936 by archaeologist Shi Xinggeng uncovered black pottery and jade artifacts in Liangzhu Town, leading to the formal naming of "Liangzhu Culture" by Xia Nai in 1959. However, the culture’s true significance came to light in 1986 with the discovery of the Fanshan royal tombs, where over 1,200 jade objects—including the iconic "Jade Cong King"—revealed a stratified society governed by ritual and power. A pivotal breakthrough occurred in 2007 when archaeologists identified the city’s triple-enclosure structure: a 30-hectare palace complex at Mojiaoshan, a 300-hectare inner city, and a 630-hectare outer city. In 2015, the discovery of a peripheral water management system—comprising 11 dams and canals with a total storage capacity of 46 million cubic meters—proved Liangzhu’s mastery of flood control and irrigation, predating similar hydraulic achievements in Mesopotamia and Egypt. Recent excavations near the city’s southern periphery uncovered additional dams and settlements, suggesting a phased development from scattered villages to a centralized urban hub. </w:t>
      </w:r>
    </w:p>
    <w:p w14:paraId="78D15B57">
      <w:pPr>
        <w:pStyle w:val="3"/>
        <w:bidi w:val="0"/>
      </w:pPr>
      <w:r>
        <w:rPr>
          <w:rFonts w:hint="eastAsia"/>
          <w:lang w:val="en-US" w:eastAsia="zh-CN"/>
        </w:rPr>
        <w:t>3.</w:t>
      </w:r>
      <w:r>
        <w:t>Architectural and Landscape Features</w:t>
      </w:r>
    </w:p>
    <w:p w14:paraId="5AA87E70">
      <w:pPr>
        <w:keepNext w:val="0"/>
        <w:keepLines w:val="0"/>
        <w:pageBreakBefore w:val="0"/>
        <w:widowControl w:val="0"/>
        <w:numPr>
          <w:ilvl w:val="0"/>
          <w:numId w:val="0"/>
        </w:numPr>
        <w:kinsoku/>
        <w:wordWrap/>
        <w:overflowPunct/>
        <w:topLinePunct w:val="0"/>
        <w:autoSpaceDE/>
        <w:autoSpaceDN/>
        <w:bidi w:val="0"/>
        <w:adjustRightInd/>
        <w:snapToGrid/>
        <w:ind w:firstLine="270" w:firstLineChars="100"/>
        <w:textAlignment w:val="auto"/>
        <w:rPr>
          <w:rFonts w:ascii="Segoe UI" w:hAnsi="Segoe UI" w:eastAsia="Segoe UI" w:cs="Segoe UI"/>
          <w:i w:val="0"/>
          <w:iCs w:val="0"/>
          <w:caps w:val="0"/>
          <w:color w:val="000000"/>
          <w:spacing w:val="0"/>
          <w:sz w:val="27"/>
          <w:szCs w:val="27"/>
        </w:rPr>
      </w:pPr>
      <w:r>
        <w:rPr>
          <w:rFonts w:hint="eastAsia" w:ascii="Segoe UI" w:hAnsi="Segoe UI" w:eastAsia="宋体" w:cs="Segoe UI"/>
          <w:i w:val="0"/>
          <w:iCs w:val="0"/>
          <w:caps w:val="0"/>
          <w:color w:val="000000"/>
          <w:spacing w:val="0"/>
          <w:sz w:val="27"/>
          <w:szCs w:val="27"/>
          <w:lang w:val="en-US" w:eastAsia="zh-CN"/>
        </w:rPr>
        <w:t>1.</w:t>
      </w:r>
      <w:r>
        <w:rPr>
          <w:rFonts w:ascii="Segoe UI" w:hAnsi="Segoe UI" w:eastAsia="Segoe UI" w:cs="Segoe UI"/>
          <w:i w:val="0"/>
          <w:iCs w:val="0"/>
          <w:caps w:val="0"/>
          <w:color w:val="000000"/>
          <w:spacing w:val="0"/>
          <w:sz w:val="27"/>
          <w:szCs w:val="27"/>
        </w:rPr>
        <w:t xml:space="preserve">Urban Planning:The ancient city exemplifies early urban ingenuity. Its triple-enclosure layout—palace, inner city, and outer city—mirrors later Chinese capital designs. The Mojiaoshan Palace, a 30-meter-high earthen platform, served as the political and ceremonial nucleus, while a 32-kilometer network of canals facilitated transportation and drainage. </w:t>
      </w:r>
    </w:p>
    <w:p w14:paraId="6F60F0B5">
      <w:pPr>
        <w:keepNext w:val="0"/>
        <w:keepLines w:val="0"/>
        <w:pageBreakBefore w:val="0"/>
        <w:widowControl w:val="0"/>
        <w:numPr>
          <w:ilvl w:val="0"/>
          <w:numId w:val="0"/>
        </w:numPr>
        <w:kinsoku/>
        <w:wordWrap/>
        <w:overflowPunct/>
        <w:topLinePunct w:val="0"/>
        <w:autoSpaceDE/>
        <w:autoSpaceDN/>
        <w:bidi w:val="0"/>
        <w:adjustRightInd/>
        <w:snapToGrid/>
        <w:ind w:firstLine="270" w:firstLineChars="10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kern w:val="2"/>
          <w:sz w:val="27"/>
          <w:szCs w:val="27"/>
          <w:lang w:val="en-US" w:eastAsia="zh-CN" w:bidi="ar-SA"/>
        </w:rPr>
        <w:t>2.</w:t>
      </w:r>
      <w:r>
        <w:rPr>
          <w:rFonts w:ascii="Segoe UI" w:hAnsi="Segoe UI" w:eastAsia="Segoe UI" w:cs="Segoe UI"/>
          <w:i w:val="0"/>
          <w:iCs w:val="0"/>
          <w:caps w:val="0"/>
          <w:color w:val="000000"/>
          <w:spacing w:val="0"/>
          <w:sz w:val="27"/>
          <w:szCs w:val="27"/>
        </w:rPr>
        <w:t>Hydraulic Engineering: Liangzhu’s water conservancy system remains its most staggering achievement. Utilizing natural valleys, engineers constructed high- and low-altitude dams to regulate floods, irrigate rice paddies, and transport goods. The system’s total reservoir capacity (equivalent to three West Lakes) underscores advanced ecological management and collective labor organization. Notably, stone reinforcements on dam slopes—a</w:t>
      </w:r>
      <w:r>
        <w:rPr>
          <w:rFonts w:hint="eastAsia" w:ascii="Segoe UI" w:hAnsi="Segoe UI" w:eastAsia="宋体" w:cs="Segoe UI"/>
          <w:i w:val="0"/>
          <w:iCs w:val="0"/>
          <w:caps w:val="0"/>
          <w:color w:val="000000"/>
          <w:spacing w:val="0"/>
          <w:sz w:val="27"/>
          <w:szCs w:val="27"/>
          <w:lang w:val="en-US" w:eastAsia="zh-CN"/>
        </w:rPr>
        <w:t xml:space="preserve"> </w:t>
      </w:r>
      <w:r>
        <w:rPr>
          <w:rFonts w:ascii="Segoe UI" w:hAnsi="Segoe UI" w:eastAsia="Segoe UI" w:cs="Segoe UI"/>
          <w:i w:val="0"/>
          <w:iCs w:val="0"/>
          <w:caps w:val="0"/>
          <w:color w:val="000000"/>
          <w:spacing w:val="0"/>
          <w:sz w:val="27"/>
          <w:szCs w:val="27"/>
        </w:rPr>
        <w:t xml:space="preserve">technique previously unknown in Neolithic contexts—highlight innovative adaptations to hydrological challenges. </w:t>
      </w:r>
    </w:p>
    <w:p w14:paraId="6A328191">
      <w:pPr>
        <w:keepNext w:val="0"/>
        <w:keepLines w:val="0"/>
        <w:pageBreakBefore w:val="0"/>
        <w:widowControl w:val="0"/>
        <w:numPr>
          <w:ilvl w:val="0"/>
          <w:numId w:val="0"/>
        </w:numPr>
        <w:kinsoku/>
        <w:wordWrap/>
        <w:overflowPunct/>
        <w:topLinePunct w:val="0"/>
        <w:autoSpaceDE/>
        <w:autoSpaceDN/>
        <w:bidi w:val="0"/>
        <w:adjustRightInd/>
        <w:snapToGrid/>
        <w:ind w:firstLine="270" w:firstLineChars="10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sz w:val="27"/>
          <w:szCs w:val="27"/>
        </w:rPr>
        <w:t>3. Jade Artifacts and Symbolism: Jade craftsmanship defines Liangzhu’s cultural identity. Over 90% of burial items in elite tombs were jade objects, such as cong (square tubes symbolizing Earth), bi (discs representing Heaven), and yue (ceremonial axes). The deity-beast motif—a hybrid figure combining human and animal features—adorns many artifacts, reflecting a unified belief system blending ancestral worship and cosmic order. Microscopic analysis reveals carvings as fine as 0.1–0.2 mm, achieved using quartz-based "jade-solving sand" and tools.</w:t>
      </w:r>
    </w:p>
    <w:p w14:paraId="6A022517">
      <w:pPr>
        <w:keepNext w:val="0"/>
        <w:keepLines w:val="0"/>
        <w:pageBreakBefore w:val="0"/>
        <w:widowControl w:val="0"/>
        <w:numPr>
          <w:ilvl w:val="0"/>
          <w:numId w:val="0"/>
        </w:numPr>
        <w:kinsoku/>
        <w:wordWrap/>
        <w:overflowPunct/>
        <w:topLinePunct w:val="0"/>
        <w:autoSpaceDE/>
        <w:autoSpaceDN/>
        <w:bidi w:val="0"/>
        <w:adjustRightInd/>
        <w:snapToGrid/>
        <w:ind w:firstLine="270" w:firstLineChars="10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sz w:val="27"/>
          <w:szCs w:val="27"/>
        </w:rPr>
        <w:t xml:space="preserve"> 4. Ceremonial Sites: The Yaoshan Altar, a pyramidal structure built with colored soils, likely served astronomical and ritual purposes. Similarly, the Fanshan and Yaoshan cemeteries exhibit strict social hierarchies: high-status tombs contained jade-rich grave goods, while commoners were buried with simple pottery.</w:t>
      </w:r>
    </w:p>
    <w:p w14:paraId="4749C2E4">
      <w:pPr>
        <w:pStyle w:val="3"/>
        <w:bidi w:val="0"/>
      </w:pPr>
      <w:r>
        <w:rPr>
          <w:rFonts w:hint="eastAsia"/>
          <w:lang w:val="en-US" w:eastAsia="zh-CN"/>
        </w:rPr>
        <w:t>4.</w:t>
      </w:r>
      <w:r>
        <w:t>Preservation and Modern Significance</w:t>
      </w:r>
    </w:p>
    <w:p w14:paraId="3E59591C">
      <w:pPr>
        <w:keepNext w:val="0"/>
        <w:keepLines w:val="0"/>
        <w:pageBreakBefore w:val="0"/>
        <w:widowControl w:val="0"/>
        <w:numPr>
          <w:ilvl w:val="0"/>
          <w:numId w:val="0"/>
        </w:numPr>
        <w:kinsoku/>
        <w:wordWrap/>
        <w:overflowPunct/>
        <w:topLinePunct w:val="0"/>
        <w:autoSpaceDE/>
        <w:autoSpaceDN/>
        <w:bidi w:val="0"/>
        <w:adjustRightInd/>
        <w:snapToGrid/>
        <w:ind w:firstLine="270" w:firstLineChars="100"/>
        <w:textAlignment w:val="auto"/>
        <w:rPr>
          <w:rStyle w:val="11"/>
        </w:rPr>
      </w:pPr>
      <w:r>
        <w:rPr>
          <w:rFonts w:ascii="Segoe UI" w:hAnsi="Segoe UI" w:eastAsia="Segoe UI" w:cs="Segoe UI"/>
          <w:i w:val="0"/>
          <w:iCs w:val="0"/>
          <w:caps w:val="0"/>
          <w:color w:val="000000"/>
          <w:spacing w:val="0"/>
          <w:sz w:val="27"/>
          <w:szCs w:val="27"/>
        </w:rPr>
        <w:t xml:space="preserve">Post-2019 UNESCO listing, preservation efforts intensified. The Liangzhu Archaeological Ruins Management Committee enforces strict zoning laws, relocating residents and restoring wetlands to protect the site’s integrity. Digital technologies like 3D modeling and AI-assisted remote sensing now monitor structural stability and map undiscovered dams. The Liangzhu Ancient City Park and Liangzhu Museum serve as gateways for public engagement. Visitors explore reconstructed rice paddies, interactive jade workshops, and the Mojiaoshan Palace ruins, while AR guides overlay ancient landscapes onto modern vistas. Seasonal events, such as rice-planting festivals, bridge past and present, emphasizing Liangzhu’s agricultural roots. --- </w:t>
      </w:r>
      <w:r>
        <w:rPr>
          <w:rStyle w:val="11"/>
          <w:rFonts w:hint="eastAsia"/>
          <w:lang w:val="en-US" w:eastAsia="zh-CN"/>
        </w:rPr>
        <w:t>5.</w:t>
      </w:r>
      <w:r>
        <w:rPr>
          <w:rStyle w:val="11"/>
        </w:rPr>
        <w:t>Cultural and Scientific Value</w:t>
      </w:r>
    </w:p>
    <w:p w14:paraId="3D294045">
      <w:pPr>
        <w:keepNext w:val="0"/>
        <w:keepLines w:val="0"/>
        <w:pageBreakBefore w:val="0"/>
        <w:widowControl w:val="0"/>
        <w:numPr>
          <w:ilvl w:val="0"/>
          <w:numId w:val="0"/>
        </w:numPr>
        <w:kinsoku/>
        <w:wordWrap/>
        <w:overflowPunct/>
        <w:topLinePunct w:val="0"/>
        <w:autoSpaceDE/>
        <w:autoSpaceDN/>
        <w:bidi w:val="0"/>
        <w:adjustRightInd/>
        <w:snapToGrid/>
        <w:ind w:left="343" w:leftChars="0" w:firstLine="0" w:firstLineChars="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kern w:val="2"/>
          <w:sz w:val="27"/>
          <w:szCs w:val="27"/>
          <w:lang w:val="en-US" w:eastAsia="zh-CN" w:bidi="ar-SA"/>
        </w:rPr>
        <w:t>1.</w:t>
      </w:r>
      <w:r>
        <w:rPr>
          <w:rFonts w:ascii="Segoe UI" w:hAnsi="Segoe UI" w:eastAsia="Segoe UI" w:cs="Segoe UI"/>
          <w:i w:val="0"/>
          <w:iCs w:val="0"/>
          <w:caps w:val="0"/>
          <w:color w:val="000000"/>
          <w:spacing w:val="0"/>
          <w:sz w:val="27"/>
          <w:szCs w:val="27"/>
        </w:rPr>
        <w:t xml:space="preserve">Civilizational Proof: Liangzhu’s urban planning, hydraulic systems, and jade-based rituals validate its status as an early state society. Its social stratification, centralized governance, and large-scale infrastructure align with UNESCO’s criteria for "early urban civilization". </w:t>
      </w:r>
    </w:p>
    <w:p w14:paraId="49E9B011">
      <w:pPr>
        <w:keepNext w:val="0"/>
        <w:keepLines w:val="0"/>
        <w:pageBreakBefore w:val="0"/>
        <w:widowControl w:val="0"/>
        <w:numPr>
          <w:ilvl w:val="0"/>
          <w:numId w:val="0"/>
        </w:numPr>
        <w:kinsoku/>
        <w:wordWrap/>
        <w:overflowPunct/>
        <w:topLinePunct w:val="0"/>
        <w:autoSpaceDE/>
        <w:autoSpaceDN/>
        <w:bidi w:val="0"/>
        <w:adjustRightInd/>
        <w:snapToGrid/>
        <w:ind w:left="343" w:leftChars="0" w:firstLine="0" w:firstLineChars="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sz w:val="27"/>
          <w:szCs w:val="27"/>
        </w:rPr>
        <w:t xml:space="preserve">2. Global Context: British archaeologist Colin Renfrew noted Liangzhu’s significance in rewriting Neolithic narratives, comparing it to contemporaneous Egyptian and Mesopotamian societies. Unlike these river-valley civilizations, Liangzhu’s achievements emerged in a wetland environment, showcasing unique adaptability. </w:t>
      </w:r>
    </w:p>
    <w:p w14:paraId="5DFE314B">
      <w:pPr>
        <w:keepNext w:val="0"/>
        <w:keepLines w:val="0"/>
        <w:pageBreakBefore w:val="0"/>
        <w:widowControl w:val="0"/>
        <w:numPr>
          <w:ilvl w:val="0"/>
          <w:numId w:val="0"/>
        </w:numPr>
        <w:kinsoku/>
        <w:wordWrap/>
        <w:overflowPunct/>
        <w:topLinePunct w:val="0"/>
        <w:autoSpaceDE/>
        <w:autoSpaceDN/>
        <w:bidi w:val="0"/>
        <w:adjustRightInd/>
        <w:snapToGrid/>
        <w:ind w:left="343" w:leftChars="0" w:firstLine="0" w:firstLineChars="0"/>
        <w:textAlignment w:val="auto"/>
        <w:rPr>
          <w:rFonts w:hint="default" w:ascii="微软雅黑" w:hAnsi="微软雅黑" w:eastAsia="微软雅黑" w:cs="微软雅黑"/>
          <w:i w:val="0"/>
          <w:iCs w:val="0"/>
          <w:caps w:val="0"/>
          <w:color w:val="000000"/>
          <w:spacing w:val="0"/>
          <w:sz w:val="18"/>
          <w:szCs w:val="18"/>
          <w:lang w:val="en-US" w:eastAsia="zh-CN"/>
        </w:rPr>
      </w:pPr>
      <w:r>
        <w:rPr>
          <w:rFonts w:ascii="Segoe UI" w:hAnsi="Segoe UI" w:eastAsia="Segoe UI" w:cs="Segoe UI"/>
          <w:i w:val="0"/>
          <w:iCs w:val="0"/>
          <w:caps w:val="0"/>
          <w:color w:val="000000"/>
          <w:spacing w:val="0"/>
          <w:sz w:val="27"/>
          <w:szCs w:val="27"/>
        </w:rPr>
        <w:t xml:space="preserve">3. Legacy in Chinese Culture: The deity-beast motif and jade rituals influenced later dynastic traditions, including Shang bronzes and Zhou ceremonial practices. The site’s 2019 World Heritage designation solidified its role in countering outdated "West-origin" theories of Chinese civilization. </w:t>
      </w:r>
    </w:p>
    <w:p w14:paraId="28AC458D">
      <w:pPr>
        <w:pStyle w:val="3"/>
        <w:bidi w:val="0"/>
      </w:pPr>
      <w:r>
        <w:rPr>
          <w:rFonts w:hint="eastAsia"/>
          <w:lang w:val="en-US" w:eastAsia="zh-CN"/>
        </w:rPr>
        <w:t>6.</w:t>
      </w:r>
      <w:r>
        <w:t>Legends and Mysteries of Liangzhu</w:t>
      </w:r>
    </w:p>
    <w:p w14:paraId="4BE2F443">
      <w:pPr>
        <w:keepNext w:val="0"/>
        <w:keepLines w:val="0"/>
        <w:pageBreakBefore w:val="0"/>
        <w:widowControl w:val="0"/>
        <w:numPr>
          <w:ilvl w:val="0"/>
          <w:numId w:val="0"/>
        </w:numPr>
        <w:kinsoku/>
        <w:wordWrap/>
        <w:overflowPunct/>
        <w:topLinePunct w:val="0"/>
        <w:autoSpaceDE/>
        <w:autoSpaceDN/>
        <w:bidi w:val="0"/>
        <w:adjustRightInd/>
        <w:snapToGrid/>
        <w:ind w:firstLine="540" w:firstLineChars="20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sz w:val="27"/>
          <w:szCs w:val="27"/>
        </w:rPr>
        <w:t xml:space="preserve"> The story of Liangzhu is interwoven with enigmatic myths that blur the line between history and folklore. Central to its legacy is the deity-beast motif, a recurring symbol etched into jade artifacts. This mysterious figure—a human-like being crowned with feathers, seated atop a wide-eyed mythical creature—has sparked interpretations ranging from ancestral worship to cosmic guardianship. Ancient whispers suggest it represents a divine ruler who bridged heaven and earth, wielding jade’s spiritual power to command natural forces. Legends claim that these artifacts, particularly the iconic jade cong and bi, held the ability to suppress floods and ensure bountiful harvests, acting as talismans of harmony between humanity and nature. </w:t>
      </w:r>
    </w:p>
    <w:p w14:paraId="46139992">
      <w:pPr>
        <w:keepNext w:val="0"/>
        <w:keepLines w:val="0"/>
        <w:pageBreakBefore w:val="0"/>
        <w:widowControl w:val="0"/>
        <w:numPr>
          <w:ilvl w:val="0"/>
          <w:numId w:val="0"/>
        </w:numPr>
        <w:kinsoku/>
        <w:wordWrap/>
        <w:overflowPunct/>
        <w:topLinePunct w:val="0"/>
        <w:autoSpaceDE/>
        <w:autoSpaceDN/>
        <w:bidi w:val="0"/>
        <w:adjustRightInd/>
        <w:snapToGrid/>
        <w:ind w:firstLine="540" w:firstLineChars="20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sz w:val="27"/>
          <w:szCs w:val="27"/>
        </w:rPr>
        <w:t xml:space="preserve">A haunting tale persists about the civilization’s abrupt collapse. Oral traditions speak of a great deluge that drowned the city after its sacred jades were disturbed. It is said that the Liangzhu people, in their reverence for the gods, buried jade objects deep within the earth to stabilize the land. When later generations unearthed these treasures, the protective spell was broken, unleashing catastrophic floods. This narrative mirrors archaeological findings of silt layers burying the city, hinting at a real environmental disaster. The jade’s symbolic role in this legend reflects its cultural sanctity—a material believed to channel divine will and earthly order. </w:t>
      </w:r>
    </w:p>
    <w:p w14:paraId="735600A7">
      <w:pPr>
        <w:keepNext w:val="0"/>
        <w:keepLines w:val="0"/>
        <w:pageBreakBefore w:val="0"/>
        <w:widowControl w:val="0"/>
        <w:numPr>
          <w:ilvl w:val="0"/>
          <w:numId w:val="0"/>
        </w:numPr>
        <w:kinsoku/>
        <w:wordWrap/>
        <w:overflowPunct/>
        <w:topLinePunct w:val="0"/>
        <w:autoSpaceDE/>
        <w:autoSpaceDN/>
        <w:bidi w:val="0"/>
        <w:adjustRightInd/>
        <w:snapToGrid/>
        <w:ind w:firstLine="540" w:firstLineChars="200"/>
        <w:textAlignment w:val="auto"/>
        <w:rPr>
          <w:rFonts w:ascii="Segoe UI" w:hAnsi="Segoe UI" w:eastAsia="Segoe UI" w:cs="Segoe UI"/>
          <w:i w:val="0"/>
          <w:iCs w:val="0"/>
          <w:caps w:val="0"/>
          <w:color w:val="000000"/>
          <w:spacing w:val="0"/>
          <w:sz w:val="27"/>
          <w:szCs w:val="27"/>
        </w:rPr>
      </w:pPr>
      <w:r>
        <w:rPr>
          <w:rFonts w:ascii="Segoe UI" w:hAnsi="Segoe UI" w:eastAsia="Segoe UI" w:cs="Segoe UI"/>
          <w:i w:val="0"/>
          <w:iCs w:val="0"/>
          <w:caps w:val="0"/>
          <w:color w:val="000000"/>
          <w:spacing w:val="0"/>
          <w:sz w:val="27"/>
          <w:szCs w:val="27"/>
        </w:rPr>
        <w:t xml:space="preserve">Equally captivating is the cosmic symbolism of the jade cong. Its square outer form and circular inner bore were thought to embody the ancient Chinese worldview of “round sky and square earth.” Stories describe rituals where rulers used cong to commune with celestial powers, aligning agricultural cycles with heavenly rhythms. The finest cong, adorned with intricate carvings invisible to the naked eye, were said to glow under moonlight, guiding souls to the afterlife. Such tales elevated jade beyond mere ornamentation, framing it as a medium linking mortal existence to the eternal. Modern fascination with Liangzhu’s myths grew alongside its archaeological rediscovery. Early 20th-century locals spoke of “jade ghosts” guarding buried treasures, deterring tomb raiders. Others believed the ruins were a gateway to a lost utopia, where wisdom from a golden age lay hidden. Today, these legends endure, not as mere superstitions, but as echoes of a civilization that sought to transcend its mortal limits through art, ritual, and an unyielding dialogue with the unseen. </w:t>
      </w:r>
    </w:p>
    <w:p w14:paraId="5279F057">
      <w:pPr>
        <w:pStyle w:val="3"/>
        <w:bidi w:val="0"/>
      </w:pPr>
      <w:r>
        <w:rPr>
          <w:rFonts w:hint="eastAsia"/>
          <w:lang w:val="en-US" w:eastAsia="zh-CN"/>
        </w:rPr>
        <w:t>7.</w:t>
      </w:r>
      <w:r>
        <w:t>Official Resources</w:t>
      </w:r>
    </w:p>
    <w:p w14:paraId="41CED44B">
      <w:pPr>
        <w:keepNext w:val="0"/>
        <w:keepLines w:val="0"/>
        <w:pageBreakBefore w:val="0"/>
        <w:widowControl w:val="0"/>
        <w:numPr>
          <w:ilvl w:val="0"/>
          <w:numId w:val="0"/>
        </w:numPr>
        <w:kinsoku/>
        <w:wordWrap/>
        <w:overflowPunct/>
        <w:topLinePunct w:val="0"/>
        <w:autoSpaceDE/>
        <w:autoSpaceDN/>
        <w:bidi w:val="0"/>
        <w:adjustRightInd/>
        <w:snapToGrid/>
        <w:ind w:firstLine="540" w:firstLineChars="200"/>
        <w:textAlignment w:val="auto"/>
        <w:rPr>
          <w:rFonts w:hint="default" w:ascii="Segoe UI" w:hAnsi="Segoe UI" w:eastAsia="Segoe UI" w:cs="Segoe UI"/>
          <w:i w:val="0"/>
          <w:iCs w:val="0"/>
          <w:caps w:val="0"/>
          <w:color w:val="000000"/>
          <w:spacing w:val="0"/>
          <w:sz w:val="27"/>
          <w:szCs w:val="27"/>
          <w:lang w:val="en-US" w:eastAsia="zh-CN"/>
        </w:rPr>
      </w:pPr>
      <w:r>
        <w:rPr>
          <w:rFonts w:ascii="Segoe UI" w:hAnsi="Segoe UI" w:eastAsia="Segoe UI" w:cs="Segoe UI"/>
          <w:i w:val="0"/>
          <w:iCs w:val="0"/>
          <w:caps w:val="0"/>
          <w:color w:val="000000"/>
          <w:spacing w:val="0"/>
          <w:sz w:val="27"/>
          <w:szCs w:val="27"/>
        </w:rPr>
        <w:t>Website: [Hangzhou Liangzhu Site Management Committee](https://wgly.hangzhou.gov.cn/) for tickets, events, and research updates.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5ZWU1MWIwYTYwNjhhYTI3OGZmN2E3Y2RlNjUzYmMifQ=="/>
  </w:docVars>
  <w:rsids>
    <w:rsidRoot w:val="00000000"/>
    <w:rsid w:val="252A2647"/>
    <w:rsid w:val="3713203E"/>
    <w:rsid w:val="59F6616B"/>
    <w:rsid w:val="69D10517"/>
    <w:rsid w:val="6F052B74"/>
    <w:rsid w:val="730B7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customStyle="1" w:styleId="11">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717</Words>
  <Characters>4848</Characters>
  <Lines>0</Lines>
  <Paragraphs>0</Paragraphs>
  <TotalTime>12</TotalTime>
  <ScaleCrop>false</ScaleCrop>
  <LinksUpToDate>false</LinksUpToDate>
  <CharactersWithSpaces>5556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2025-03-10T04:13:00Z</dcterms:created>
  <dc:creator>lenovo</dc:creator>
  <cp:lastModifiedBy>王瑞</cp:lastModifiedBy>
  <dcterms:modified xsi:type="dcterms:W3CDTF">2025-03-12T02:21:17Z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A8739848CD444CEAA11A364344F48ACA_12</vt:lpwstr>
  </property>
</Properties>
</file>