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6FC68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宋体" w:hAnsi="宋体" w:eastAsia="宋体" w:cs="宋体"/>
          <w:b/>
          <w:bCs/>
          <w:i w:val="0"/>
          <w:shadow w:val="0"/>
          <w:emboss w:val="0"/>
          <w:sz w:val="24"/>
          <w:szCs w:val="32"/>
          <w:u w:val="none"/>
          <w:lang w:eastAsia="zh-CN"/>
        </w:rPr>
      </w:pPr>
      <w:r>
        <w:rPr>
          <w:rFonts w:hint="eastAsia" w:ascii="宋体" w:hAnsi="宋体" w:eastAsia="宋体" w:cs="宋体"/>
          <w:b/>
          <w:bCs/>
          <w:i w:val="0"/>
          <w:shadow w:val="0"/>
          <w:emboss w:val="0"/>
          <w:sz w:val="24"/>
          <w:szCs w:val="32"/>
          <w:u w:val="none"/>
          <w:lang w:eastAsia="zh-CN"/>
        </w:rPr>
        <w:t>第七讲  压力（应激）与心理卫生</w:t>
      </w:r>
    </w:p>
    <w:p w14:paraId="026E121C">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宋体" w:hAnsi="宋体" w:eastAsia="宋体" w:cs="宋体"/>
          <w:b/>
          <w:bCs/>
          <w:i w:val="0"/>
          <w:shadow w:val="0"/>
          <w:emboss w:val="0"/>
          <w:sz w:val="22"/>
          <w:szCs w:val="28"/>
          <w:u w:val="none"/>
          <w:lang w:eastAsia="zh-CN"/>
        </w:rPr>
      </w:pPr>
      <w:r>
        <w:rPr>
          <w:rFonts w:hint="eastAsia" w:ascii="宋体" w:hAnsi="宋体" w:eastAsia="宋体" w:cs="宋体"/>
          <w:b/>
          <w:bCs/>
          <w:i w:val="0"/>
          <w:shadow w:val="0"/>
          <w:emboss w:val="0"/>
          <w:sz w:val="22"/>
          <w:szCs w:val="28"/>
          <w:u w:val="none"/>
          <w:lang w:eastAsia="zh-CN"/>
        </w:rPr>
        <w:t>第一节  总  论</w:t>
      </w:r>
    </w:p>
    <w:p w14:paraId="18AA5677">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宋体" w:hAnsi="宋体" w:eastAsia="宋体" w:cs="宋体"/>
          <w:b/>
          <w:bCs/>
          <w:i w:val="0"/>
          <w:shadow w:val="0"/>
          <w:emboss w:val="0"/>
          <w:sz w:val="21"/>
          <w:szCs w:val="24"/>
          <w:u w:val="none"/>
          <w:lang w:eastAsia="zh-CN"/>
        </w:rPr>
      </w:pPr>
      <w:r>
        <w:rPr>
          <w:rFonts w:hint="eastAsia" w:ascii="宋体" w:hAnsi="宋体" w:eastAsia="宋体" w:cs="宋体"/>
          <w:b/>
          <w:bCs/>
          <w:i w:val="0"/>
          <w:shadow w:val="0"/>
          <w:emboss w:val="0"/>
          <w:sz w:val="21"/>
          <w:szCs w:val="24"/>
          <w:u w:val="none"/>
          <w:lang w:eastAsia="zh-CN"/>
        </w:rPr>
        <w:t>一、心理卫生学对应激（压力）的定义</w:t>
      </w:r>
    </w:p>
    <w:p w14:paraId="306FD48E">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1.</w:t>
      </w:r>
      <w:r>
        <w:rPr>
          <w:rFonts w:hint="eastAsia" w:ascii="宋体" w:hAnsi="宋体" w:eastAsia="宋体" w:cs="宋体"/>
          <w:b/>
          <w:bCs/>
          <w:i w:val="0"/>
          <w:shadow w:val="0"/>
          <w:emboss w:val="0"/>
          <w:sz w:val="21"/>
          <w:u w:val="none"/>
          <w:lang w:eastAsia="zh-CN"/>
        </w:rPr>
        <w:t>应激是多因素相互作用的过程</w:t>
      </w:r>
      <w:r>
        <w:rPr>
          <w:rFonts w:hint="eastAsia" w:ascii="宋体" w:hAnsi="宋体" w:eastAsia="宋体" w:cs="宋体"/>
          <w:b w:val="0"/>
          <w:bCs w:val="0"/>
          <w:i w:val="0"/>
          <w:shadow w:val="0"/>
          <w:emboss w:val="0"/>
          <w:sz w:val="21"/>
          <w:u w:val="none"/>
          <w:lang w:eastAsia="zh-CN"/>
        </w:rPr>
        <w:t xml:space="preserve">：其中包括应激源（生活事件）、认知评价、应对方式、社会支持、个性（人格）特点、心身反应及其他有关心理社会和生物学因素。 </w:t>
      </w:r>
    </w:p>
    <w:p w14:paraId="002F4193">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rPr>
        <w:object>
          <v:shape id="_x0000_i1025" o:spt="75" type="#_x0000_t75" style="height:173.1pt;width:409.9pt;" o:ole="t" filled="f" o:preferrelative="t" stroked="f" coordsize="21600,21600">
            <v:path/>
            <v:fill on="f" focussize="0,0"/>
            <v:stroke on="f" weight="3pt"/>
            <v:imagedata r:id="rId5" o:title=""/>
            <o:lock v:ext="edit" aspectratio="t"/>
            <w10:wrap type="none"/>
            <w10:anchorlock/>
          </v:shape>
          <o:OLEObject Type="Embed" ProgID="Paint.Picture" ShapeID="_x0000_i1025" DrawAspect="Content" ObjectID="_1468075725" r:id="rId4">
            <o:LockedField>false</o:LockedField>
          </o:OLEObject>
        </w:object>
      </w:r>
    </w:p>
    <w:p w14:paraId="6C557440">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2.</w:t>
      </w:r>
      <w:r>
        <w:rPr>
          <w:rFonts w:hint="eastAsia" w:ascii="宋体" w:hAnsi="宋体" w:eastAsia="宋体" w:cs="宋体"/>
          <w:b/>
          <w:bCs/>
          <w:i w:val="0"/>
          <w:shadow w:val="0"/>
          <w:emboss w:val="0"/>
          <w:sz w:val="21"/>
          <w:u w:val="none"/>
          <w:lang w:eastAsia="zh-CN"/>
        </w:rPr>
        <w:t>定义</w:t>
      </w:r>
      <w:r>
        <w:rPr>
          <w:rFonts w:hint="eastAsia" w:ascii="宋体" w:hAnsi="宋体" w:eastAsia="宋体" w:cs="宋体"/>
          <w:b w:val="0"/>
          <w:bCs w:val="0"/>
          <w:i w:val="0"/>
          <w:shadow w:val="0"/>
          <w:emboss w:val="0"/>
          <w:sz w:val="21"/>
          <w:u w:val="none"/>
          <w:lang w:eastAsia="zh-CN"/>
        </w:rPr>
        <w:t>：    应激（压力）是个体在实际上或认识上的需求与满足这些需求的能力不平衡时的倾向于通过心理和生理反应表现出来的作用过程。</w:t>
      </w:r>
    </w:p>
    <w:p w14:paraId="20E479AD">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3. 把握应</w:t>
      </w:r>
      <w:r>
        <w:rPr>
          <w:rFonts w:hint="eastAsia" w:ascii="宋体" w:hAnsi="宋体" w:eastAsia="宋体" w:cs="宋体"/>
          <w:b/>
          <w:bCs/>
          <w:i w:val="0"/>
          <w:shadow w:val="0"/>
          <w:emboss w:val="0"/>
          <w:sz w:val="21"/>
          <w:u w:val="none"/>
          <w:lang w:eastAsia="zh-CN"/>
        </w:rPr>
        <w:t>激定义的4个要点</w:t>
      </w:r>
      <w:r>
        <w:rPr>
          <w:rFonts w:hint="eastAsia" w:ascii="宋体" w:hAnsi="宋体" w:eastAsia="宋体" w:cs="宋体"/>
          <w:b w:val="0"/>
          <w:bCs w:val="0"/>
          <w:i w:val="0"/>
          <w:shadow w:val="0"/>
          <w:emboss w:val="0"/>
          <w:sz w:val="21"/>
          <w:u w:val="none"/>
          <w:lang w:eastAsia="zh-CN"/>
        </w:rPr>
        <w:t>：</w:t>
      </w:r>
    </w:p>
    <w:p w14:paraId="5EC48917">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（1）应激源：包括生物的、心理的、社会的和文化的</w:t>
      </w:r>
    </w:p>
    <w:p w14:paraId="7FBA9879">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（2）中介因素：包括认知评价、应对方式、社会支持</w:t>
      </w:r>
      <w:r>
        <w:rPr>
          <w:rFonts w:hint="eastAsia" w:ascii="宋体" w:hAnsi="宋体" w:cs="宋体"/>
          <w:b w:val="0"/>
          <w:bCs w:val="0"/>
          <w:i w:val="0"/>
          <w:shadow w:val="0"/>
          <w:emboss w:val="0"/>
          <w:sz w:val="21"/>
          <w:u w:val="none"/>
          <w:lang w:val="en-US" w:eastAsia="zh-CN"/>
        </w:rPr>
        <w:t>,</w:t>
      </w:r>
      <w:r>
        <w:rPr>
          <w:rFonts w:hint="eastAsia" w:ascii="宋体" w:hAnsi="宋体" w:eastAsia="宋体" w:cs="宋体"/>
          <w:b w:val="0"/>
          <w:bCs w:val="0"/>
          <w:i w:val="0"/>
          <w:shadow w:val="0"/>
          <w:emboss w:val="0"/>
          <w:sz w:val="21"/>
          <w:u w:val="none"/>
          <w:lang w:eastAsia="zh-CN"/>
        </w:rPr>
        <w:t>人格等，认知评价在其中起关键作用。</w:t>
      </w:r>
    </w:p>
    <w:p w14:paraId="73530D47">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（3）应激反应包括生理、心理、行为反应</w:t>
      </w:r>
    </w:p>
    <w:p w14:paraId="41CAAFB5">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（4）应激的本质就是个体对内外环境的需求的适应。结果有二：适应或不适应。 </w:t>
      </w:r>
    </w:p>
    <w:p w14:paraId="681215C9">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宋体" w:hAnsi="宋体" w:eastAsia="宋体" w:cs="宋体"/>
          <w:b/>
          <w:bCs/>
          <w:i w:val="0"/>
          <w:shadow w:val="0"/>
          <w:emboss w:val="0"/>
          <w:sz w:val="22"/>
          <w:szCs w:val="28"/>
          <w:u w:val="none"/>
          <w:lang w:eastAsia="zh-CN"/>
        </w:rPr>
      </w:pPr>
      <w:r>
        <w:rPr>
          <w:rFonts w:hint="eastAsia" w:ascii="宋体" w:hAnsi="宋体" w:eastAsia="宋体" w:cs="宋体"/>
          <w:b/>
          <w:bCs/>
          <w:i w:val="0"/>
          <w:shadow w:val="0"/>
          <w:emboss w:val="0"/>
          <w:sz w:val="22"/>
          <w:szCs w:val="28"/>
          <w:u w:val="none"/>
          <w:lang w:eastAsia="zh-CN"/>
        </w:rPr>
        <w:t>二、正性应激与负性应激</w:t>
      </w:r>
    </w:p>
    <w:p w14:paraId="68937594">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正性应激(eustress)：又称“好”应激，是指愉快的、积极的、有价值的、促进个体成长、增进个体幸福感的应激。比如，玩电子游戏、考上大学、乔迁新居、结婚、初为人母、考试满分、竞选成功、设计获奖等带来的应激就是积极应激。</w:t>
      </w:r>
    </w:p>
    <w:p w14:paraId="5C43062D">
      <w:pPr>
        <w:keepNext w:val="0"/>
        <w:keepLines w:val="0"/>
        <w:pageBreakBefore w:val="0"/>
        <w:widowControl w:val="0"/>
        <w:numPr>
          <w:ilvl w:val="0"/>
          <w:numId w:val="2"/>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负性应激（distress）：又称“坏”应激，是指不愉快的、消极的、有害的、阻碍个体成长、影响个体健康的应激。比如，与朋友吵架、考试失败、经济困难、生病、亲友亡故等带来的应激就是消极应激。</w:t>
      </w:r>
    </w:p>
    <w:p w14:paraId="78359C71">
      <w:pPr>
        <w:keepNext w:val="0"/>
        <w:keepLines w:val="0"/>
        <w:pageBreakBefore w:val="0"/>
        <w:widowControl w:val="0"/>
        <w:numPr>
          <w:ilvl w:val="0"/>
          <w:numId w:val="3"/>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同样的刺激对有些人而言会产生积极应激，对另一些人而言却会产生消极应激，这与个体对刺激的认知评价不同有关。</w:t>
      </w:r>
    </w:p>
    <w:p w14:paraId="55F9D673">
      <w:pPr>
        <w:keepNext w:val="0"/>
        <w:keepLines w:val="0"/>
        <w:pageBreakBefore w:val="0"/>
        <w:widowControl w:val="0"/>
        <w:numPr>
          <w:ilvl w:val="0"/>
          <w:numId w:val="4"/>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积极应激若是强度太强或持续时间过久，也会对工作或学习效率产生消极作用，对健康产生不利影响。  </w:t>
      </w:r>
    </w:p>
    <w:p w14:paraId="4701AEB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2"/>
          <w:szCs w:val="28"/>
          <w:u w:val="none"/>
          <w:lang w:eastAsia="zh-CN"/>
        </w:rPr>
        <w:t>三、应激（压力）与健康</w:t>
      </w:r>
    </w:p>
    <w:p w14:paraId="39271CD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1．</w:t>
      </w:r>
      <w:r>
        <w:rPr>
          <w:rFonts w:hint="eastAsia" w:ascii="宋体" w:hAnsi="宋体" w:eastAsia="宋体" w:cs="宋体"/>
          <w:b/>
          <w:bCs/>
          <w:i w:val="0"/>
          <w:shadow w:val="0"/>
          <w:emboss w:val="0"/>
          <w:sz w:val="21"/>
          <w:u w:val="none"/>
          <w:lang w:eastAsia="zh-CN"/>
        </w:rPr>
        <w:t>应激的心理卫生学意义</w:t>
      </w:r>
      <w:r>
        <w:rPr>
          <w:rFonts w:hint="eastAsia" w:ascii="宋体" w:hAnsi="宋体" w:eastAsia="宋体" w:cs="宋体"/>
          <w:b w:val="0"/>
          <w:bCs w:val="0"/>
          <w:i w:val="0"/>
          <w:shadow w:val="0"/>
          <w:emboss w:val="0"/>
          <w:sz w:val="21"/>
          <w:u w:val="none"/>
          <w:lang w:eastAsia="zh-CN"/>
        </w:rPr>
        <w:t>：</w:t>
      </w:r>
    </w:p>
    <w:p w14:paraId="0D738CB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如果将心理健康的变异情况（如情绪问题、心理疾病）作为应激作用过程的结果或应激反应来看待，则与心理健康和疾病有关的各种心理社会因素，例如生活事件、认知因素、应对方式、社会支持、人格特点就都可以纳入应激作用过程的有关因素之中，从而为心理疾病的病因学以及治疗、干预和预防提供了一个理论框架。</w:t>
      </w:r>
    </w:p>
    <w:p w14:paraId="1D76967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2. </w:t>
      </w:r>
      <w:r>
        <w:rPr>
          <w:rFonts w:hint="eastAsia" w:ascii="宋体" w:hAnsi="宋体" w:eastAsia="宋体" w:cs="宋体"/>
          <w:b/>
          <w:bCs/>
          <w:i w:val="0"/>
          <w:shadow w:val="0"/>
          <w:emboss w:val="0"/>
          <w:sz w:val="21"/>
          <w:u w:val="none"/>
          <w:lang w:eastAsia="zh-CN"/>
        </w:rPr>
        <w:t>应激对健康的双重影响</w:t>
      </w:r>
    </w:p>
    <w:p w14:paraId="6382E76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应激有两种截然不同的结果：适应或不适应，因此应激是把双刃剑，它对身体健康和心理健康具有双重影响：积极或消极。</w:t>
      </w:r>
    </w:p>
    <w:p w14:paraId="4AADA8A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适当的应激可提高机体的心身适应能力。          过强的应激，不论是积极应激还是消极应激，都会使适应机制失效，从而导致某些功能障碍甚至导致身体疾病和心理疾病。</w:t>
      </w:r>
    </w:p>
    <w:p w14:paraId="10570A3D">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3</w:t>
      </w:r>
      <w:r>
        <w:rPr>
          <w:rFonts w:hint="eastAsia" w:ascii="宋体" w:hAnsi="宋体" w:eastAsia="宋体" w:cs="宋体"/>
          <w:b/>
          <w:bCs/>
          <w:i w:val="0"/>
          <w:shadow w:val="0"/>
          <w:emboss w:val="0"/>
          <w:sz w:val="21"/>
          <w:u w:val="none"/>
          <w:lang w:eastAsia="zh-CN"/>
        </w:rPr>
        <w:t>. 应激对健康的消极影响</w:t>
      </w:r>
    </w:p>
    <w:p w14:paraId="083BFF16">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（1）应激可能与疾病(躯体/心理)的发生直接相关。</w:t>
      </w:r>
    </w:p>
    <w:p w14:paraId="7719072B">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首先，应激时植物神经系统、内分泌系统和免疫系统的改变和焦虑、抑郁等情绪反应都可能造成个体对疾病的易感状态。（ Cohen等的实验:高应激组中有47%的被试发生感冒，而低应激组中只有27%的被试发生感冒。）</w:t>
      </w:r>
    </w:p>
    <w:p w14:paraId="5FE3A774">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其次，如果个体同时具有身体某个器官的脆弱易感性，则应激就更可能直接导致疾病的发生。比如：胃酸和胃蛋白水平高的个体若经历强烈的或持久的应激，则容易得胃溃疡；有精神疾病的易感倾向的个体，若经历强烈的或持久的应激，则容易产生精神疾病。  </w:t>
      </w:r>
    </w:p>
    <w:p w14:paraId="6172F77E">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（2）应激可能与疾病的发生间接相关。</w:t>
      </w:r>
    </w:p>
    <w:p w14:paraId="455CC2B8">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现代人类不良生活方式如吸烟、酗酒、药物滥用、过度饮食、运动不足、肥胖及社会适应不良等都或多或少与应激有关，而现代社会人类的躯体和心理疾病和死亡与上述不良生活方式密切相关。（比如:成瘾行为）</w:t>
      </w:r>
    </w:p>
    <w:p w14:paraId="152690C1">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（3）应激可能加重已有的疾病。</w:t>
      </w:r>
    </w:p>
    <w:p w14:paraId="55C153FA">
      <w:pPr>
        <w:keepNext w:val="0"/>
        <w:keepLines w:val="0"/>
        <w:pageBreakBefore w:val="0"/>
        <w:widowControl w:val="0"/>
        <w:numPr>
          <w:numId w:val="0"/>
        </w:numPr>
        <w:kinsoku/>
        <w:wordWrap/>
        <w:overflowPunct/>
        <w:topLinePunct w:val="0"/>
        <w:autoSpaceDE/>
        <w:autoSpaceDN/>
        <w:bidi w:val="0"/>
        <w:adjustRightInd/>
        <w:snapToGrid/>
        <w:spacing w:line="288" w:lineRule="auto"/>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比如，高血压病人可能由于人际关系紧张而使血压进一步升高，加重病情；冠心病病人可能由于自己喜爱的球队赢了而激动得心肌梗塞发作；抑郁症病人可能由于失恋而加重病情。</w:t>
      </w:r>
    </w:p>
    <w:p w14:paraId="629469B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i w:val="0"/>
          <w:shadow w:val="0"/>
          <w:emboss w:val="0"/>
          <w:sz w:val="22"/>
          <w:szCs w:val="28"/>
          <w:u w:val="none"/>
          <w:lang w:eastAsia="zh-CN"/>
        </w:rPr>
      </w:pPr>
      <w:r>
        <w:rPr>
          <w:rFonts w:hint="eastAsia" w:ascii="宋体" w:hAnsi="宋体" w:eastAsia="宋体" w:cs="宋体"/>
          <w:b/>
          <w:bCs/>
          <w:i w:val="0"/>
          <w:shadow w:val="0"/>
          <w:emboss w:val="0"/>
          <w:sz w:val="22"/>
          <w:szCs w:val="28"/>
          <w:u w:val="none"/>
          <w:lang w:eastAsia="zh-CN"/>
        </w:rPr>
        <w:t>第二节 应激源（压力源）</w:t>
      </w:r>
    </w:p>
    <w:p w14:paraId="5EB5BC1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1．</w:t>
      </w:r>
      <w:r>
        <w:rPr>
          <w:rFonts w:hint="eastAsia" w:ascii="宋体" w:hAnsi="宋体" w:eastAsia="宋体" w:cs="宋体"/>
          <w:b/>
          <w:bCs/>
          <w:i w:val="0"/>
          <w:shadow w:val="0"/>
          <w:emboss w:val="0"/>
          <w:sz w:val="21"/>
          <w:u w:val="none"/>
          <w:lang w:eastAsia="zh-CN"/>
        </w:rPr>
        <w:t>定义</w:t>
      </w:r>
      <w:r>
        <w:rPr>
          <w:rFonts w:hint="eastAsia" w:ascii="宋体" w:hAnsi="宋体" w:eastAsia="宋体" w:cs="宋体"/>
          <w:b w:val="0"/>
          <w:bCs w:val="0"/>
          <w:i w:val="0"/>
          <w:shadow w:val="0"/>
          <w:emboss w:val="0"/>
          <w:sz w:val="21"/>
          <w:u w:val="none"/>
          <w:lang w:eastAsia="zh-CN"/>
        </w:rPr>
        <w:t>：应激源是指向机体提出适应要求、可造成心理应激并可能进而损害个体健康的生物性、心理性、社会性和文化性的刺激。</w:t>
      </w:r>
    </w:p>
    <w:p w14:paraId="4E018FC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2．</w:t>
      </w:r>
      <w:r>
        <w:rPr>
          <w:rFonts w:hint="eastAsia" w:ascii="宋体" w:hAnsi="宋体" w:eastAsia="宋体" w:cs="宋体"/>
          <w:b/>
          <w:bCs/>
          <w:i w:val="0"/>
          <w:shadow w:val="0"/>
          <w:emboss w:val="0"/>
          <w:sz w:val="21"/>
          <w:u w:val="none"/>
          <w:lang w:eastAsia="zh-CN"/>
        </w:rPr>
        <w:t>应激源的分类</w:t>
      </w:r>
    </w:p>
    <w:p w14:paraId="4FA529C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现象学分类——工作、家庭和婚姻、人际关系、个人   </w:t>
      </w:r>
    </w:p>
    <w:p w14:paraId="42EA574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健康问题、经济、自我实现和自尊问题（大学生的主要压力源）</w:t>
      </w:r>
    </w:p>
    <w:p w14:paraId="5B8386D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按事件的性质分类——正性事件；负性事件</w:t>
      </w:r>
    </w:p>
    <w:p w14:paraId="791AD5D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按事件的主客观属性分类——客观事件；主观事件</w:t>
      </w:r>
    </w:p>
    <w:p w14:paraId="4251C09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按事件的强度分类——生活事件；日常困扰（巨石与细砾模式 ）</w:t>
      </w:r>
    </w:p>
    <w:p w14:paraId="05E571B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 xml:space="preserve">3．应激源的定量研究  </w:t>
      </w:r>
    </w:p>
    <w:p w14:paraId="45581F8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（1）生活事件的定量研究：1967年，霍尔姆斯（Holmes）和雷赫（Rahe）编制了《社会再适应评定量表》（SRRS），设置了生活变化单位（life  change  units，LCU），用以检测生活事件对个体的心理刺激强度。</w:t>
      </w:r>
    </w:p>
    <w:p w14:paraId="44A3CC8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（2）日常困扰的定量研究：拉扎勒斯（R Lazarus）及其同事Kanner等人在1981年编制了一个测量日常困扰的量表，命名为《困扰量表》（the Hassles Scale） 。</w:t>
      </w:r>
    </w:p>
    <w:p w14:paraId="23DD4675">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日常困扰的评估     指导语：困扰是从轻微的气恼到相对较大的压力、问题或困难这个范围内所有的小刺激。它们可能经常发生，也可能很少发生。下面是一些可能引起个体感到困扰的各个方面。首先，选出上个月发生的困扰事件。然后，请你选择项目右边的数字画圈，通过选择这些数字来表示在上个月中这些事件对你的影响，如果上个月中没有发生某事，就不要选它。</w:t>
      </w:r>
    </w:p>
    <w:p w14:paraId="1CD03B8B">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严重性：1．有点严重。2．中度严重。3．极度严重。</w:t>
      </w:r>
    </w:p>
    <w:p w14:paraId="460B9AB6">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困扰：</w:t>
      </w:r>
    </w:p>
    <w:p w14:paraId="275DE691">
      <w:pPr>
        <w:keepNext w:val="0"/>
        <w:keepLines w:val="0"/>
        <w:pageBreakBefore w:val="0"/>
        <w:widowControl w:val="0"/>
        <w:numPr>
          <w:ilvl w:val="0"/>
          <w:numId w:val="5"/>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1．放错或丢失了东西      1  2  3</w:t>
      </w:r>
    </w:p>
    <w:p w14:paraId="67F92F31">
      <w:pPr>
        <w:keepNext w:val="0"/>
        <w:keepLines w:val="0"/>
        <w:pageBreakBefore w:val="0"/>
        <w:widowControl w:val="0"/>
        <w:numPr>
          <w:ilvl w:val="0"/>
          <w:numId w:val="6"/>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2．讨厌的邻居            1  2  3 </w:t>
      </w:r>
    </w:p>
    <w:p w14:paraId="09D18616">
      <w:pPr>
        <w:keepNext w:val="0"/>
        <w:keepLines w:val="0"/>
        <w:pageBreakBefore w:val="0"/>
        <w:widowControl w:val="0"/>
        <w:numPr>
          <w:ilvl w:val="0"/>
          <w:numId w:val="7"/>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3．喝了酒                1  2  3</w:t>
      </w:r>
    </w:p>
    <w:p w14:paraId="3FF7160F">
      <w:pPr>
        <w:keepNext w:val="0"/>
        <w:keepLines w:val="0"/>
        <w:pageBreakBefore w:val="0"/>
        <w:widowControl w:val="0"/>
        <w:numPr>
          <w:ilvl w:val="0"/>
          <w:numId w:val="8"/>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4．不替别人着想的吸烟者  1  2  3</w:t>
      </w:r>
    </w:p>
    <w:p w14:paraId="18B482C3">
      <w:pPr>
        <w:keepNext w:val="0"/>
        <w:keepLines w:val="0"/>
        <w:pageBreakBefore w:val="0"/>
        <w:widowControl w:val="0"/>
        <w:numPr>
          <w:ilvl w:val="0"/>
          <w:numId w:val="9"/>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5．考虑死亡的问题        1  2  3</w:t>
      </w:r>
    </w:p>
    <w:p w14:paraId="6D91BB75">
      <w:pPr>
        <w:keepNext w:val="0"/>
        <w:keepLines w:val="0"/>
        <w:pageBreakBefore w:val="0"/>
        <w:widowControl w:val="0"/>
        <w:numPr>
          <w:ilvl w:val="0"/>
          <w:numId w:val="10"/>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6．家庭成员的健康问题    1  2  3</w:t>
      </w:r>
    </w:p>
    <w:p w14:paraId="69BDFA82">
      <w:pPr>
        <w:keepNext w:val="0"/>
        <w:keepLines w:val="0"/>
        <w:pageBreakBefore w:val="0"/>
        <w:widowControl w:val="0"/>
        <w:numPr>
          <w:ilvl w:val="0"/>
          <w:numId w:val="11"/>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7．没有足够的钱买衣服    1  2  3</w:t>
      </w:r>
    </w:p>
    <w:p w14:paraId="4D870218">
      <w:pPr>
        <w:keepNext w:val="0"/>
        <w:keepLines w:val="0"/>
        <w:pageBreakBefore w:val="0"/>
        <w:widowControl w:val="0"/>
        <w:numPr>
          <w:ilvl w:val="0"/>
          <w:numId w:val="12"/>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8．为别人欠自己的钱担忧  1  2  3</w:t>
      </w:r>
    </w:p>
    <w:p w14:paraId="09C35993">
      <w:pPr>
        <w:keepNext w:val="0"/>
        <w:keepLines w:val="0"/>
        <w:pageBreakBefore w:val="0"/>
        <w:widowControl w:val="0"/>
        <w:numPr>
          <w:ilvl w:val="0"/>
          <w:numId w:val="13"/>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9．没有得到足够的睡眠    1  2  3</w:t>
      </w:r>
    </w:p>
    <w:p w14:paraId="0910A6D6">
      <w:pPr>
        <w:keepNext w:val="0"/>
        <w:keepLines w:val="0"/>
        <w:pageBreakBefore w:val="0"/>
        <w:widowControl w:val="0"/>
        <w:numPr>
          <w:ilvl w:val="0"/>
          <w:numId w:val="14"/>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10．工作中的不满意       1  2  3</w:t>
      </w:r>
    </w:p>
    <w:p w14:paraId="1CE4FD42">
      <w:pPr>
        <w:keepNext w:val="0"/>
        <w:keepLines w:val="0"/>
        <w:pageBreakBefore w:val="0"/>
        <w:widowControl w:val="0"/>
        <w:numPr>
          <w:ilvl w:val="0"/>
          <w:numId w:val="15"/>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11．担忧体重问题         1  2  3</w:t>
      </w:r>
    </w:p>
    <w:p w14:paraId="3ED6B6ED">
      <w:pPr>
        <w:keepNext w:val="0"/>
        <w:keepLines w:val="0"/>
        <w:pageBreakBefore w:val="0"/>
        <w:widowControl w:val="0"/>
        <w:numPr>
          <w:ilvl w:val="0"/>
          <w:numId w:val="16"/>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12．害怕被拒绝           1  2  3 </w:t>
      </w:r>
    </w:p>
    <w:p w14:paraId="6183FAD9">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4．应激源与健康</w:t>
      </w:r>
    </w:p>
    <w:p w14:paraId="2FCF68A4">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(1)应激源的数量与健康：数量太多对健康不利。</w:t>
      </w:r>
    </w:p>
    <w:p w14:paraId="623738F1">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1"/>
          <w:u w:val="none"/>
          <w:lang w:eastAsia="zh-CN"/>
        </w:rPr>
        <w:t>Rahe的研究(1969):</w:t>
      </w:r>
      <w:r>
        <w:rPr>
          <w:rFonts w:hint="eastAsia" w:ascii="宋体" w:hAnsi="宋体" w:eastAsia="宋体" w:cs="宋体"/>
          <w:b w:val="0"/>
          <w:bCs w:val="0"/>
          <w:i w:val="0"/>
          <w:shadow w:val="0"/>
          <w:emboss w:val="0"/>
          <w:sz w:val="21"/>
          <w:u w:val="none"/>
          <w:lang w:eastAsia="zh-CN"/>
        </w:rPr>
        <w:t>被试：84名内科医生。</w:t>
      </w:r>
    </w:p>
    <w:p w14:paraId="7C9CE0FA">
      <w:pPr>
        <w:keepNext w:val="0"/>
        <w:keepLines w:val="0"/>
        <w:pageBreakBefore w:val="0"/>
        <w:widowControl w:val="0"/>
        <w:numPr>
          <w:ilvl w:val="0"/>
          <w:numId w:val="17"/>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方法:先请被试运用《社会再适应评定量表》对自己过去一年中的生活事件总量进行评估。然后，在接下去的8个月对被试的患病情况进行跟踪随访。 </w:t>
      </w:r>
    </w:p>
    <w:p w14:paraId="036D6A1C">
      <w:pPr>
        <w:keepNext w:val="0"/>
        <w:keepLines w:val="0"/>
        <w:pageBreakBefore w:val="0"/>
        <w:widowControl w:val="0"/>
        <w:numPr>
          <w:ilvl w:val="0"/>
          <w:numId w:val="1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结果：高生活事件总量组(一年内LCU值超过300)中有20人（49%）报告了共24种疾病，中等生活事件总量组(一年内LCU值在150-300)中有8人（25%）报告了共8种疾病，低生活事件总量组(一年内LCU值小于150中)只有1人（9%）报告了1种疾病。方差分析显示，3组结果间的差异具有显著性。</w:t>
      </w:r>
    </w:p>
    <w:p w14:paraId="4619DE1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(2)应激源的性质与健康：</w:t>
      </w:r>
    </w:p>
    <w:p w14:paraId="35B3378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那些消极的、不可控制的、涉及生活核心部分的、过分强烈的应激源，与那些积极的、可控制的、非生活核心的、相对较弱的应激源相比，往往会造成更强的应激反应，对健康的损害也更大。</w:t>
      </w:r>
    </w:p>
    <w:p w14:paraId="327C2D1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韦斯（Weiss JM） 的实验（1971）发现，不可逃避组（经历不可控制的电击）的大鼠患胃溃疡者显著多于可逃避组。</w:t>
      </w:r>
    </w:p>
    <w:p w14:paraId="4817EDB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i w:val="0"/>
          <w:shadow w:val="0"/>
          <w:emboss w:val="0"/>
          <w:sz w:val="22"/>
          <w:szCs w:val="28"/>
          <w:u w:val="none"/>
          <w:lang w:eastAsia="zh-CN"/>
        </w:rPr>
      </w:pPr>
      <w:r>
        <w:rPr>
          <w:rFonts w:hint="eastAsia" w:ascii="宋体" w:hAnsi="宋体" w:eastAsia="宋体" w:cs="宋体"/>
          <w:b/>
          <w:bCs/>
          <w:i w:val="0"/>
          <w:shadow w:val="0"/>
          <w:emboss w:val="0"/>
          <w:sz w:val="22"/>
          <w:szCs w:val="28"/>
          <w:u w:val="none"/>
          <w:lang w:eastAsia="zh-CN"/>
        </w:rPr>
        <w:t>第三节   应激反应（压力反应）</w:t>
      </w:r>
    </w:p>
    <w:p w14:paraId="36BA2B2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一、</w:t>
      </w:r>
      <w:r>
        <w:rPr>
          <w:rFonts w:hint="eastAsia" w:ascii="宋体" w:hAnsi="宋体" w:eastAsia="宋体" w:cs="宋体"/>
          <w:b/>
          <w:bCs/>
          <w:i w:val="0"/>
          <w:shadow w:val="0"/>
          <w:emboss w:val="0"/>
          <w:sz w:val="21"/>
          <w:u w:val="none"/>
          <w:lang w:eastAsia="zh-CN"/>
        </w:rPr>
        <w:t>应激反应在心理病因学中的意义</w:t>
      </w:r>
      <w:r>
        <w:rPr>
          <w:rFonts w:hint="eastAsia" w:ascii="宋体" w:hAnsi="宋体" w:eastAsia="宋体" w:cs="宋体"/>
          <w:b w:val="0"/>
          <w:bCs w:val="0"/>
          <w:i w:val="0"/>
          <w:shadow w:val="0"/>
          <w:emboss w:val="0"/>
          <w:sz w:val="21"/>
          <w:u w:val="none"/>
          <w:lang w:eastAsia="zh-CN"/>
        </w:rPr>
        <w:t>：</w:t>
      </w:r>
    </w:p>
    <w:p w14:paraId="52A2D88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强烈或持续  </w:t>
      </w:r>
      <w:r>
        <w:rPr>
          <w:rFonts w:hint="eastAsia" w:ascii="宋体" w:hAnsi="宋体" w:eastAsia="宋体" w:cs="宋体"/>
          <w:b w:val="0"/>
          <w:bCs w:val="0"/>
        </w:rPr>
        <mc:AlternateContent>
          <mc:Choice Requires="wps">
            <w:drawing>
              <wp:inline distT="0" distB="0" distL="114300" distR="114300">
                <wp:extent cx="592455" cy="284480"/>
                <wp:effectExtent l="4445" t="9525" r="12700" b="10795"/>
                <wp:docPr id="16387" name="AutoShape 3"/>
                <wp:cNvGraphicFramePr/>
                <a:graphic xmlns:a="http://schemas.openxmlformats.org/drawingml/2006/main">
                  <a:graphicData uri="http://schemas.microsoft.com/office/word/2010/wordprocessingShape">
                    <wps:wsp>
                      <wps:cNvSpPr/>
                      <wps:spPr>
                        <a:xfrm>
                          <a:off x="0" y="0"/>
                          <a:ext cx="687387" cy="269875"/>
                        </a:xfrm>
                        <a:prstGeom prst="rightArrow">
                          <a:avLst>
                            <a:gd name="adj1" fmla="val 50000"/>
                            <a:gd name="adj2" fmla="val 63676"/>
                          </a:avLst>
                        </a:prstGeom>
                        <a:solidFill>
                          <a:srgbClr val="4874CB"/>
                        </a:solidFill>
                        <a:ln w="1270" cap="flat" cmpd="sng">
                          <a:solidFill>
                            <a:srgbClr val="000000"/>
                          </a:solidFill>
                          <a:prstDash val="solid"/>
                          <a:miter/>
                          <a:headEnd type="none" w="med" len="med"/>
                          <a:tailEnd type="none" w="med" len="med"/>
                        </a:ln>
                        <a:effectLst/>
                      </wps:spPr>
                      <wps:bodyPr wrap="none" anchor="ctr" anchorCtr="0"/>
                    </wps:wsp>
                  </a:graphicData>
                </a:graphic>
              </wp:inline>
            </w:drawing>
          </mc:Choice>
          <mc:Fallback>
            <w:pict>
              <v:shape id="AutoShape 3" o:spid="_x0000_s1026" o:spt="13" type="#_x0000_t13" style="height:22.4pt;width:46.65pt;mso-wrap-style:none;v-text-anchor:middle;" fillcolor="#4874CB" filled="t" stroked="t" coordsize="21600,21600" o:gfxdata="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3hFmHtQAAAADAQAADwAAAAAAAAABACAAAAAiAAAAZHJzL2Rvd25yZXYueG1sUEsBAhQA&#10;FAAAAAgAh07iQLS9UVAvAgAApAQAAA4AAAAAAAAAAQAgAAAAIwEAAGRycy9lMm9Eb2MueG1sUEsF&#10;BgAAAAAGAAYAWQEAAMQFAAAAAA==&#10;" adj="16201,5400">
                <v:fill on="t" focussize="0,0"/>
                <v:stroke weight="0.1pt" color="#000000" joinstyle="miter"/>
                <v:imagedata o:title=""/>
                <o:lock v:ext="edit" aspectratio="f"/>
                <w10:wrap type="none"/>
                <w10:anchorlock/>
              </v:shape>
            </w:pict>
          </mc:Fallback>
        </mc:AlternateContent>
      </w:r>
      <w:r>
        <w:rPr>
          <w:rFonts w:hint="eastAsia" w:ascii="宋体" w:hAnsi="宋体" w:eastAsia="宋体" w:cs="宋体"/>
          <w:b w:val="0"/>
          <w:bCs w:val="0"/>
          <w:i w:val="0"/>
          <w:shadow w:val="0"/>
          <w:emboss w:val="0"/>
          <w:sz w:val="21"/>
          <w:u w:val="none"/>
          <w:lang w:eastAsia="zh-CN"/>
        </w:rPr>
        <w:t xml:space="preserve">   强烈或持续的心理应激反应   </w:t>
      </w:r>
      <w:r>
        <w:rPr>
          <w:rFonts w:hint="eastAsia" w:ascii="宋体" w:hAnsi="宋体" w:eastAsia="宋体" w:cs="宋体"/>
          <w:b w:val="0"/>
          <w:bCs w:val="0"/>
        </w:rPr>
        <mc:AlternateContent>
          <mc:Choice Requires="wps">
            <w:drawing>
              <wp:inline distT="0" distB="0" distL="114300" distR="114300">
                <wp:extent cx="687705" cy="269875"/>
                <wp:effectExtent l="4445" t="9525" r="19050" b="12700"/>
                <wp:docPr id="16388" name="AutoShape 4"/>
                <wp:cNvGraphicFramePr/>
                <a:graphic xmlns:a="http://schemas.openxmlformats.org/drawingml/2006/main">
                  <a:graphicData uri="http://schemas.microsoft.com/office/word/2010/wordprocessingShape">
                    <wps:wsp>
                      <wps:cNvSpPr/>
                      <wps:spPr>
                        <a:xfrm>
                          <a:off x="0" y="0"/>
                          <a:ext cx="687705" cy="269875"/>
                        </a:xfrm>
                        <a:prstGeom prst="rightArrow">
                          <a:avLst>
                            <a:gd name="adj1" fmla="val 50000"/>
                            <a:gd name="adj2" fmla="val 63676"/>
                          </a:avLst>
                        </a:prstGeom>
                        <a:solidFill>
                          <a:srgbClr val="4874CB"/>
                        </a:solidFill>
                        <a:ln w="1270" cap="flat" cmpd="sng">
                          <a:solidFill>
                            <a:srgbClr val="000000"/>
                          </a:solidFill>
                          <a:prstDash val="solid"/>
                          <a:miter/>
                          <a:headEnd type="none" w="med" len="med"/>
                          <a:tailEnd type="none" w="med" len="med"/>
                        </a:ln>
                        <a:effectLst/>
                      </wps:spPr>
                      <wps:bodyPr wrap="none" anchor="ctr" anchorCtr="0"/>
                    </wps:wsp>
                  </a:graphicData>
                </a:graphic>
              </wp:inline>
            </w:drawing>
          </mc:Choice>
          <mc:Fallback>
            <w:pict>
              <v:shape id="AutoShape 4" o:spid="_x0000_s1026" o:spt="13" type="#_x0000_t13" style="height:21.25pt;width:54.15pt;mso-wrap-style:none;v-text-anchor:middle;" fillcolor="#4874CB" filled="t" stroked="t" coordsize="21600,21600" o:gfxdata="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CsscKzUAAAABAEAAA8AAAAAAAAAAQAgAAAAIgAAAGRycy9kb3ducmV2LnhtbFBLAQIU&#10;ABQAAAAIAIdO4kAbiEwzMAIAAKQEAAAOAAAAAAAAAAEAIAAAACMBAABkcnMvZTJvRG9jLnhtbFBL&#10;BQYAAAAABgAGAFkBAADFBQAAAAA=&#10;" adj="16203,5400">
                <v:fill on="t" focussize="0,0"/>
                <v:stroke weight="0.1pt" color="#000000" joinstyle="miter"/>
                <v:imagedata o:title=""/>
                <o:lock v:ext="edit" aspectratio="f"/>
                <w10:wrap type="none"/>
                <w10:anchorlock/>
              </v:shape>
            </w:pict>
          </mc:Fallback>
        </mc:AlternateContent>
      </w:r>
      <w:r>
        <w:rPr>
          <w:rFonts w:hint="eastAsia" w:ascii="宋体" w:hAnsi="宋体" w:eastAsia="宋体" w:cs="宋体"/>
          <w:b w:val="0"/>
          <w:bCs w:val="0"/>
          <w:i w:val="0"/>
          <w:shadow w:val="0"/>
          <w:emboss w:val="0"/>
          <w:sz w:val="21"/>
          <w:u w:val="none"/>
          <w:lang w:eastAsia="zh-CN"/>
        </w:rPr>
        <w:t xml:space="preserve">   心理疾病</w:t>
      </w:r>
    </w:p>
    <w:p w14:paraId="09755D6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rPr>
      </w:pPr>
      <w:r>
        <w:rPr>
          <w:rFonts w:hint="eastAsia" w:ascii="宋体" w:hAnsi="宋体" w:eastAsia="宋体" w:cs="宋体"/>
          <w:b w:val="0"/>
          <w:bCs w:val="0"/>
          <w:i w:val="0"/>
          <w:shadow w:val="0"/>
          <w:emboss w:val="0"/>
          <w:sz w:val="21"/>
          <w:u w:val="none"/>
          <w:lang w:eastAsia="zh-CN"/>
        </w:rPr>
        <w:t xml:space="preserve">的应激刺激   </w:t>
      </w:r>
      <w:r>
        <w:rPr>
          <w:rFonts w:hint="eastAsia" w:ascii="宋体" w:hAnsi="宋体" w:eastAsia="宋体" w:cs="宋体"/>
          <w:b w:val="0"/>
          <w:bCs w:val="0"/>
        </w:rPr>
        <mc:AlternateContent>
          <mc:Choice Requires="wps">
            <w:drawing>
              <wp:inline distT="0" distB="0" distL="114300" distR="114300">
                <wp:extent cx="687070" cy="269875"/>
                <wp:effectExtent l="4445" t="9525" r="19685" b="12700"/>
                <wp:docPr id="16390" name="AutoShape 6"/>
                <wp:cNvGraphicFramePr/>
                <a:graphic xmlns:a="http://schemas.openxmlformats.org/drawingml/2006/main">
                  <a:graphicData uri="http://schemas.microsoft.com/office/word/2010/wordprocessingShape">
                    <wps:wsp>
                      <wps:cNvSpPr/>
                      <wps:spPr>
                        <a:xfrm>
                          <a:off x="0" y="0"/>
                          <a:ext cx="687387" cy="269875"/>
                        </a:xfrm>
                        <a:prstGeom prst="rightArrow">
                          <a:avLst>
                            <a:gd name="adj1" fmla="val 50000"/>
                            <a:gd name="adj2" fmla="val 63676"/>
                          </a:avLst>
                        </a:prstGeom>
                        <a:solidFill>
                          <a:srgbClr val="4874CB"/>
                        </a:solidFill>
                        <a:ln w="1270" cap="flat" cmpd="sng">
                          <a:solidFill>
                            <a:srgbClr val="000000"/>
                          </a:solidFill>
                          <a:prstDash val="solid"/>
                          <a:miter/>
                          <a:headEnd type="none" w="med" len="med"/>
                          <a:tailEnd type="none" w="med" len="med"/>
                        </a:ln>
                        <a:effectLst/>
                      </wps:spPr>
                      <wps:bodyPr wrap="none" anchor="ctr" anchorCtr="0"/>
                    </wps:wsp>
                  </a:graphicData>
                </a:graphic>
              </wp:inline>
            </w:drawing>
          </mc:Choice>
          <mc:Fallback>
            <w:pict>
              <v:shape id="AutoShape 6" o:spid="_x0000_s1026" o:spt="13" type="#_x0000_t13" style="height:21.25pt;width:54.1pt;mso-wrap-style:none;v-text-anchor:middle;" fillcolor="#4874CB" filled="t" stroked="t" coordsize="21600,21600" o:gfxdata="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xCGfTUAAAABAEAAA8AAAAAAAAAAQAgAAAAIgAAAGRycy9kb3ducmV2LnhtbFBLAQIU&#10;ABQAAAAIAIdO4kCLcmQOMAIAAKQEAAAOAAAAAAAAAAEAIAAAACMBAABkcnMvZTJvRG9jLnhtbFBL&#10;BQYAAAAABgAGAFkBAADFBQAAAAA=&#10;" adj="16201,5400">
                <v:fill on="t" focussize="0,0"/>
                <v:stroke weight="0.1pt" color="#000000" joinstyle="miter"/>
                <v:imagedata o:title=""/>
                <o:lock v:ext="edit" aspectratio="f"/>
                <w10:wrap type="none"/>
                <w10:anchorlock/>
              </v:shape>
            </w:pict>
          </mc:Fallback>
        </mc:AlternateContent>
      </w:r>
      <w:r>
        <w:rPr>
          <w:rFonts w:hint="eastAsia" w:ascii="宋体" w:hAnsi="宋体" w:eastAsia="宋体" w:cs="宋体"/>
          <w:b w:val="0"/>
          <w:bCs w:val="0"/>
          <w:i w:val="0"/>
          <w:shadow w:val="0"/>
          <w:emboss w:val="0"/>
          <w:sz w:val="21"/>
          <w:u w:val="none"/>
          <w:lang w:eastAsia="zh-CN"/>
        </w:rPr>
        <w:t xml:space="preserve">  强烈或持续的生理应激反应     </w:t>
      </w:r>
      <w:r>
        <w:rPr>
          <w:rFonts w:hint="eastAsia" w:ascii="宋体" w:hAnsi="宋体" w:eastAsia="宋体" w:cs="宋体"/>
          <w:b w:val="0"/>
          <w:bCs w:val="0"/>
        </w:rPr>
        <mc:AlternateContent>
          <mc:Choice Requires="wps">
            <w:drawing>
              <wp:inline distT="0" distB="0" distL="114300" distR="114300">
                <wp:extent cx="687070" cy="269875"/>
                <wp:effectExtent l="4445" t="9525" r="19685" b="12700"/>
                <wp:docPr id="16389" name="AutoShape 5"/>
                <wp:cNvGraphicFramePr/>
                <a:graphic xmlns:a="http://schemas.openxmlformats.org/drawingml/2006/main">
                  <a:graphicData uri="http://schemas.microsoft.com/office/word/2010/wordprocessingShape">
                    <wps:wsp>
                      <wps:cNvSpPr/>
                      <wps:spPr>
                        <a:xfrm>
                          <a:off x="0" y="0"/>
                          <a:ext cx="687387" cy="269875"/>
                        </a:xfrm>
                        <a:prstGeom prst="rightArrow">
                          <a:avLst>
                            <a:gd name="adj1" fmla="val 50000"/>
                            <a:gd name="adj2" fmla="val 63676"/>
                          </a:avLst>
                        </a:prstGeom>
                        <a:solidFill>
                          <a:srgbClr val="4874CB"/>
                        </a:solidFill>
                        <a:ln w="1270" cap="flat" cmpd="sng">
                          <a:solidFill>
                            <a:srgbClr val="000000"/>
                          </a:solidFill>
                          <a:prstDash val="solid"/>
                          <a:miter/>
                          <a:headEnd type="none" w="med" len="med"/>
                          <a:tailEnd type="none" w="med" len="med"/>
                        </a:ln>
                        <a:effectLst/>
                      </wps:spPr>
                      <wps:bodyPr wrap="none" anchor="ctr" anchorCtr="0"/>
                    </wps:wsp>
                  </a:graphicData>
                </a:graphic>
              </wp:inline>
            </w:drawing>
          </mc:Choice>
          <mc:Fallback>
            <w:pict>
              <v:shape id="AutoShape 5" o:spid="_x0000_s1026" o:spt="13" type="#_x0000_t13" style="height:21.25pt;width:54.1pt;mso-wrap-style:none;v-text-anchor:middle;" fillcolor="#4874CB" filled="t" stroked="t" coordsize="21600,21600" o:gfxdata="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8Qhn01AAAAAQBAAAPAAAAAAAAAAEAIAAAACIAAABkcnMvZG93bnJldi54bWxQSwEC&#10;FAAUAAAACACHTuJAPyaeiDECAACkBAAADgAAAAAAAAABACAAAAAjAQAAZHJzL2Uyb0RvYy54bWxQ&#10;SwUGAAAAAAYABgBZAQAAxgUAAAAA&#10;" adj="16201,5400">
                <v:fill on="t" focussize="0,0"/>
                <v:stroke weight="0.1pt" color="#000000" joinstyle="miter"/>
                <v:imagedata o:title=""/>
                <o:lock v:ext="edit" aspectratio="f"/>
                <w10:wrap type="none"/>
                <w10:anchorlock/>
              </v:shape>
            </w:pict>
          </mc:Fallback>
        </mc:AlternateContent>
      </w:r>
      <w:r>
        <w:rPr>
          <w:rFonts w:hint="eastAsia" w:ascii="宋体" w:hAnsi="宋体" w:eastAsia="宋体" w:cs="宋体"/>
          <w:b w:val="0"/>
          <w:bCs w:val="0"/>
          <w:i w:val="0"/>
          <w:shadow w:val="0"/>
          <w:emboss w:val="0"/>
          <w:sz w:val="21"/>
          <w:u w:val="none"/>
          <w:lang w:eastAsia="zh-CN"/>
        </w:rPr>
        <w:t xml:space="preserve"> 躯体疾病</w:t>
      </w:r>
    </w:p>
    <w:p w14:paraId="4D4698C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二、应激的心理反应</w:t>
      </w:r>
    </w:p>
    <w:p w14:paraId="6692C10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心理反应涉及“知、情、意、个性”各方面</w:t>
      </w:r>
    </w:p>
    <w:p w14:paraId="5C1BF70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（1）情绪反应：焦虑、恐惧、抑郁、愤怒、敌意等</w:t>
      </w:r>
    </w:p>
    <w:p w14:paraId="759CCE5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2）认知反应：人在适度的应激条件下，警觉性提高，感知觉敏锐，记忆力增强，思维活跃，这将有助于人应对挑战，产生适应。但假如应激过于强烈或应激时间过长，就会使各种认知功能受损，认知能力下降，如注意力不集中，记忆力、判断力下降等；影响自我评价，自尊降低（最严重的会自暴自弃），自卑，自我调节和控制能力下降。</w:t>
      </w:r>
    </w:p>
    <w:p w14:paraId="609F339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二、应激的心理反应</w:t>
      </w:r>
    </w:p>
    <w:p w14:paraId="69E446A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心理反应涉及“知、情、意、个性”各方面</w:t>
      </w:r>
    </w:p>
    <w:p w14:paraId="102B5DE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（1）情绪反应：焦虑、恐惧、抑郁、愤怒、敌意等</w:t>
      </w:r>
    </w:p>
    <w:p w14:paraId="2DDED87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2）认知反应：人在适度的应激条件下，警觉性提高，感知觉敏锐，记忆力增强，思维活跃，这将有助于人应对挑战，产生适应。但假如应激过于强烈或应激时间过长，就会使各种认知功能受损，认知能力下降，如注意力不集中，记忆力、判断力下降等；影响自我评价，自尊降低（最严重的会自暴自弃），自卑，自我调节和控制能力下降。</w:t>
      </w:r>
    </w:p>
    <w:p w14:paraId="6FB3169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三、应激的行为反应</w:t>
      </w:r>
    </w:p>
    <w:p w14:paraId="111D1F8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逃避与回避  退化与依赖  攻击  失助（helplessness）  物质滥用(substance abuse)  其它行为：吃、买 </w:t>
      </w:r>
    </w:p>
    <w:p w14:paraId="4378E473">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四、综合性应激反应</w:t>
      </w:r>
    </w:p>
    <w:p w14:paraId="2A07CAB7">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1"/>
          <w:u w:val="none"/>
          <w:lang w:eastAsia="zh-CN"/>
        </w:rPr>
        <w:t>1.心身耗竭（burnout）：</w:t>
      </w:r>
      <w:r>
        <w:rPr>
          <w:rFonts w:hint="eastAsia" w:ascii="宋体" w:hAnsi="宋体" w:eastAsia="宋体" w:cs="宋体"/>
          <w:b w:val="0"/>
          <w:bCs w:val="0"/>
          <w:i w:val="0"/>
          <w:shadow w:val="0"/>
          <w:emboss w:val="0"/>
          <w:sz w:val="21"/>
          <w:u w:val="none"/>
          <w:lang w:eastAsia="zh-CN"/>
        </w:rPr>
        <w:t>即职业倦怠，是现代职业领域与应激相关的职业病。</w:t>
      </w:r>
    </w:p>
    <w:p w14:paraId="479EB3C5">
      <w:pPr>
        <w:keepNext w:val="0"/>
        <w:keepLines w:val="0"/>
        <w:pageBreakBefore w:val="0"/>
        <w:widowControl w:val="0"/>
        <w:numPr>
          <w:numId w:val="0"/>
        </w:numPr>
        <w:kinsoku/>
        <w:wordWrap/>
        <w:overflowPunct w:val="0"/>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心身耗竭一般包括以下</w:t>
      </w:r>
      <w:r>
        <w:rPr>
          <w:rFonts w:hint="eastAsia" w:ascii="宋体" w:hAnsi="宋体" w:eastAsia="宋体" w:cs="宋体"/>
          <w:b/>
          <w:bCs/>
          <w:i w:val="0"/>
          <w:shadow w:val="0"/>
          <w:emboss w:val="0"/>
          <w:sz w:val="21"/>
          <w:u w:val="none"/>
          <w:lang w:eastAsia="zh-CN"/>
        </w:rPr>
        <w:t>三方面</w:t>
      </w:r>
      <w:r>
        <w:rPr>
          <w:rFonts w:hint="eastAsia" w:ascii="宋体" w:hAnsi="宋体" w:eastAsia="宋体" w:cs="宋体"/>
          <w:b w:val="0"/>
          <w:bCs w:val="0"/>
          <w:i w:val="0"/>
          <w:shadow w:val="0"/>
          <w:emboss w:val="0"/>
          <w:sz w:val="21"/>
          <w:u w:val="none"/>
          <w:lang w:eastAsia="zh-CN"/>
        </w:rPr>
        <w:t>：</w:t>
      </w:r>
    </w:p>
    <w:p w14:paraId="054F202C">
      <w:pPr>
        <w:keepNext w:val="0"/>
        <w:keepLines w:val="0"/>
        <w:pageBreakBefore w:val="0"/>
        <w:widowControl w:val="0"/>
        <w:numPr>
          <w:ilvl w:val="0"/>
          <w:numId w:val="19"/>
        </w:numPr>
        <w:kinsoku/>
        <w:wordWrap/>
        <w:overflowPunct w:val="0"/>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（1） 情感衰竭：指没有活力，没有工作热情，感到自己的感情处于极度疲劳的状态。这是职业倦怠最明显的症状表现。</w:t>
      </w:r>
    </w:p>
    <w:p w14:paraId="5B418348">
      <w:pPr>
        <w:keepNext w:val="0"/>
        <w:keepLines w:val="0"/>
        <w:pageBreakBefore w:val="0"/>
        <w:widowControl w:val="0"/>
        <w:numPr>
          <w:ilvl w:val="0"/>
          <w:numId w:val="20"/>
        </w:numPr>
        <w:kinsoku/>
        <w:wordWrap/>
        <w:overflowPunct w:val="0"/>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（2）去人格化：指刻意在自身和工作对象间保持距离，对工作对象和环境采取冷漠、忽视的态度，对工作敷衍了事，个人发展停滞，行为怪僻，提出调度申请等。</w:t>
      </w:r>
    </w:p>
    <w:p w14:paraId="43DA05CA">
      <w:pPr>
        <w:keepNext w:val="0"/>
        <w:keepLines w:val="0"/>
        <w:pageBreakBefore w:val="0"/>
        <w:widowControl w:val="0"/>
        <w:numPr>
          <w:ilvl w:val="0"/>
          <w:numId w:val="21"/>
        </w:numPr>
        <w:kinsoku/>
        <w:wordWrap/>
        <w:overflowPunct w:val="0"/>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（3）无力感或低个人成就感：指倾向于消极地评价自己，并伴有工作能力体验和成就体验的下降，认为工作不但不能发挥自身才能，而且是枯燥无味的繁琐事物。</w:t>
      </w:r>
    </w:p>
    <w:p w14:paraId="0F079CC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1"/>
          <w:u w:val="none"/>
          <w:lang w:eastAsia="zh-CN"/>
        </w:rPr>
        <w:t>2.创伤后应激障碍（PTSD）：</w:t>
      </w:r>
      <w:r>
        <w:rPr>
          <w:rFonts w:hint="eastAsia" w:ascii="宋体" w:hAnsi="宋体" w:eastAsia="宋体" w:cs="宋体"/>
          <w:b w:val="0"/>
          <w:bCs w:val="0"/>
          <w:i w:val="0"/>
          <w:shadow w:val="0"/>
          <w:emboss w:val="0"/>
          <w:sz w:val="21"/>
          <w:u w:val="none"/>
          <w:lang w:eastAsia="zh-CN"/>
        </w:rPr>
        <w:t xml:space="preserve">遭受强烈的威胁性、灾难性心理创伤，导致延迟出现和长期持续性的精神障碍。临床表现：反复重现创伤性体验，对创伤性提示物的持久性回避，持续性警觉性增高。 此外，患者还存在记忆力和注意力受损、睡眠障碍、精神麻木、情绪压抑、对曾经感兴趣的事情不再感兴趣、疏远朋友、对其他应激性事件的负性反应增强、对未来失去信心等。最为有效的心理治疗方法是认知行为治疗。系统脱敏治疗、暴露治疗、放松治疗、眼动脱敏和再加工治疗(EMDR)等也能改善PTSD症状。此外，增加社会支持也有助于缓解PTSD症状。  </w:t>
      </w:r>
    </w:p>
    <w:p w14:paraId="1AEA6C4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 xml:space="preserve">五、应激的生理反应及其心身中介机制  </w:t>
      </w:r>
    </w:p>
    <w:p w14:paraId="3205576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1．应激的生理反应</w:t>
      </w:r>
    </w:p>
    <w:p w14:paraId="1890328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应激的生理反应主要是在大脑皮层的协调和指挥下，通过植物神经系统、内分泌系统和免疫系统进行调节的。应激的生理反应以神经解剖学为基础，可涉及全身的各个系统和器官，直至毛发。  </w:t>
      </w:r>
    </w:p>
    <w:p w14:paraId="3039F72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应激的生理反应既是躯体对应激源的适应过程，又是某些情况下导致疾病的生理基础。  </w:t>
      </w:r>
    </w:p>
    <w:p w14:paraId="65BDA9D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2. 心身中介机制:</w:t>
      </w:r>
    </w:p>
    <w:p w14:paraId="2CEA65F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心理- 神经中介机制：交感神经-肾上腺髓质轴 </w:t>
      </w:r>
    </w:p>
    <w:p w14:paraId="42459A5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皮层     下丘脑     交感神经—肾上腺髓质轴     肾上腺素分泌增加等</w:t>
      </w:r>
    </w:p>
    <w:p w14:paraId="3D3C8E8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心理- 神经- 内分泌中介机制：下丘脑-垂体-肾上腺皮质轴 </w:t>
      </w:r>
    </w:p>
    <w:p w14:paraId="47EE63E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皮层     下丘脑      腺垂体      靶腺轴        肾上腺皮质激素分泌增加、甲状腺素分泌增加、生长激素等</w:t>
      </w:r>
    </w:p>
    <w:p w14:paraId="7EBF6A1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心理- 神经- 免疫中介机制：（短时间内免疫功能增强）</w:t>
      </w:r>
    </w:p>
    <w:p w14:paraId="0989CFA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rPr>
      </w:pPr>
      <w:r>
        <w:rPr>
          <w:rFonts w:hint="eastAsia" w:ascii="宋体" w:hAnsi="宋体" w:eastAsia="宋体" w:cs="宋体"/>
          <w:b w:val="0"/>
          <w:bCs w:val="0"/>
          <w:i w:val="0"/>
          <w:shadow w:val="0"/>
          <w:emboss w:val="0"/>
          <w:sz w:val="21"/>
          <w:u w:val="none"/>
          <w:lang w:eastAsia="zh-CN"/>
        </w:rPr>
        <w:t>皮层     下丘脑      腺垂体      肾上腺皮质激素分泌增加</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 xml:space="preserve">免疫抑制（胸腺和淋巴组织退化或萎缩，淋巴细胞的抗原反应性降低，巨噬细胞活动能力下降，造成机体的体液免疫功能和细胞免疫功能均受抑制）          （长时间内免疫功能下降） </w:t>
      </w:r>
    </w:p>
    <w:p w14:paraId="06089B9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Myrin Borysenko的应激-疾病模型：</w:t>
      </w:r>
    </w:p>
    <w:p w14:paraId="245B3BCE">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自主失调：偏头痛、消化道溃疡、肠易激综合征、高血压、冠心病、哮喘</w:t>
      </w:r>
    </w:p>
    <w:p w14:paraId="133EF23D">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免疫失调：  外源性反应不足-病毒感染  外源性反应过度-过敏</w:t>
      </w:r>
    </w:p>
    <w:p w14:paraId="2B4E2A58">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630" w:firstLineChars="3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内源性反应过度-类风湿性关节炎  内源性反应不足-癌症</w:t>
      </w:r>
    </w:p>
    <w:p w14:paraId="1E93779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2"/>
          <w:szCs w:val="28"/>
          <w:u w:val="none"/>
          <w:lang w:eastAsia="zh-CN"/>
        </w:rPr>
        <w:t>第四节   认知评价</w:t>
      </w:r>
      <w:r>
        <w:rPr>
          <w:rFonts w:hint="eastAsia" w:ascii="宋体" w:hAnsi="宋体" w:eastAsia="宋体" w:cs="宋体"/>
          <w:b w:val="0"/>
          <w:bCs w:val="0"/>
          <w:i w:val="0"/>
          <w:shadow w:val="0"/>
          <w:emboss w:val="0"/>
          <w:sz w:val="21"/>
          <w:u w:val="none"/>
          <w:lang w:eastAsia="zh-CN"/>
        </w:rPr>
        <w:t> </w:t>
      </w:r>
    </w:p>
    <w:p w14:paraId="32337B2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1.</w:t>
      </w:r>
      <w:r>
        <w:rPr>
          <w:rFonts w:hint="eastAsia" w:ascii="宋体" w:hAnsi="宋体" w:eastAsia="宋体" w:cs="宋体"/>
          <w:b/>
          <w:bCs/>
          <w:i w:val="0"/>
          <w:shadow w:val="0"/>
          <w:emboss w:val="0"/>
          <w:sz w:val="21"/>
          <w:u w:val="none"/>
          <w:lang w:eastAsia="zh-CN"/>
        </w:rPr>
        <w:t>概念</w:t>
      </w:r>
      <w:r>
        <w:rPr>
          <w:rFonts w:hint="eastAsia" w:ascii="宋体" w:hAnsi="宋体" w:eastAsia="宋体" w:cs="宋体"/>
          <w:b w:val="0"/>
          <w:bCs w:val="0"/>
          <w:i w:val="0"/>
          <w:shadow w:val="0"/>
          <w:emboss w:val="0"/>
          <w:sz w:val="21"/>
          <w:u w:val="none"/>
          <w:lang w:eastAsia="zh-CN"/>
        </w:rPr>
        <w:t>：认知评价被认为是应激作用过程的关键性中介因素。</w:t>
      </w:r>
    </w:p>
    <w:p w14:paraId="52AB142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1"/>
          <w:u w:val="none"/>
          <w:lang w:eastAsia="zh-CN"/>
        </w:rPr>
        <w:t>2.初级评价和次级评价：（1）初级评价（primary appraisal）：</w:t>
      </w:r>
      <w:r>
        <w:rPr>
          <w:rFonts w:hint="eastAsia" w:ascii="宋体" w:hAnsi="宋体" w:eastAsia="宋体" w:cs="宋体"/>
          <w:b w:val="0"/>
          <w:bCs w:val="0"/>
          <w:i w:val="0"/>
          <w:shadow w:val="0"/>
          <w:emboss w:val="0"/>
          <w:sz w:val="21"/>
          <w:u w:val="none"/>
          <w:lang w:eastAsia="zh-CN"/>
        </w:rPr>
        <w:t>是个体在某一事件发生时立即通过认知活动判断其是否与自己有利害关系。其核心的问题是：“这个事件对我意味着什么？”事件经过初级评价，有三种可能的结果，即：无关的、积极的或消极的。</w:t>
      </w:r>
    </w:p>
    <w:p w14:paraId="4D800FD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“消极的”的评价经认知性再评价可以区分为三类。 “</w:t>
      </w:r>
      <w:r>
        <w:rPr>
          <w:rFonts w:hint="eastAsia" w:ascii="宋体" w:hAnsi="宋体" w:eastAsia="宋体" w:cs="宋体"/>
          <w:b/>
          <w:bCs/>
          <w:i w:val="0"/>
          <w:shadow w:val="0"/>
          <w:emboss w:val="0"/>
          <w:sz w:val="21"/>
          <w:u w:val="none"/>
          <w:lang w:eastAsia="zh-CN"/>
        </w:rPr>
        <w:t>伤害（harm）”</w:t>
      </w:r>
      <w:r>
        <w:rPr>
          <w:rFonts w:hint="eastAsia" w:ascii="宋体" w:hAnsi="宋体" w:eastAsia="宋体" w:cs="宋体"/>
          <w:b w:val="0"/>
          <w:bCs w:val="0"/>
          <w:i w:val="0"/>
          <w:shadow w:val="0"/>
          <w:emboss w:val="0"/>
          <w:sz w:val="21"/>
          <w:u w:val="none"/>
          <w:lang w:eastAsia="zh-CN"/>
        </w:rPr>
        <w:t xml:space="preserve">：是指对某事件已经造成的损失的评价，如失业导致了自尊受损； </w:t>
      </w:r>
      <w:r>
        <w:rPr>
          <w:rFonts w:hint="eastAsia" w:ascii="宋体" w:hAnsi="宋体" w:eastAsia="宋体" w:cs="宋体"/>
          <w:b/>
          <w:bCs/>
          <w:i w:val="0"/>
          <w:shadow w:val="0"/>
          <w:emboss w:val="0"/>
          <w:sz w:val="21"/>
          <w:u w:val="none"/>
          <w:lang w:eastAsia="zh-CN"/>
        </w:rPr>
        <w:t>“威胁（threaten）”</w:t>
      </w:r>
      <w:r>
        <w:rPr>
          <w:rFonts w:hint="eastAsia" w:ascii="宋体" w:hAnsi="宋体" w:eastAsia="宋体" w:cs="宋体"/>
          <w:b w:val="0"/>
          <w:bCs w:val="0"/>
          <w:i w:val="0"/>
          <w:shadow w:val="0"/>
          <w:emboss w:val="0"/>
          <w:sz w:val="21"/>
          <w:u w:val="none"/>
          <w:lang w:eastAsia="zh-CN"/>
        </w:rPr>
        <w:t xml:space="preserve">：是指对某事件在将来可能造成的损失的评价，如失业会导致家庭经济困难； </w:t>
      </w:r>
      <w:r>
        <w:rPr>
          <w:rFonts w:hint="eastAsia" w:ascii="宋体" w:hAnsi="宋体" w:eastAsia="宋体" w:cs="宋体"/>
          <w:b/>
          <w:bCs/>
          <w:i w:val="0"/>
          <w:shadow w:val="0"/>
          <w:emboss w:val="0"/>
          <w:sz w:val="21"/>
          <w:u w:val="none"/>
          <w:lang w:eastAsia="zh-CN"/>
        </w:rPr>
        <w:t>“挑战（challenge）”</w:t>
      </w:r>
      <w:r>
        <w:rPr>
          <w:rFonts w:hint="eastAsia" w:ascii="宋体" w:hAnsi="宋体" w:eastAsia="宋体" w:cs="宋体"/>
          <w:b w:val="0"/>
          <w:bCs w:val="0"/>
          <w:i w:val="0"/>
          <w:shadow w:val="0"/>
          <w:emboss w:val="0"/>
          <w:sz w:val="21"/>
          <w:u w:val="none"/>
          <w:lang w:eastAsia="zh-CN"/>
        </w:rPr>
        <w:t xml:space="preserve">：是指把问题评价为可能被克服并从中获益，如把失业看成是创业的机会。 </w:t>
      </w:r>
    </w:p>
    <w:p w14:paraId="5B3FCC9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1"/>
          <w:u w:val="none"/>
          <w:lang w:eastAsia="zh-CN"/>
        </w:rPr>
        <w:t>（2）次级评价（secondary appraisal）</w:t>
      </w:r>
      <w:r>
        <w:rPr>
          <w:rFonts w:hint="eastAsia" w:ascii="宋体" w:hAnsi="宋体" w:eastAsia="宋体" w:cs="宋体"/>
          <w:b w:val="0"/>
          <w:bCs w:val="0"/>
          <w:i w:val="0"/>
          <w:shadow w:val="0"/>
          <w:emboss w:val="0"/>
          <w:sz w:val="21"/>
          <w:u w:val="none"/>
          <w:lang w:eastAsia="zh-CN"/>
        </w:rPr>
        <w:t xml:space="preserve">：是对自己的应对能力和资源条件的评价过程，主要对个体是否可以克服应激性事件所带来的“伤害”、“威胁”或“挑战”做出评估。所以次级评价又被称为应对评价。其核心的问题是：“对这个问题我能做什么？”以及“这些应对策略的有效性如何？” </w:t>
      </w:r>
    </w:p>
    <w:p w14:paraId="62FC7C7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w:t>
      </w:r>
      <w:r>
        <w:rPr>
          <w:rFonts w:hint="eastAsia" w:ascii="宋体" w:hAnsi="宋体" w:eastAsia="宋体" w:cs="宋体"/>
          <w:b/>
          <w:bCs/>
          <w:i w:val="0"/>
          <w:shadow w:val="0"/>
          <w:emboss w:val="0"/>
          <w:sz w:val="21"/>
          <w:u w:val="none"/>
          <w:lang w:eastAsia="zh-CN"/>
        </w:rPr>
        <w:t>把压力视为挑战，就更能赢得胜利</w:t>
      </w:r>
    </w:p>
    <w:p w14:paraId="4AA2D5A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 xml:space="preserve">              北京时间2024年8月5日凌晨，由徐嘉余、覃海洋、孙佳俊、潘展乐组成的中国男子4×100米混合泳接力队在拉德芳斯体育馆掀开了中国游泳的全新篇章，以3分27秒46夺得巴黎奥运会金牌。这是中国男子游泳在奥运会上夺得的首枚接力项目金牌。比赛压力是巨大的，但是把它当成挑战，就能激发出巨大的潜能。</w:t>
      </w:r>
    </w:p>
    <w:p w14:paraId="0E1976C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w:t>
      </w:r>
      <w:r>
        <w:rPr>
          <w:rFonts w:hint="eastAsia" w:ascii="宋体" w:hAnsi="宋体" w:eastAsia="宋体" w:cs="宋体"/>
          <w:b/>
          <w:bCs/>
          <w:i w:val="0"/>
          <w:shadow w:val="0"/>
          <w:emboss w:val="0"/>
          <w:sz w:val="21"/>
          <w:u w:val="none"/>
          <w:lang w:eastAsia="zh-CN"/>
        </w:rPr>
        <w:t>认知评价的中介影响因素</w:t>
      </w:r>
    </w:p>
    <w:p w14:paraId="1E153ED3">
      <w:pPr>
        <w:keepNext w:val="0"/>
        <w:keepLines w:val="0"/>
        <w:pageBreakBefore w:val="0"/>
        <w:widowControl w:val="0"/>
        <w:numPr>
          <w:ilvl w:val="0"/>
          <w:numId w:val="22"/>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自尊：这个世界上没有任何人、任何事能伤害你，除非你自己允许。</w:t>
      </w:r>
    </w:p>
    <w:p w14:paraId="6B639658">
      <w:pPr>
        <w:keepNext w:val="0"/>
        <w:keepLines w:val="0"/>
        <w:pageBreakBefore w:val="0"/>
        <w:widowControl w:val="0"/>
        <w:numPr>
          <w:ilvl w:val="0"/>
          <w:numId w:val="23"/>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sz w:val="21"/>
          <w:lang w:eastAsia="zh-CN"/>
        </w:rPr>
        <w:t>心理控制源  自我效能  归因风格</w:t>
      </w:r>
    </w:p>
    <w:p w14:paraId="4F6FD71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i w:val="0"/>
          <w:shadow w:val="0"/>
          <w:emboss w:val="0"/>
          <w:sz w:val="22"/>
          <w:szCs w:val="28"/>
          <w:u w:val="none"/>
          <w:lang w:eastAsia="zh-CN"/>
        </w:rPr>
      </w:pPr>
      <w:r>
        <w:rPr>
          <w:rFonts w:hint="eastAsia" w:ascii="宋体" w:hAnsi="宋体" w:eastAsia="宋体" w:cs="宋体"/>
          <w:b/>
          <w:bCs/>
          <w:i w:val="0"/>
          <w:shadow w:val="0"/>
          <w:emboss w:val="0"/>
          <w:sz w:val="22"/>
          <w:szCs w:val="28"/>
          <w:u w:val="none"/>
          <w:lang w:eastAsia="zh-CN"/>
        </w:rPr>
        <w:t>第五节　 应对方式</w:t>
      </w:r>
    </w:p>
    <w:p w14:paraId="4561443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sz w:val="21"/>
          <w:lang w:eastAsia="zh-CN"/>
        </w:rPr>
      </w:pPr>
      <w:r>
        <w:rPr>
          <w:rFonts w:hint="eastAsia" w:ascii="宋体" w:hAnsi="宋体" w:eastAsia="宋体" w:cs="宋体"/>
          <w:b/>
          <w:bCs/>
          <w:sz w:val="21"/>
          <w:lang w:eastAsia="zh-CN"/>
        </w:rPr>
        <w:t>一、应对概念</w:t>
      </w:r>
    </w:p>
    <w:p w14:paraId="3810D90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1．应对定义（coping）     是个体对生活事件以及因生活事件而出现的自身不平衡状态所采取的认知和行为措施。应对又称应付，被认为是 影响应激结果的重要中间变量。</w:t>
      </w:r>
    </w:p>
    <w:p w14:paraId="47CDBC8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2．应对概念的把握：</w:t>
      </w:r>
      <w:r>
        <w:rPr>
          <w:rFonts w:hint="eastAsia" w:ascii="宋体" w:hAnsi="宋体" w:eastAsia="宋体" w:cs="宋体"/>
          <w:b w:val="0"/>
          <w:bCs w:val="0"/>
          <w:i w:val="0"/>
          <w:shadow w:val="0"/>
          <w:emboss w:val="0"/>
          <w:sz w:val="21"/>
          <w:u w:val="none"/>
          <w:lang w:eastAsia="zh-CN"/>
        </w:rPr>
        <w:t>应对概念的涵义是很广的，或者说应对是多维度的。</w:t>
      </w:r>
    </w:p>
    <w:p w14:paraId="686DED6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（1）应对是针对应激性事件采取的任何认知和行为的措施，所以从遇到或预期将要遇到应激性事件开始，个体就已经在作应对的努力了。</w:t>
      </w:r>
    </w:p>
    <w:p w14:paraId="23F4FDD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（2）应对的涵义很广，从应对与应激过程的关系看，应对活动涉及应激作用过程的各个环节，包括应激源、认知评价、社会支持、应激反应等。</w:t>
      </w:r>
    </w:p>
    <w:p w14:paraId="5779968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（3）应对的努力有两个方向，要么改变环境，要么改变自身。</w:t>
      </w:r>
    </w:p>
    <w:p w14:paraId="43290D2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（4）应对可以是有意识的，比如采用各种应对策略；也可以是无意识的，比如自发地运用心理防御机制。</w:t>
      </w:r>
    </w:p>
    <w:p w14:paraId="57D9732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（5）应对方式可能是健康的，比如放松、锻炼、寻求社会支持等；也可能是不健康的，比如吸烟、喝酒、暴食、退缩、攻击等。</w:t>
      </w:r>
    </w:p>
    <w:p w14:paraId="53DFDE4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（6）应对的目标是心身重新达到平衡，也即重新适应环境，并尽量减少痛苦和烦恼。但是应对的目标不一定能实现。</w:t>
      </w:r>
    </w:p>
    <w:p w14:paraId="3502966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rPr>
      </w:pPr>
      <w:r>
        <w:rPr>
          <w:rFonts w:hint="eastAsia" w:ascii="宋体" w:hAnsi="宋体" w:eastAsia="宋体" w:cs="宋体"/>
          <w:b w:val="0"/>
          <w:bCs w:val="0"/>
          <w:sz w:val="21"/>
          <w:lang w:eastAsia="zh-CN"/>
        </w:rPr>
        <w:t xml:space="preserve">（7）既然应对是认知和行为的措施，所以有效的应对策略是可以学会的，因此，可以通过应对技巧指导帮助个体学会在应激状态下运用有效的应对策略。 </w:t>
      </w:r>
    </w:p>
    <w:p w14:paraId="7BBF338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 xml:space="preserve">二、应对方式的分类  </w:t>
      </w:r>
    </w:p>
    <w:p w14:paraId="502F521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sz w:val="21"/>
          <w:lang w:eastAsia="zh-CN"/>
        </w:rPr>
      </w:pPr>
      <w:r>
        <w:rPr>
          <w:rFonts w:hint="eastAsia" w:ascii="宋体" w:hAnsi="宋体" w:eastAsia="宋体" w:cs="宋体"/>
          <w:b/>
          <w:bCs/>
          <w:sz w:val="21"/>
          <w:lang w:eastAsia="zh-CN"/>
        </w:rPr>
        <w:t>1.根据应对的指向分类</w:t>
      </w:r>
    </w:p>
    <w:p w14:paraId="5F63C17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 xml:space="preserve">  </w:t>
      </w:r>
      <w:r>
        <w:rPr>
          <w:rFonts w:hint="eastAsia" w:ascii="宋体" w:hAnsi="宋体" w:eastAsia="宋体" w:cs="宋体"/>
          <w:b/>
          <w:bCs/>
          <w:sz w:val="21"/>
          <w:lang w:eastAsia="zh-CN"/>
        </w:rPr>
        <w:t>针对问题</w:t>
      </w:r>
      <w:r>
        <w:rPr>
          <w:rFonts w:hint="eastAsia" w:ascii="宋体" w:hAnsi="宋体" w:eastAsia="宋体" w:cs="宋体"/>
          <w:b w:val="0"/>
          <w:bCs w:val="0"/>
          <w:sz w:val="21"/>
          <w:lang w:eastAsia="zh-CN"/>
        </w:rPr>
        <w:t>的应对(problem-focused coping）</w:t>
      </w:r>
      <w:r>
        <w:rPr>
          <w:rFonts w:hint="eastAsia" w:ascii="宋体" w:hAnsi="宋体" w:eastAsia="宋体" w:cs="宋体"/>
          <w:b/>
          <w:bCs/>
          <w:sz w:val="21"/>
          <w:lang w:eastAsia="zh-CN"/>
        </w:rPr>
        <w:t>针对情绪</w:t>
      </w:r>
      <w:r>
        <w:rPr>
          <w:rFonts w:hint="eastAsia" w:ascii="宋体" w:hAnsi="宋体" w:eastAsia="宋体" w:cs="宋体"/>
          <w:b w:val="0"/>
          <w:bCs w:val="0"/>
          <w:sz w:val="21"/>
          <w:lang w:eastAsia="zh-CN"/>
        </w:rPr>
        <w:t>的应对(emotion-focused coping)</w:t>
      </w:r>
    </w:p>
    <w:p w14:paraId="6B7D2F47">
      <w:pPr>
        <w:keepNext w:val="0"/>
        <w:keepLines w:val="0"/>
        <w:pageBreakBefore w:val="0"/>
        <w:widowControl w:val="0"/>
        <w:numPr>
          <w:ilvl w:val="0"/>
          <w:numId w:val="24"/>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拉扎勒斯和Folkman根据应对的功能把应对分为问题关注应对与情绪关注应对，并区分出了8种应对策略。</w:t>
      </w:r>
    </w:p>
    <w:p w14:paraId="5FB2D7A1">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面对应对(问题关注)：坚定而自信地采取行动，通过积极主动的努力来改变应激情境。例如，王先生的参加保险的保险公司不愿支付他的手术费用，他可能去据理力争。</w:t>
      </w:r>
    </w:p>
    <w:p w14:paraId="2C82AD74">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有计划地解决问题(问题关注)：分析情境找到解决问题的办法，直接采取行动解决问题。例如，王先生查找和研究许多肿瘤专家的资料后，决定住进他最信任的肿瘤专家张教授所在医院，选择张教授作为他的主治医生。</w:t>
      </w:r>
    </w:p>
    <w:p w14:paraId="6C0011BB">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寻求社会支持(问题关注或情绪关注)：努力获得信息或情感支持。例如，王先生可能会向朋友、护士和不同专家了解有关肝癌的信息（信息支持具备问题关注功能），向妻子诉说他的担忧以得到安慰和鼓励(情绪关注功能)。</w:t>
      </w:r>
    </w:p>
    <w:p w14:paraId="087AAB3E">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sz w:val="21"/>
          <w:lang w:eastAsia="zh-CN"/>
        </w:rPr>
        <w:t xml:space="preserve">自我控制(情绪关注)：努力调节自己与问题有关的情感。例如，王先生虽然因为觉得命运对自己不公平而有愤怒和怨恨，但他隐藏自己的感情以避免伤害妻子和医护人员。 </w:t>
      </w:r>
    </w:p>
    <w:p w14:paraId="0968661F">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保持距离(情绪关注)：做出努力让自己远离应激性情境，通过调整认知把自己和情境分开或用积极的观点看待。王先生可能尽力不去想他正面临的危及生命的健康问题或尽量轻视它们。</w:t>
      </w:r>
    </w:p>
    <w:p w14:paraId="751BC193">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承担责任(情绪关注)：接受自己在困境中的角色和承担自己在问题中的责任。如，王先生可能会告诫自己保持心境的平和，要注意饮食和睡眠，要配合治疗。</w:t>
      </w:r>
    </w:p>
    <w:p w14:paraId="594B82CA">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积极重新评价(情绪关注)：努力寻找应激性情境对于个人成长的积极意义。例如，王先生认为，老天让自己生癌症就是要让我明白活着是多么美好、亲情是多么温暖、健康的生活方式是多么重要，我以前忙于工作忽略了蓝天白云、碧水青山，忽略了妻子孩子，以前应酬时喝那么多酒真是慢性自杀。</w:t>
      </w:r>
    </w:p>
    <w:p w14:paraId="2011D931">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sz w:val="21"/>
          <w:lang w:eastAsia="zh-CN"/>
        </w:rPr>
        <w:t>逃跑/回避(情绪关注)：通过幻想、暴饮暴食、酗酒、吸烟、吸毒、服用药物等方法来逃脱或回避困境。例如，王先生可能沉溺于发生奇迹的幻想中，如一夜醒来，肿瘤不见了；也可能会通过睡觉或酗酒来逃避残酷的现实。</w:t>
      </w:r>
    </w:p>
    <w:p w14:paraId="172D91A8">
      <w:pPr>
        <w:keepNext w:val="0"/>
        <w:keepLines w:val="0"/>
        <w:pageBreakBefore w:val="0"/>
        <w:widowControl w:val="0"/>
        <w:numPr>
          <w:ilvl w:val="0"/>
          <w:numId w:val="25"/>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根据应对的过程分类</w:t>
      </w:r>
    </w:p>
    <w:p w14:paraId="12AF7106">
      <w:pPr>
        <w:keepNext w:val="0"/>
        <w:keepLines w:val="0"/>
        <w:pageBreakBefore w:val="0"/>
        <w:widowControl w:val="0"/>
        <w:numPr>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val="0"/>
        </w:rPr>
      </w:pPr>
      <w:r>
        <w:rPr>
          <w:rFonts w:hint="eastAsia" w:ascii="宋体" w:hAnsi="宋体" w:eastAsia="宋体" w:cs="宋体"/>
          <w:b w:val="0"/>
          <w:bCs w:val="0"/>
          <w:sz w:val="21"/>
          <w:lang w:eastAsia="zh-CN"/>
        </w:rPr>
        <w:t>过程应对（process-oriented coping）特质应对（trait-oriented coping）</w:t>
      </w:r>
    </w:p>
    <w:p w14:paraId="261F976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三、应对病因学意义</w:t>
      </w:r>
    </w:p>
    <w:p w14:paraId="5555E74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 xml:space="preserve">   应对影响心身健康。如：采用否认或抗争精神应对方式的癌症病人比采用失助绝望应对方式的存活时间更长；采用失助应对方式更容易抑郁。</w:t>
      </w:r>
    </w:p>
    <w:p w14:paraId="2E20F92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i w:val="0"/>
          <w:shadow w:val="0"/>
          <w:emboss w:val="0"/>
          <w:sz w:val="22"/>
          <w:szCs w:val="28"/>
          <w:u w:val="none"/>
          <w:lang w:eastAsia="zh-CN"/>
        </w:rPr>
      </w:pPr>
      <w:r>
        <w:rPr>
          <w:rFonts w:hint="eastAsia" w:ascii="宋体" w:hAnsi="宋体" w:eastAsia="宋体" w:cs="宋体"/>
          <w:b/>
          <w:bCs/>
          <w:i w:val="0"/>
          <w:shadow w:val="0"/>
          <w:emboss w:val="0"/>
          <w:sz w:val="22"/>
          <w:szCs w:val="28"/>
          <w:u w:val="none"/>
          <w:lang w:eastAsia="zh-CN"/>
        </w:rPr>
        <w:t>第六节   社会支持</w:t>
      </w:r>
    </w:p>
    <w:p w14:paraId="33CDF6E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sz w:val="21"/>
          <w:lang w:eastAsia="zh-CN"/>
        </w:rPr>
      </w:pPr>
      <w:r>
        <w:rPr>
          <w:rFonts w:hint="eastAsia" w:ascii="宋体" w:hAnsi="宋体" w:eastAsia="宋体" w:cs="宋体"/>
          <w:b/>
          <w:bCs/>
          <w:sz w:val="21"/>
          <w:lang w:eastAsia="zh-CN"/>
        </w:rPr>
        <w:t>一、概念</w:t>
      </w:r>
      <w:r>
        <w:rPr>
          <w:rFonts w:hint="eastAsia" w:ascii="宋体" w:hAnsi="宋体" w:eastAsia="宋体" w:cs="宋体"/>
          <w:b w:val="0"/>
          <w:bCs w:val="0"/>
          <w:sz w:val="21"/>
          <w:lang w:eastAsia="zh-CN"/>
        </w:rPr>
        <w:t>：    又称社会网络，是指个体来自社会的精神上和物质上的帮助和支援，反映了一个人与社会联系的密切程度和质量，具有减轻应激的作用。</w:t>
      </w:r>
    </w:p>
    <w:p w14:paraId="1FCC3359">
      <w:pPr>
        <w:keepNext w:val="0"/>
        <w:keepLines w:val="0"/>
        <w:pageBreakBefore w:val="0"/>
        <w:widowControl w:val="0"/>
        <w:numPr>
          <w:ilvl w:val="0"/>
          <w:numId w:val="26"/>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社会支持对伤口愈合中应激所致的损害的缓冲作用（Kiecolt-Glaser,2006） </w:t>
      </w:r>
    </w:p>
    <w:p w14:paraId="79A5C333">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被试:41名医学生   应激源：学业考试</w:t>
      </w:r>
    </w:p>
    <w:p w14:paraId="1D7C88D3">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伤口制造：使用抽吸设备在被试的非利手前臂的皮肤上制造水泡创伤，共2次。一次是在非考试时期（基线），另一次是在考试前3天。</w:t>
      </w:r>
    </w:p>
    <w:p w14:paraId="0FCCAC98">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sz w:val="21"/>
          <w:lang w:eastAsia="zh-CN"/>
        </w:rPr>
        <w:t xml:space="preserve">结果：在第一次非考试时期的创伤制造后伤口很快愈合的被试有23人，他们的愈合时间平均为4天，这些人中，第二次在考试应激情境下创伤愈合速率仍然很快的有14人，愈合时间依旧平均为4天，而另9个被试第二次的创伤愈合速率明显变慢了，平均为8天。那14个在应激情境下伤口愈合速率仍然很快的被试，其在《人际支持评价量表》上的社会支持得分，显著地高于另9个在应激情境下伤口愈合速率明显变慢的被试，而在《察知的应激量表》上的得分则显著地低于另9个被试。 </w:t>
      </w:r>
    </w:p>
    <w:p w14:paraId="4A7EDEB8">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二、社会支持对健康保护作用的机制：</w:t>
      </w:r>
    </w:p>
    <w:p w14:paraId="57560178">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left"/>
        <w:textAlignment w:val="auto"/>
        <w:rPr>
          <w:rFonts w:hint="eastAsia" w:ascii="宋体" w:hAnsi="宋体" w:eastAsia="宋体" w:cs="宋体"/>
          <w:b w:val="0"/>
          <w:bCs w:val="0"/>
        </w:rPr>
      </w:pPr>
      <w:r>
        <w:rPr>
          <w:rFonts w:hint="eastAsia" w:ascii="宋体" w:hAnsi="宋体" w:eastAsia="宋体" w:cs="宋体"/>
          <w:b w:val="0"/>
          <w:bCs w:val="0"/>
          <w:sz w:val="21"/>
          <w:lang w:eastAsia="zh-CN"/>
        </w:rPr>
        <w:t>大多数情况下，社会支持对健康具有保护作用。</w:t>
      </w:r>
      <w:r>
        <w:rPr>
          <w:rFonts w:hint="eastAsia" w:ascii="宋体" w:hAnsi="宋体" w:eastAsia="宋体" w:cs="宋体"/>
          <w:b/>
          <w:bCs/>
          <w:sz w:val="21"/>
          <w:lang w:eastAsia="zh-CN"/>
        </w:rPr>
        <w:t>缓冲作用假说；独立作用假说</w:t>
      </w:r>
    </w:p>
    <w:p w14:paraId="48238FFF">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支持缓冲作用假说的证据：Schwarzer等在1989年至1991年间对西柏林的235名东德移民进行了应激性事件（失业）与社会支持、健康之间的相关性研究。结果显示，社会支持对未失业组被试的健康影响较小，而对失业组被试的健康影响较大；在失业组中，社会支持水平较高的被试的躯体症状远远少于社会支持水平较低的被试。该研究结果就说明了社会支持在个体遇到“失业”这样的应激性事件时，社会支持起到了缓冲作用。</w:t>
      </w:r>
    </w:p>
    <w:p w14:paraId="4F8C83F0">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rPr>
      </w:pPr>
      <w:r>
        <w:rPr>
          <w:rFonts w:hint="eastAsia" w:ascii="宋体" w:hAnsi="宋体" w:eastAsia="宋体" w:cs="宋体"/>
          <w:b w:val="0"/>
          <w:bCs w:val="0"/>
          <w:sz w:val="21"/>
          <w:lang w:eastAsia="zh-CN"/>
        </w:rPr>
        <w:t>支持独立作用假说的证据： L Berkman等人（1979）对超过4700名的年龄在30-69岁的男性和女性被试进行的为期9年的一项前瞻性研究显示，排除了研究开始时的社会经济地位、健康状况和日常健康习惯的影响之后，被试具有的社会支持程度越高，在研究期间死亡的可能性就越低。Susser（1981）在对许多文献进行总结后发现，成年人如果缺乏稳定的婚姻关系，则易患肺结核、流行性感冒、肺炎、心脏病、癌症等多种疾病。</w:t>
      </w:r>
    </w:p>
    <w:p w14:paraId="1D81B453">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2"/>
          <w:szCs w:val="28"/>
          <w:u w:val="none"/>
          <w:lang w:eastAsia="zh-CN"/>
        </w:rPr>
        <w:t>第七节   应激管理（压力管理）</w:t>
      </w:r>
    </w:p>
    <w:p w14:paraId="1AF1F5DA">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sz w:val="21"/>
          <w:lang w:eastAsia="zh-CN"/>
        </w:rPr>
      </w:pPr>
      <w:r>
        <w:rPr>
          <w:rFonts w:hint="eastAsia" w:ascii="宋体" w:hAnsi="宋体" w:eastAsia="宋体" w:cs="宋体"/>
          <w:b/>
          <w:bCs/>
          <w:sz w:val="21"/>
          <w:lang w:eastAsia="zh-CN"/>
        </w:rPr>
        <w:t xml:space="preserve"> 1.应激的系统管理模型</w:t>
      </w:r>
    </w:p>
    <w:p w14:paraId="0C2494D2">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因为应激涉及应激源、认知评价、应对方式、社会支持、个性特点、心身反应等多个因素，因此，应激的系统管理模型认为应激管理是一个系统工程，应该针对应激系统中的各种应激有关因素展开，从消除或降低各种应激因素的负面影响入手，达到管理的目的。应激管理技术涉及应激作用系统中的多个环节，是多种应对技巧的综合，例如：控制或回避应激源，认知重构，应激接种、利用更多社会支持，时间管理，学会幽默，松弛训练，音乐疗法，生物反馈技术，养成良好的生活习惯（保证充足的睡眠等），建立良好的饮食习惯，参加体育锻炼等，改变会产生压力的行为习惯（如拖拉），等等。</w:t>
      </w:r>
    </w:p>
    <w:p w14:paraId="3352C841">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2.常用的应激管理技术</w:t>
      </w:r>
    </w:p>
    <w:p w14:paraId="3F22E70E">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认知重构：是用更富建设性、更现实的能减轻人们的伤害或威胁性评价的想法或信念代替那些激起应激的想法或信念的过程。</w:t>
      </w:r>
    </w:p>
    <w:p w14:paraId="773AC878">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 xml:space="preserve">认知重构的过程分为4步：①认识：首先，确认和了解应激源，把你心中的挫折和忧虑都写下来（比如人际关系紧张）；其次，确定那些情境和事件为什么是应激源，尤其是要确定与它们相联系的情绪是什么、信念是什么（寝室里有个同学老是跟我作对，我很沮丧；每个人都应该喜欢我，不然我就很失败）；再次，进行认知评价，如果认知评价的结果是消极的，阻碍你解决问题，就进入下一步（我没法解决）。②重新评价：换一个不同的视角来看问题，把问题看成中性的或积极的，能确切地把握哪些因素是你能控制的，哪些因素你应该接受它是不可控制的。（我不可能讨所有人的喜欢，谁也做不到这一点）③替换：用新的思维框架代替原有的不合适的思维框架。（就算这个同学不喜欢我，也不是什么世界末日）④评价：检验新的思维框架有没有发挥作用，自己的情绪有没有改善。如果答案是肯定的，则继续采用；如果答案是否定的，则回到第2步，重新寻找合适的思维框架。 </w:t>
      </w:r>
    </w:p>
    <w:p w14:paraId="755E20AC">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应激接种：是Meichenbaum于1985年提出的一种应激管理技术，包括教育、演练和实施三个阶段。</w:t>
      </w:r>
    </w:p>
    <w:p w14:paraId="53AF4D00">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rPr>
      </w:pPr>
      <w:r>
        <w:rPr>
          <w:rFonts w:hint="eastAsia" w:ascii="宋体" w:hAnsi="宋体" w:eastAsia="宋体" w:cs="宋体"/>
          <w:b w:val="0"/>
          <w:bCs w:val="0"/>
          <w:sz w:val="21"/>
          <w:lang w:eastAsia="zh-CN"/>
        </w:rPr>
        <w:t xml:space="preserve">教育阶段主要学习应激的性质以及合适的反应；演练阶段主要是在安全的环境中实践和练习合适的应对技巧；实施阶段是把学到的应对技巧用于现实生活环境中。    </w:t>
      </w:r>
    </w:p>
    <w:p w14:paraId="448C7B3B">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松弛训练：是一种通过一定程式的训练学会精神上及躯体上放松的应激管理技术。</w:t>
      </w:r>
    </w:p>
    <w:p w14:paraId="297C9369">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left"/>
        <w:textAlignment w:val="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已有的研究表明，放松具有良好的抗应激效果，是减少应激引起的生理和心理反应、治疗因应激而引起的各种疾病的好方法。渐进性肌肉松弛训练、自生训练、松弛反应、冥想、瑜珈、太极拳、按摩等都是行之有效的放松方法。</w:t>
      </w:r>
    </w:p>
    <w:p w14:paraId="7C97918E">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时间管理：时间管理（time management）是指安排个人责任的先后次序、日程表然后执行而使自己满意的能力。</w:t>
      </w:r>
    </w:p>
    <w:p w14:paraId="485E1990">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sz w:val="21"/>
          <w:lang w:eastAsia="zh-CN"/>
        </w:rPr>
      </w:pPr>
      <w:r>
        <w:rPr>
          <w:rFonts w:hint="eastAsia" w:ascii="宋体" w:hAnsi="宋体" w:eastAsia="宋体" w:cs="宋体"/>
          <w:b/>
          <w:bCs/>
          <w:sz w:val="21"/>
          <w:lang w:eastAsia="zh-CN"/>
        </w:rPr>
        <w:t>发展时间管理技</w:t>
      </w:r>
      <w:r>
        <w:rPr>
          <w:rFonts w:hint="eastAsia" w:ascii="宋体" w:hAnsi="宋体" w:eastAsia="宋体" w:cs="宋体"/>
          <w:b w:val="0"/>
          <w:bCs w:val="0"/>
          <w:sz w:val="21"/>
          <w:lang w:eastAsia="zh-CN"/>
        </w:rPr>
        <w:t>巧可从以下几个方面着手：</w:t>
      </w:r>
    </w:p>
    <w:p w14:paraId="5661A32A">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1）给责任排定先后次序：①用ABC等级标定责任的重要性；②着重做好一件或两件值得花时间做的任务；③根据重要性-紧迫性的原则来排，把任务分别放入4个盒子，1号盒子装重要又紧迫的任务，2号盒子装重要但不紧迫的任务，3号盒子装不重要但紧迫的任务，4号盒子装不重要又不紧迫的任务。</w:t>
      </w:r>
    </w:p>
    <w:p w14:paraId="685B8B33">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（2）排定日程表：首先把时间划分成一个个任务区域；然后把每个时间区域细分，通常15-30分钟为一个小单位；把任务分类安排。</w:t>
      </w:r>
    </w:p>
    <w:p w14:paraId="171F5695">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rPr>
      </w:pPr>
      <w:r>
        <w:rPr>
          <w:rFonts w:hint="eastAsia" w:ascii="宋体" w:hAnsi="宋体" w:eastAsia="宋体" w:cs="宋体"/>
          <w:b w:val="0"/>
          <w:bCs w:val="0"/>
          <w:sz w:val="21"/>
          <w:lang w:eastAsia="zh-CN"/>
        </w:rPr>
        <w:t xml:space="preserve">（3）执行：包括给每个任务设置一个截止期；把大任务分解成几个小任务，给每个小任务设置一个截止期；一段时间只做一件事；完成一个任务就给自己奖励。 </w:t>
      </w:r>
    </w:p>
    <w:p w14:paraId="1DDF24D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推荐阅读：Brian Luke Seaward著，《压力管理策略——健康和幸福之道》（第5版）,中国轻工业出版社，2008年</w:t>
      </w:r>
    </w:p>
    <w:p w14:paraId="35D87C9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rPr>
        <w:object>
          <v:shape id="_x0000_i1026" o:spt="75" alt="" type="#_x0000_t75" style="height:314.3pt;width:485.9pt;" o:ole="t" filled="f" o:preferrelative="t" stroked="f" coordsize="21600,21600">
            <v:path/>
            <v:fill on="f" focussize="0,0"/>
            <v:stroke on="f" weight="3pt"/>
            <v:imagedata r:id="rId7" o:title=""/>
            <o:lock v:ext="edit" aspectratio="t"/>
            <w10:wrap type="none"/>
            <w10:anchorlock/>
          </v:shape>
          <o:OLEObject Type="Embed" ProgID="Paint.Picture" ShapeID="_x0000_i1026" DrawAspect="Content" ObjectID="_1468075726" r:id="rId6">
            <o:LockedField>false</o:LockedField>
          </o:OLEObject>
        </w:object>
      </w:r>
      <w:bookmarkStart w:id="0" w:name="_GoBack"/>
      <w:bookmarkEnd w:id="0"/>
      <w:r>
        <w:rPr>
          <w:rFonts w:hint="eastAsia" w:ascii="宋体" w:hAnsi="宋体" w:eastAsia="宋体" w:cs="宋体"/>
          <w:b w:val="0"/>
          <w:bCs w:val="0"/>
        </w:rPr>
        <w:drawing>
          <wp:inline distT="0" distB="0" distL="114300" distR="114300">
            <wp:extent cx="6209665" cy="3042285"/>
            <wp:effectExtent l="0" t="0" r="635" b="5715"/>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pic:cNvPicPr>
                  </pic:nvPicPr>
                  <pic:blipFill>
                    <a:blip r:embed="rId8"/>
                    <a:stretch>
                      <a:fillRect/>
                    </a:stretch>
                  </pic:blipFill>
                  <pic:spPr>
                    <a:xfrm>
                      <a:off x="0" y="0"/>
                      <a:ext cx="6209665" cy="3042285"/>
                    </a:xfrm>
                    <a:prstGeom prst="rect">
                      <a:avLst/>
                    </a:prstGeom>
                    <a:noFill/>
                    <a:ln>
                      <a:noFill/>
                    </a:ln>
                  </pic:spPr>
                </pic:pic>
              </a:graphicData>
            </a:graphic>
          </wp:inline>
        </w:drawing>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00"/>
    <w:family w:val="auto"/>
    <w:pitch w:val="default"/>
    <w:sig w:usb0="00000000" w:usb1="00000000" w:usb2="00000000" w:usb3="00000000" w:csb0="00040001" w:csb1="00000000"/>
  </w:font>
  <w:font w:name="隶书">
    <w:panose1 w:val="02010509060101010101"/>
    <w:charset w:val="86"/>
    <w:family w:val="auto"/>
    <w:pitch w:val="default"/>
    <w:sig w:usb0="00000001" w:usb1="080E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8127E4"/>
    <w:multiLevelType w:val="singleLevel"/>
    <w:tmpl w:val="938127E4"/>
    <w:lvl w:ilvl="0" w:tentative="0">
      <w:start w:val="1"/>
      <w:numFmt w:val="bullet"/>
      <w:lvlText w:val=""/>
      <w:lvlJc w:val="left"/>
      <w:pPr>
        <w:ind w:left="420" w:hanging="420"/>
      </w:pPr>
      <w:rPr>
        <w:rFonts w:hint="default" w:ascii="Wingdings" w:hAnsi="Wingdings"/>
      </w:rPr>
    </w:lvl>
  </w:abstractNum>
  <w:abstractNum w:abstractNumId="1">
    <w:nsid w:val="991A5F14"/>
    <w:multiLevelType w:val="singleLevel"/>
    <w:tmpl w:val="991A5F14"/>
    <w:lvl w:ilvl="0" w:tentative="0">
      <w:start w:val="1"/>
      <w:numFmt w:val="bullet"/>
      <w:lvlText w:val=""/>
      <w:lvlJc w:val="left"/>
      <w:pPr>
        <w:ind w:left="420" w:hanging="420"/>
      </w:pPr>
      <w:rPr>
        <w:rFonts w:hint="default" w:ascii="Wingdings" w:hAnsi="Wingdings"/>
      </w:rPr>
    </w:lvl>
  </w:abstractNum>
  <w:abstractNum w:abstractNumId="2">
    <w:nsid w:val="ADD4C85E"/>
    <w:multiLevelType w:val="singleLevel"/>
    <w:tmpl w:val="ADD4C85E"/>
    <w:lvl w:ilvl="0" w:tentative="0">
      <w:start w:val="1"/>
      <w:numFmt w:val="bullet"/>
      <w:lvlText w:val=""/>
      <w:lvlJc w:val="left"/>
      <w:pPr>
        <w:ind w:left="420" w:hanging="420"/>
      </w:pPr>
      <w:rPr>
        <w:rFonts w:hint="default" w:ascii="Wingdings" w:hAnsi="Wingdings"/>
      </w:rPr>
    </w:lvl>
  </w:abstractNum>
  <w:abstractNum w:abstractNumId="3">
    <w:nsid w:val="BE153C67"/>
    <w:multiLevelType w:val="singleLevel"/>
    <w:tmpl w:val="BE153C67"/>
    <w:lvl w:ilvl="0" w:tentative="0">
      <w:start w:val="1"/>
      <w:numFmt w:val="bullet"/>
      <w:lvlText w:val=""/>
      <w:lvlJc w:val="left"/>
      <w:pPr>
        <w:ind w:left="420" w:hanging="420"/>
      </w:pPr>
      <w:rPr>
        <w:rFonts w:hint="default" w:ascii="Wingdings" w:hAnsi="Wingdings"/>
      </w:rPr>
    </w:lvl>
  </w:abstractNum>
  <w:abstractNum w:abstractNumId="4">
    <w:nsid w:val="C88A85CE"/>
    <w:multiLevelType w:val="singleLevel"/>
    <w:tmpl w:val="C88A85CE"/>
    <w:lvl w:ilvl="0" w:tentative="0">
      <w:start w:val="1"/>
      <w:numFmt w:val="bullet"/>
      <w:lvlText w:val=""/>
      <w:lvlJc w:val="left"/>
      <w:pPr>
        <w:ind w:left="420" w:hanging="420"/>
      </w:pPr>
      <w:rPr>
        <w:rFonts w:hint="default" w:ascii="Wingdings" w:hAnsi="Wingdings"/>
      </w:rPr>
    </w:lvl>
  </w:abstractNum>
  <w:abstractNum w:abstractNumId="5">
    <w:nsid w:val="CC93B3B3"/>
    <w:multiLevelType w:val="singleLevel"/>
    <w:tmpl w:val="CC93B3B3"/>
    <w:lvl w:ilvl="0" w:tentative="0">
      <w:start w:val="1"/>
      <w:numFmt w:val="bullet"/>
      <w:lvlText w:val=""/>
      <w:lvlJc w:val="left"/>
      <w:pPr>
        <w:ind w:left="420" w:hanging="420"/>
      </w:pPr>
      <w:rPr>
        <w:rFonts w:hint="default" w:ascii="Wingdings" w:hAnsi="Wingdings"/>
      </w:rPr>
    </w:lvl>
  </w:abstractNum>
  <w:abstractNum w:abstractNumId="6">
    <w:nsid w:val="E0A60867"/>
    <w:multiLevelType w:val="singleLevel"/>
    <w:tmpl w:val="E0A60867"/>
    <w:lvl w:ilvl="0" w:tentative="0">
      <w:start w:val="1"/>
      <w:numFmt w:val="bullet"/>
      <w:lvlText w:val=""/>
      <w:lvlJc w:val="left"/>
      <w:pPr>
        <w:ind w:left="420" w:hanging="420"/>
      </w:pPr>
      <w:rPr>
        <w:rFonts w:hint="default" w:ascii="Wingdings" w:hAnsi="Wingdings"/>
      </w:rPr>
    </w:lvl>
  </w:abstractNum>
  <w:abstractNum w:abstractNumId="7">
    <w:nsid w:val="E516593A"/>
    <w:multiLevelType w:val="singleLevel"/>
    <w:tmpl w:val="E516593A"/>
    <w:lvl w:ilvl="0" w:tentative="0">
      <w:start w:val="1"/>
      <w:numFmt w:val="bullet"/>
      <w:lvlText w:val=""/>
      <w:lvlJc w:val="left"/>
      <w:pPr>
        <w:ind w:left="420" w:hanging="420"/>
      </w:pPr>
      <w:rPr>
        <w:rFonts w:hint="default" w:ascii="Wingdings" w:hAnsi="Wingdings"/>
      </w:rPr>
    </w:lvl>
  </w:abstractNum>
  <w:abstractNum w:abstractNumId="8">
    <w:nsid w:val="FE29A50A"/>
    <w:multiLevelType w:val="singleLevel"/>
    <w:tmpl w:val="FE29A50A"/>
    <w:lvl w:ilvl="0" w:tentative="0">
      <w:start w:val="1"/>
      <w:numFmt w:val="bullet"/>
      <w:lvlText w:val=""/>
      <w:lvlJc w:val="left"/>
      <w:pPr>
        <w:ind w:left="420" w:hanging="420"/>
      </w:pPr>
      <w:rPr>
        <w:rFonts w:hint="default" w:ascii="Wingdings" w:hAnsi="Wingdings"/>
      </w:rPr>
    </w:lvl>
  </w:abstractNum>
  <w:abstractNum w:abstractNumId="9">
    <w:nsid w:val="0CCAA161"/>
    <w:multiLevelType w:val="singleLevel"/>
    <w:tmpl w:val="0CCAA161"/>
    <w:lvl w:ilvl="0" w:tentative="0">
      <w:start w:val="1"/>
      <w:numFmt w:val="bullet"/>
      <w:lvlText w:val=""/>
      <w:lvlJc w:val="left"/>
      <w:pPr>
        <w:ind w:left="420" w:hanging="420"/>
      </w:pPr>
      <w:rPr>
        <w:rFonts w:hint="default" w:ascii="Wingdings" w:hAnsi="Wingdings"/>
      </w:rPr>
    </w:lvl>
  </w:abstractNum>
  <w:abstractNum w:abstractNumId="10">
    <w:nsid w:val="0EC7AE03"/>
    <w:multiLevelType w:val="singleLevel"/>
    <w:tmpl w:val="0EC7AE03"/>
    <w:lvl w:ilvl="0" w:tentative="0">
      <w:start w:val="1"/>
      <w:numFmt w:val="bullet"/>
      <w:lvlText w:val=""/>
      <w:lvlJc w:val="left"/>
      <w:pPr>
        <w:ind w:left="420" w:hanging="420"/>
      </w:pPr>
      <w:rPr>
        <w:rFonts w:hint="default" w:ascii="Wingdings" w:hAnsi="Wingdings"/>
      </w:rPr>
    </w:lvl>
  </w:abstractNum>
  <w:abstractNum w:abstractNumId="11">
    <w:nsid w:val="0F33872B"/>
    <w:multiLevelType w:val="singleLevel"/>
    <w:tmpl w:val="0F33872B"/>
    <w:lvl w:ilvl="0" w:tentative="0">
      <w:start w:val="1"/>
      <w:numFmt w:val="bullet"/>
      <w:lvlText w:val=""/>
      <w:lvlJc w:val="left"/>
      <w:pPr>
        <w:ind w:left="420" w:hanging="420"/>
      </w:pPr>
      <w:rPr>
        <w:rFonts w:hint="default" w:ascii="Wingdings" w:hAnsi="Wingdings"/>
      </w:rPr>
    </w:lvl>
  </w:abstractNum>
  <w:abstractNum w:abstractNumId="12">
    <w:nsid w:val="152FC0C9"/>
    <w:multiLevelType w:val="singleLevel"/>
    <w:tmpl w:val="152FC0C9"/>
    <w:lvl w:ilvl="0" w:tentative="0">
      <w:start w:val="1"/>
      <w:numFmt w:val="bullet"/>
      <w:lvlText w:val=""/>
      <w:lvlJc w:val="left"/>
      <w:pPr>
        <w:ind w:left="420" w:hanging="420"/>
      </w:pPr>
      <w:rPr>
        <w:rFonts w:hint="default" w:ascii="Wingdings" w:hAnsi="Wingdings"/>
      </w:rPr>
    </w:lvl>
  </w:abstractNum>
  <w:abstractNum w:abstractNumId="13">
    <w:nsid w:val="175CF86E"/>
    <w:multiLevelType w:val="singleLevel"/>
    <w:tmpl w:val="175CF86E"/>
    <w:lvl w:ilvl="0" w:tentative="0">
      <w:start w:val="1"/>
      <w:numFmt w:val="bullet"/>
      <w:lvlText w:val=""/>
      <w:lvlJc w:val="left"/>
      <w:pPr>
        <w:ind w:left="420" w:hanging="420"/>
      </w:pPr>
      <w:rPr>
        <w:rFonts w:hint="default" w:ascii="Wingdings" w:hAnsi="Wingdings"/>
      </w:rPr>
    </w:lvl>
  </w:abstractNum>
  <w:abstractNum w:abstractNumId="14">
    <w:nsid w:val="20AA67D1"/>
    <w:multiLevelType w:val="singleLevel"/>
    <w:tmpl w:val="20AA67D1"/>
    <w:lvl w:ilvl="0" w:tentative="0">
      <w:start w:val="1"/>
      <w:numFmt w:val="bullet"/>
      <w:lvlText w:val=""/>
      <w:lvlJc w:val="left"/>
      <w:pPr>
        <w:ind w:left="420" w:hanging="420"/>
      </w:pPr>
      <w:rPr>
        <w:rFonts w:hint="default" w:ascii="Wingdings" w:hAnsi="Wingdings"/>
      </w:rPr>
    </w:lvl>
  </w:abstractNum>
  <w:abstractNum w:abstractNumId="15">
    <w:nsid w:val="23799848"/>
    <w:multiLevelType w:val="singleLevel"/>
    <w:tmpl w:val="23799848"/>
    <w:lvl w:ilvl="0" w:tentative="0">
      <w:start w:val="1"/>
      <w:numFmt w:val="bullet"/>
      <w:lvlText w:val=""/>
      <w:lvlJc w:val="left"/>
      <w:pPr>
        <w:ind w:left="420" w:hanging="420"/>
      </w:pPr>
      <w:rPr>
        <w:rFonts w:hint="default" w:ascii="Wingdings" w:hAnsi="Wingdings"/>
      </w:rPr>
    </w:lvl>
  </w:abstractNum>
  <w:abstractNum w:abstractNumId="16">
    <w:nsid w:val="25CDEBF9"/>
    <w:multiLevelType w:val="singleLevel"/>
    <w:tmpl w:val="25CDEBF9"/>
    <w:lvl w:ilvl="0" w:tentative="0">
      <w:start w:val="1"/>
      <w:numFmt w:val="bullet"/>
      <w:lvlText w:val=""/>
      <w:lvlJc w:val="left"/>
      <w:pPr>
        <w:ind w:left="420" w:hanging="420"/>
      </w:pPr>
      <w:rPr>
        <w:rFonts w:hint="default" w:ascii="Wingdings" w:hAnsi="Wingdings"/>
      </w:rPr>
    </w:lvl>
  </w:abstractNum>
  <w:abstractNum w:abstractNumId="17">
    <w:nsid w:val="2C1186EA"/>
    <w:multiLevelType w:val="singleLevel"/>
    <w:tmpl w:val="2C1186EA"/>
    <w:lvl w:ilvl="0" w:tentative="0">
      <w:start w:val="1"/>
      <w:numFmt w:val="bullet"/>
      <w:lvlText w:val=""/>
      <w:lvlJc w:val="left"/>
      <w:pPr>
        <w:ind w:left="420" w:hanging="420"/>
      </w:pPr>
      <w:rPr>
        <w:rFonts w:hint="default" w:ascii="Wingdings" w:hAnsi="Wingdings"/>
      </w:rPr>
    </w:lvl>
  </w:abstractNum>
  <w:abstractNum w:abstractNumId="18">
    <w:nsid w:val="4320B9DB"/>
    <w:multiLevelType w:val="singleLevel"/>
    <w:tmpl w:val="4320B9DB"/>
    <w:lvl w:ilvl="0" w:tentative="0">
      <w:start w:val="1"/>
      <w:numFmt w:val="bullet"/>
      <w:lvlText w:val=""/>
      <w:lvlJc w:val="left"/>
      <w:pPr>
        <w:ind w:left="420" w:hanging="420"/>
      </w:pPr>
      <w:rPr>
        <w:rFonts w:hint="default" w:ascii="Wingdings" w:hAnsi="Wingdings"/>
      </w:rPr>
    </w:lvl>
  </w:abstractNum>
  <w:abstractNum w:abstractNumId="19">
    <w:nsid w:val="4F1908BF"/>
    <w:multiLevelType w:val="singleLevel"/>
    <w:tmpl w:val="4F1908BF"/>
    <w:lvl w:ilvl="0" w:tentative="0">
      <w:start w:val="1"/>
      <w:numFmt w:val="bullet"/>
      <w:lvlText w:val=""/>
      <w:lvlJc w:val="left"/>
      <w:pPr>
        <w:ind w:left="420" w:hanging="420"/>
      </w:pPr>
      <w:rPr>
        <w:rFonts w:hint="default" w:ascii="Wingdings" w:hAnsi="Wingdings"/>
      </w:rPr>
    </w:lvl>
  </w:abstractNum>
  <w:abstractNum w:abstractNumId="20">
    <w:nsid w:val="54438C72"/>
    <w:multiLevelType w:val="singleLevel"/>
    <w:tmpl w:val="54438C72"/>
    <w:lvl w:ilvl="0" w:tentative="0">
      <w:start w:val="1"/>
      <w:numFmt w:val="bullet"/>
      <w:lvlText w:val=""/>
      <w:lvlJc w:val="left"/>
      <w:pPr>
        <w:ind w:left="420" w:hanging="420"/>
      </w:pPr>
      <w:rPr>
        <w:rFonts w:hint="default" w:ascii="Wingdings" w:hAnsi="Wingdings"/>
      </w:rPr>
    </w:lvl>
  </w:abstractNum>
  <w:abstractNum w:abstractNumId="21">
    <w:nsid w:val="5CB87AB8"/>
    <w:multiLevelType w:val="singleLevel"/>
    <w:tmpl w:val="5CB87AB8"/>
    <w:lvl w:ilvl="0" w:tentative="0">
      <w:start w:val="1"/>
      <w:numFmt w:val="bullet"/>
      <w:lvlText w:val=""/>
      <w:lvlJc w:val="left"/>
      <w:pPr>
        <w:ind w:left="420" w:hanging="420"/>
      </w:pPr>
      <w:rPr>
        <w:rFonts w:hint="default" w:ascii="Wingdings" w:hAnsi="Wingdings"/>
      </w:rPr>
    </w:lvl>
  </w:abstractNum>
  <w:abstractNum w:abstractNumId="22">
    <w:nsid w:val="5CEA0755"/>
    <w:multiLevelType w:val="singleLevel"/>
    <w:tmpl w:val="5CEA0755"/>
    <w:lvl w:ilvl="0" w:tentative="0">
      <w:start w:val="1"/>
      <w:numFmt w:val="bullet"/>
      <w:lvlText w:val=""/>
      <w:lvlJc w:val="left"/>
      <w:pPr>
        <w:ind w:left="420" w:hanging="420"/>
      </w:pPr>
      <w:rPr>
        <w:rFonts w:hint="default" w:ascii="Wingdings" w:hAnsi="Wingdings"/>
      </w:rPr>
    </w:lvl>
  </w:abstractNum>
  <w:abstractNum w:abstractNumId="23">
    <w:nsid w:val="6560B23B"/>
    <w:multiLevelType w:val="singleLevel"/>
    <w:tmpl w:val="6560B23B"/>
    <w:lvl w:ilvl="0" w:tentative="0">
      <w:start w:val="1"/>
      <w:numFmt w:val="bullet"/>
      <w:lvlText w:val=""/>
      <w:lvlJc w:val="left"/>
      <w:pPr>
        <w:ind w:left="420" w:hanging="420"/>
      </w:pPr>
      <w:rPr>
        <w:rFonts w:hint="default" w:ascii="Wingdings" w:hAnsi="Wingdings"/>
      </w:rPr>
    </w:lvl>
  </w:abstractNum>
  <w:abstractNum w:abstractNumId="24">
    <w:nsid w:val="6EEF3050"/>
    <w:multiLevelType w:val="singleLevel"/>
    <w:tmpl w:val="6EEF3050"/>
    <w:lvl w:ilvl="0" w:tentative="0">
      <w:start w:val="2"/>
      <w:numFmt w:val="decimal"/>
      <w:lvlText w:val="%1."/>
      <w:lvlJc w:val="left"/>
      <w:pPr>
        <w:tabs>
          <w:tab w:val="left" w:pos="312"/>
        </w:tabs>
      </w:pPr>
    </w:lvl>
  </w:abstractNum>
  <w:abstractNum w:abstractNumId="25">
    <w:nsid w:val="7DE61B95"/>
    <w:multiLevelType w:val="singleLevel"/>
    <w:tmpl w:val="7DE61B95"/>
    <w:lvl w:ilvl="0" w:tentative="0">
      <w:start w:val="1"/>
      <w:numFmt w:val="bullet"/>
      <w:lvlText w:val=""/>
      <w:lvlJc w:val="left"/>
      <w:pPr>
        <w:ind w:left="420" w:hanging="420"/>
      </w:pPr>
      <w:rPr>
        <w:rFonts w:hint="default" w:ascii="Wingdings" w:hAnsi="Wingdings"/>
      </w:rPr>
    </w:lvl>
  </w:abstractNum>
  <w:num w:numId="1">
    <w:abstractNumId w:val="22"/>
  </w:num>
  <w:num w:numId="2">
    <w:abstractNumId w:val="3"/>
  </w:num>
  <w:num w:numId="3">
    <w:abstractNumId w:val="21"/>
  </w:num>
  <w:num w:numId="4">
    <w:abstractNumId w:val="15"/>
  </w:num>
  <w:num w:numId="5">
    <w:abstractNumId w:val="4"/>
  </w:num>
  <w:num w:numId="6">
    <w:abstractNumId w:val="2"/>
  </w:num>
  <w:num w:numId="7">
    <w:abstractNumId w:val="0"/>
  </w:num>
  <w:num w:numId="8">
    <w:abstractNumId w:val="8"/>
  </w:num>
  <w:num w:numId="9">
    <w:abstractNumId w:val="23"/>
  </w:num>
  <w:num w:numId="10">
    <w:abstractNumId w:val="1"/>
  </w:num>
  <w:num w:numId="11">
    <w:abstractNumId w:val="19"/>
  </w:num>
  <w:num w:numId="12">
    <w:abstractNumId w:val="16"/>
  </w:num>
  <w:num w:numId="13">
    <w:abstractNumId w:val="20"/>
  </w:num>
  <w:num w:numId="14">
    <w:abstractNumId w:val="12"/>
  </w:num>
  <w:num w:numId="15">
    <w:abstractNumId w:val="18"/>
  </w:num>
  <w:num w:numId="16">
    <w:abstractNumId w:val="11"/>
  </w:num>
  <w:num w:numId="17">
    <w:abstractNumId w:val="25"/>
  </w:num>
  <w:num w:numId="18">
    <w:abstractNumId w:val="5"/>
  </w:num>
  <w:num w:numId="19">
    <w:abstractNumId w:val="9"/>
  </w:num>
  <w:num w:numId="20">
    <w:abstractNumId w:val="14"/>
  </w:num>
  <w:num w:numId="21">
    <w:abstractNumId w:val="10"/>
  </w:num>
  <w:num w:numId="22">
    <w:abstractNumId w:val="13"/>
  </w:num>
  <w:num w:numId="23">
    <w:abstractNumId w:val="7"/>
  </w:num>
  <w:num w:numId="24">
    <w:abstractNumId w:val="17"/>
  </w:num>
  <w:num w:numId="25">
    <w:abstractNumId w:val="24"/>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231D0B"/>
    <w:rsid w:val="21231D0B"/>
    <w:rsid w:val="58E925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Style w:val="2"/>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oleObject" Target="embeddings/oleObject2.bin"/><Relationship Id="rId5" Type="http://schemas.openxmlformats.org/officeDocument/2006/relationships/image" Target="media/image1.png"/><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8220</Words>
  <Characters>8699</Characters>
  <Lines>0</Lines>
  <Paragraphs>0</Paragraphs>
  <TotalTime>15</TotalTime>
  <ScaleCrop>false</ScaleCrop>
  <LinksUpToDate>false</LinksUpToDate>
  <CharactersWithSpaces>9282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2025-04-20T08:58:00Z</dcterms:created>
  <dc:creator>企业用户_514364845</dc:creator>
  <cp:lastModifiedBy>企业用户_514364845</cp:lastModifiedBy>
  <dcterms:modified xsi:type="dcterms:W3CDTF">2025-04-20T09:14:05Z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876024890908428F98A08701979946EF_13</vt:lpwstr>
  </property>
  <property fmtid="{D5CDD505-2E9C-101B-9397-08002B2CF9AE}" pid="4" name="KSOTemplateDocerSaveRecord">
    <vt:lpwstr>eyJoZGlkIjoiNmFlODdjMGQ2MDBhNjhhZGQwMzJjMDE5MmZkZDY2NjAiLCJ1c2VySWQiOiIxNjEwMzE2MzQ5In0=</vt:lpwstr>
  </property>
</Properties>
</file>