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Traffic Control源码简述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张智彬</w:t>
      </w: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8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Linux的Traffic Control（以下简称TC）是linux内核中内置的流量控制模块，通过该模块可以进行网络端口的收发流量控制。TC以树状结构管理多种流量控制规则，并提供了FIFO、TBF等调度方案。</w:t>
      </w:r>
    </w:p>
    <w:p>
      <w:pPr>
        <w:pStyle w:val="8"/>
        <w:numPr>
          <w:numId w:val="0"/>
        </w:numPr>
        <w:jc w:val="center"/>
      </w:pPr>
      <w:r>
        <w:drawing>
          <wp:inline distT="0" distB="0" distL="114300" distR="114300">
            <wp:extent cx="5269865" cy="38862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TC命令实例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本文将着重分析</w:t>
      </w:r>
      <w:r>
        <w:rPr>
          <w:rFonts w:hint="eastAsia"/>
          <w:lang w:val="en-US" w:eastAsia="zh-CN"/>
        </w:rPr>
        <w:t>TC的源码及其执行流程，而不涉及具体的细节。TC程序分为用户态和内核态两个部分，两个状态下的程序通过netlink进行数据交换。用户态代码主要包括三个部分：解析可选参数、创建netlink socket、解析TC命令并打包发送。执行完这三个主要步骤后，由内核执行TC命令。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解析可选参数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可选参数控制了输入方式（命令行或bash文件）、换行符（回车或反斜杠）、上色、命名空间、是否显示执行细节等一系列设定。正如其名，一条TC命令可以不包含可选参数，在这种情况下按照默认设定执行命令。</w:t>
      </w:r>
    </w:p>
    <w:p>
      <w:pPr>
        <w:pStyle w:val="8"/>
        <w:numPr>
          <w:numId w:val="0"/>
        </w:numPr>
        <w:jc w:val="center"/>
      </w:pPr>
      <w:r>
        <w:drawing>
          <wp:inline distT="0" distB="0" distL="114300" distR="114300">
            <wp:extent cx="5151755" cy="115824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可选参数的输入帮助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这部分的代码逻辑较为简单清晰，全都位于</w:t>
      </w:r>
      <w:r>
        <w:rPr>
          <w:rFonts w:hint="eastAsia"/>
          <w:lang w:val="en-US" w:eastAsia="zh-CN"/>
        </w:rPr>
        <w:t>tc.c中</w:t>
      </w:r>
      <w:r>
        <w:rPr>
          <w:rFonts w:hint="eastAsia"/>
          <w:lang w:eastAsia="zh-CN"/>
        </w:rPr>
        <w:t>，采用了多个判断语句，根据字符串比较的结果修改对应的</w:t>
      </w:r>
      <w:r>
        <w:rPr>
          <w:rFonts w:hint="eastAsia"/>
          <w:lang w:val="en-US" w:eastAsia="zh-CN"/>
        </w:rPr>
        <w:t>flag值，以备后续的代码进行判断。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3307080" cy="784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解析可选参数部分代码</w:t>
      </w:r>
    </w:p>
    <w:p>
      <w:pPr>
        <w:pStyle w:val="9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Netlink Socket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在修改完可选参数的flag值后，用户态程序将创建一个netlink socket以供后续与内核的通信。在tc.c中，这一部分代码只是简单调用了rtnl_open函数。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3337560" cy="662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调用rtnl_open函数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rtnl_open函数的函数体在\iproute2\lib\libnetlink.c文件中，这个函数调用了同文件中的另一个函数rtnl_open_byproto，并添加了一个参数：NETLINK_ROUTE，这个参数表示socket的协议是路由协议。rth指针指向的是一个struct rtnl_handle类型的结构体，该结构体定义在\iproute2\lib\libnetlink.h中。rtnl_open_byproto函数的目的是将这个指针指向的结构体实例化。</w:t>
      </w:r>
    </w:p>
    <w:p>
      <w:pPr>
        <w:pStyle w:val="8"/>
        <w:jc w:val="center"/>
      </w:pPr>
      <w:r>
        <w:drawing>
          <wp:inline distT="0" distB="0" distL="114300" distR="114300">
            <wp:extent cx="3390900" cy="1889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rtnl_handle结构体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4100195" cy="99822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sockaddr_nl结构体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结构体中，fd是文件描述符，指向新创建的socket的位置；protocol是协议名，这里使用的是NETLINK_ROUTE；local的地址如图7所示设置。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3200400" cy="4800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设置local地址</w:t>
      </w:r>
    </w:p>
    <w:p>
      <w:pPr>
        <w:rPr>
          <w:rFonts w:hint="eastAsia"/>
          <w:lang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解析TC命令并打包发送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这部分代码首先调用了tc.c文件中的do_cmd函数，对命令的类型进行解析。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4625975" cy="28651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1914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do_cmd函数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根据不同的命令选择对应的函数进行调用，此处选用</w:t>
      </w:r>
      <w:r>
        <w:rPr>
          <w:rFonts w:hint="eastAsia"/>
          <w:lang w:val="en-US" w:eastAsia="zh-CN"/>
        </w:rPr>
        <w:t>qdisc作为例子继续深入。do_qdisc函数体位于tc_qdisc.c中，根据下一个参数进行分类包装，调用tc_qdisc_modify函数进行下一步处理。此处的RTM_NEWQDISC是命令类型，会被加入socket中，在之后内核部分的代码中根据它进行判断。</w:t>
      </w:r>
    </w:p>
    <w:p>
      <w:pPr>
        <w:pStyle w:val="8"/>
      </w:pPr>
      <w:r>
        <w:drawing>
          <wp:inline distT="0" distB="0" distL="114300" distR="114300">
            <wp:extent cx="5272405" cy="3246755"/>
            <wp:effectExtent l="0" t="0" r="63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do_qdisc函数</w:t>
      </w:r>
    </w:p>
    <w:p>
      <w:pPr>
        <w:rPr>
          <w:rFonts w:hint="eastAsia"/>
          <w:lang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_qdisc_modify函数中会继续解析命令的后续参数，并填充到一个req结构体中，这个结构体中保存了需要通过socket进行传输的信息。当所有参数解析完毕后，这个函数会调用rtnl_talk函数，在经过一系列的包装后，最终调用sendmsg函数，将socket发送给内核。</w:t>
      </w:r>
    </w:p>
    <w:p>
      <w:pPr>
        <w:pStyle w:val="8"/>
        <w:ind w:left="0" w:leftChars="0" w:firstLine="0" w:firstLineChars="0"/>
        <w:jc w:val="center"/>
      </w:pPr>
      <w:bookmarkStart w:id="0" w:name="_GoBack"/>
      <w:r>
        <w:drawing>
          <wp:inline distT="0" distB="0" distL="114300" distR="114300">
            <wp:extent cx="3787775" cy="155448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req结构体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内核态代码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TC的内核态代码主要位于\net\sched中，包括了各种队列的具体实现、socket的接收和处理等代码。同上，仍以qdisc作为例子进行分析。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netlink在内核中通过rtnetlink_rcv_msg函数进行消息的接收，这个函数位于\net\core\rtnetlink.c中。它通过解析消息的family和type来确定链接到哪个函数来处理消息，如图11。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2720340" cy="88392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解析消息并调用对应处理函数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netlink的机制要求内核初始化时注册好所有处理函数，如下图所示。处理qdisc命令的函数位于\net\sched\sch_api.c中。</w:t>
      </w: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5022215" cy="1371600"/>
            <wp:effectExtent l="0" t="0" r="698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注册函数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02C86"/>
    <w:multiLevelType w:val="singleLevel"/>
    <w:tmpl w:val="3A902C8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3141A"/>
    <w:rsid w:val="083C4F8E"/>
    <w:rsid w:val="08502873"/>
    <w:rsid w:val="0A834ECB"/>
    <w:rsid w:val="0CD13927"/>
    <w:rsid w:val="143C7011"/>
    <w:rsid w:val="15121089"/>
    <w:rsid w:val="1A990427"/>
    <w:rsid w:val="1E5072B7"/>
    <w:rsid w:val="2AF268E8"/>
    <w:rsid w:val="341C538B"/>
    <w:rsid w:val="36A52317"/>
    <w:rsid w:val="3B524AB5"/>
    <w:rsid w:val="4B0E6396"/>
    <w:rsid w:val="4D2F7BD7"/>
    <w:rsid w:val="51F80132"/>
    <w:rsid w:val="57362791"/>
    <w:rsid w:val="58E50420"/>
    <w:rsid w:val="635E30A9"/>
    <w:rsid w:val="66A43BC9"/>
    <w:rsid w:val="6C26132C"/>
    <w:rsid w:val="6D1D76EB"/>
    <w:rsid w:val="768362C9"/>
    <w:rsid w:val="785B26D5"/>
    <w:rsid w:val="7A4C62EC"/>
    <w:rsid w:val="7CF114DE"/>
    <w:rsid w:val="7D131853"/>
    <w:rsid w:val="7D4D0F10"/>
    <w:rsid w:val="7F7717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spacing w:line="360" w:lineRule="auto"/>
      <w:jc w:val="center"/>
    </w:pPr>
    <w:rPr>
      <w:rFonts w:ascii="Arial" w:hAnsi="Arial" w:eastAsia="黑体"/>
    </w:r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7">
    <w:name w:val="论文一级标题"/>
    <w:next w:val="8"/>
    <w:qFormat/>
    <w:uiPriority w:val="0"/>
    <w:rPr>
      <w:rFonts w:ascii="Times New Roman" w:hAnsi="Times New Roman" w:eastAsia="黑体" w:cstheme="minorBidi"/>
      <w:b/>
      <w:sz w:val="28"/>
    </w:rPr>
  </w:style>
  <w:style w:type="paragraph" w:customStyle="1" w:styleId="8">
    <w:name w:val="论文正文"/>
    <w:basedOn w:val="1"/>
    <w:qFormat/>
    <w:uiPriority w:val="0"/>
    <w:pPr>
      <w:spacing w:line="360" w:lineRule="auto"/>
      <w:ind w:firstLine="643" w:firstLineChars="200"/>
    </w:pPr>
    <w:rPr>
      <w:rFonts w:ascii="Times New Roman" w:hAnsi="Times New Roman"/>
      <w:sz w:val="24"/>
    </w:rPr>
  </w:style>
  <w:style w:type="paragraph" w:customStyle="1" w:styleId="9">
    <w:name w:val="论文二、三级标题"/>
    <w:basedOn w:val="7"/>
    <w:next w:val="8"/>
    <w:qFormat/>
    <w:uiPriority w:val="0"/>
    <w:rPr>
      <w:rFonts w:eastAsia="宋体"/>
      <w:sz w:val="24"/>
    </w:rPr>
  </w:style>
  <w:style w:type="paragraph" w:customStyle="1" w:styleId="10">
    <w:name w:val="表格内容"/>
    <w:qFormat/>
    <w:uiPriority w:val="0"/>
    <w:pPr>
      <w:jc w:val="center"/>
    </w:pPr>
    <w:rPr>
      <w:rFonts w:ascii="Calibri" w:hAnsi="Calibri" w:eastAsia="宋体" w:cstheme="minorBidi"/>
      <w:sz w:val="21"/>
    </w:rPr>
  </w:style>
  <w:style w:type="paragraph" w:customStyle="1" w:styleId="11">
    <w:name w:val="引文标注"/>
    <w:next w:val="8"/>
    <w:qFormat/>
    <w:uiPriority w:val="0"/>
    <w:rPr>
      <w:rFonts w:ascii="宋体" w:hAnsi="宋体" w:eastAsia="宋体" w:cstheme="minorBidi"/>
      <w:sz w:val="24"/>
      <w:vertAlign w:val="superscript"/>
    </w:rPr>
  </w:style>
  <w:style w:type="paragraph" w:customStyle="1" w:styleId="12">
    <w:name w:val="参考文献"/>
    <w:next w:val="1"/>
    <w:qFormat/>
    <w:uiPriority w:val="0"/>
    <w:rPr>
      <w:rFonts w:ascii="Calibri" w:hAnsi="Calibri" w:eastAsia="黑体" w:cstheme="minorBidi"/>
      <w:b/>
      <w:sz w:val="24"/>
    </w:rPr>
  </w:style>
  <w:style w:type="paragraph" w:customStyle="1" w:styleId="13">
    <w:name w:val="参考文献内容"/>
    <w:next w:val="1"/>
    <w:qFormat/>
    <w:uiPriority w:val="0"/>
    <w:rPr>
      <w:rFonts w:ascii="Times New Roman" w:hAnsi="Times New Roman" w:eastAsiaTheme="minorEastAsia" w:cstheme="minorBidi"/>
      <w:sz w:val="21"/>
    </w:rPr>
  </w:style>
  <w:style w:type="paragraph" w:customStyle="1" w:styleId="14">
    <w:name w:val="摘要"/>
    <w:basedOn w:val="9"/>
    <w:next w:val="1"/>
    <w:qFormat/>
    <w:uiPriority w:val="0"/>
    <w:rPr>
      <w:rFonts w:eastAsia="黑体"/>
      <w:sz w:val="21"/>
    </w:rPr>
  </w:style>
  <w:style w:type="paragraph" w:customStyle="1" w:styleId="15">
    <w:name w:val="摘要内容"/>
    <w:basedOn w:val="14"/>
    <w:qFormat/>
    <w:uiPriority w:val="0"/>
    <w:rPr>
      <w:rFonts w:eastAsia="楷体"/>
      <w:b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黑</cp:lastModifiedBy>
  <dcterms:modified xsi:type="dcterms:W3CDTF">2018-04-26T14:34:24Z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