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Play 应用数据质量智能体</w:t>
      </w:r>
    </w:p>
    <w:p>
      <w:pPr>
        <w:pStyle w:val="Subtitle"/>
      </w:pPr>
      <w:r>
        <w:t>最终报告初稿  2026年10月30日</w:t>
      </w:r>
    </w:p>
    <w:p>
      <w:r>
        <w:t>课程  数据仓库与数据挖掘</w:t>
        <w:br/>
        <w:t>团队  闫灿宇  周静雯  戴想然  赵思嘉</w:t>
      </w:r>
    </w:p>
    <w:p>
      <w:pPr>
        <w:pStyle w:val="Heading1"/>
      </w:pPr>
      <w:r>
        <w:t>摘要</w:t>
      </w:r>
    </w:p>
    <w:p>
      <w:r>
        <w:t>本项目面向 Google Play 应用信息主表，构建了由大语言模型选择清洗策略、Python 工具执行并验证结果的数据处理智能体，并以 K-means 聚类分析应用画像。数据包含 10,841 条记录和 13 个字段，覆盖评分缺失、完全重复、字段错位以及单位和格式不一致等问题。我们比较最低必要处理、固定规则处理和主实验中的一次真实 DeepSeek 决策三种方案，保留原始数据、逐条变更记录、模型请求与响应及可离线复算的结果。</w:t>
      </w:r>
    </w:p>
    <w:p>
      <w:r>
        <w:t>三组进入聚类的记录数分别为 7,729、10,357 和 8,892，抽样轮廓系数分别为 0.3483、0.4178 和 0.3665。由于三组样本构成不同，这些分数只能描述各组分群，不能据此判定智能体优于或劣于固定规则。在 7,424 条共同完整记录上，统一使用 k=4 后三组特征完全一致，组间调整兰德指数 ARI=1。后续已完成 12 项人工复核及 3 次真实调用的稳定性补充实验：抽查记录均判断合理，去重和评分策略一致，但大小策略出现变化。结果支持流程可追溯和部分决策的一致性，尚不能证明填补准确性优势或量化人工节省。</w:t>
      </w:r>
    </w:p>
    <w:p>
      <w:pPr>
        <w:pStyle w:val="Heading1"/>
      </w:pPr>
      <w:r>
        <w:t>1 研究目标与范围</w:t>
      </w:r>
    </w:p>
    <w:p>
      <w:r>
        <w:t>我们回答两个问题。第一，如何把原始表中的质量问题转化为有依据、可检查的数据处理操作。第二，不同清洗策略如何影响可用于聚类的样本，以及最终得到怎样的应用画像。项目采用无监督聚类，不设置预测标签，也不推断应用走红的原因。</w:t>
      </w:r>
    </w:p>
    <w:p>
      <w:r>
        <w:t>系统仅使用 googleplaystore.csv，不接入评论表，不做跨表实体匹配，也不把应用名称视为已经验证的唯一标识。研究对象是历史采集记录，下载日期为 2026 年 10 月 24 日；下载时间不能用作数据采集时间，结论不代表当前应用商店市场。</w:t>
      </w:r>
    </w:p>
    <w:p>
      <w:r>
        <w:t>关键词  数据质量  工作流智能体  清洗策略  K-means  可复现性</w:t>
      </w:r>
    </w:p>
    <w:p>
      <w:pPr>
        <w:pStyle w:val="Caption"/>
      </w:pPr>
      <w:r>
        <w:t>证据位置  [R1] README.md；[R2] results/final/comparison.csv、common_group_ari.csv；[R3] data/数据来源说明.txt。</w:t>
      </w:r>
    </w:p>
    <w:p>
      <w:r>
        <w:br w:type="page"/>
      </w:r>
    </w:p>
    <w:p>
      <w:pPr>
        <w:pStyle w:val="Heading1"/>
      </w:pPr>
      <w:r>
        <w:t>2 数据来源与质量诊断</w:t>
      </w:r>
    </w:p>
    <w:p>
      <w:r>
        <w:t>数据由 Kaggle 的 Lavanya / lava18 发布。原始 CSV 保持不变，项目通过 SHA256 固定输入版本；原始许可文件记录 CC BY 3.0，交付时保留数据署名和许可。一行表示一条应用信息采集记录，同名但属性不同的记录可能同时存在。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994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9"/>
              </w:rPr>
              <w:t>字段组</w:t>
            </w:r>
          </w:p>
        </w:tc>
        <w:tc>
          <w:tcPr>
            <w:tcW w:type="dxa" w:w="79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9"/>
              </w:rPr>
              <w:t>字段及用途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身份与类别</w:t>
            </w:r>
          </w:p>
        </w:tc>
        <w:tc>
          <w:tcPr>
            <w:tcW w:type="dxa" w:w="79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App、Category、Genres 用于描述和解释记录；Category 还用于同类大小填补。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聚类特征</w:t>
            </w:r>
          </w:p>
        </w:tc>
        <w:tc>
          <w:tcPr>
            <w:tcW w:type="dxa" w:w="79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Rating、Reviews、Size、Installs、Price 转换为评分、评论数、MB 大小、安装量下界和美元价格。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其他背景</w:t>
            </w:r>
          </w:p>
        </w:tc>
        <w:tc>
          <w:tcPr>
            <w:tcW w:type="dxa" w:w="79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Type、Content Rating、Last Updated、Current Ver、Android Ver 用于质量检查或保留背景，不作为本轮聚类特征。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3118"/>
        <w:gridCol w:w="5386"/>
      </w:tblGrid>
      <w:tr>
        <w:trPr>
          <w:tblHeader/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原始证据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本项目的解释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缺失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Rating 缺失 1,474 条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其中 878 条评论数大于 0。不能把缺失评分解释为无人使用或评分为 0。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重复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完全重复多余记录 483 条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原始 13 列完全相同才去重；同名记录 1,979 条这一统计不能直接当作应删除数。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异常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 条核心字段错位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记录 10473 的 Rating=19，其他字段也错位，整条隔离并保留原值。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格式与状态</w:t>
            </w:r>
          </w:p>
        </w:tc>
        <w:tc>
          <w:tcPr>
            <w:tcW w:type="dxa" w:w="311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大小含 8,829 个 M、316 个 k，另有 1,695 条随设备变化</w:t>
            </w:r>
          </w:p>
        </w:tc>
        <w:tc>
          <w:tcPr>
            <w:tcW w:type="dxa" w:w="538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统一单位；Varies with device 表示大小未知状态。安装量带 +，价格含 $，分别解析下界与美元数值。</w:t>
            </w:r>
          </w:p>
        </w:tc>
      </w:tr>
    </w:tbl>
    <w:p>
      <w:pPr>
        <w:spacing w:after="0"/>
      </w:pPr>
    </w:p>
    <w:p>
      <w:r>
        <w:t>四类问题的计数可能重叠，不能直接相加得到“坏数据总数”。大小随设备变化是一种特殊状态，不能等同为错误；合法的高安装量和高价格也不能仅凭数值较大就删除。非核心字段的原始缺失仍保留，因此“聚类矩阵无缺失”不等于“整张表所有缺失都已消失”。</w:t>
      </w:r>
    </w:p>
    <w:p>
      <w:pPr>
        <w:pStyle w:val="Caption"/>
      </w:pPr>
      <w:r>
        <w:t>证据位置  [R3] 数据来源与许可；[R4] quality_before.json、src/quality.py。source_row_id 是从 1 开始的数据记录编号，CSV 含表头时 Excel 行号通常再加 1。</w:t>
      </w:r>
    </w:p>
    <w:p>
      <w:r>
        <w:br w:type="page"/>
      </w:r>
    </w:p>
    <w:p>
      <w:pPr>
        <w:pStyle w:val="Heading1"/>
      </w:pPr>
      <w:r>
        <w:t>3 智能体结构与实际执行边界</w:t>
      </w:r>
    </w:p>
    <w:p>
      <w:r>
        <w:t>系统采用一次规划、确定性执行与检查的工作流结构。Python 先读取原始表并生成质量统计，模型读取统计和少量样例，返回结构化策略及理由；本地校验器验证策略后调用预先实现的数据处理函数。聚类与指标计算由 Python 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5216"/>
        <w:gridCol w:w="3175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输入与输出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实现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质量检查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原始 CSV → 缺失、重复、异常和格式统计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quality.py 的 read_raw、parse、report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模型规划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质量统计及前 4 条符合条件的样例 → JSON 策略与理由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agent.py 的 get_plan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策略校验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验证字段、类型、允许取值及三项解释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validate_policy 与 JSON 结构检查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工具执行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解析、隔离、去重、缺失处理 → 档案和聚类输入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quality.py 的 process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验证与分析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质量计数、聚类、共同记录比较和审计输出</w:t>
            </w:r>
          </w:p>
        </w:tc>
        <w:tc>
          <w:tcPr>
            <w:tcW w:type="dxa" w:w="317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pipeline.py、clustering.py、JSONL 日志</w:t>
            </w:r>
          </w:p>
        </w:tc>
      </w:tr>
    </w:tbl>
    <w:p>
      <w:pPr>
        <w:spacing w:after="0"/>
      </w:pPr>
    </w:p>
    <w:p>
      <w:r>
        <w:t>模型只有三项可选决策：deduplicate 为布尔值；rating 和 size 各可选择 drop、global_median 或 category_median。drop 表示保留清洗档案、排除出聚类，不是删除整条档案。category_median 要求同类别至少 20 个有效观测，否则回退到全局中位数。严格解析、隔离非法核心记录和保留未知状态等规则由程序固定。</w:t>
      </w:r>
    </w:p>
    <w:p>
      <w:r>
        <w:t>主实验在 2026 年 10 月 26 日调用 deepseek-flash 一次，返回去重、评分缺失排除聚类、大小按类别中位数填补的方案。请求使用 JSON 输出，关闭思考模式，max_tokens=4096；未显式设置 temperature，不能把它描述为已固定的采样参数。该次日志记录输入 1,180 token、输出 232 token，调用约 2.12 秒。另追加 3 次真实调用作稳定性检查，见第 7 节；实际账单费用未知。</w:t>
      </w:r>
    </w:p>
    <w:p>
      <w:r>
        <w:t>JSON 或白名单校验失败时，程序可携带错误再请求一次，最多两次；网络失败会记录失败状态，不以固定规则冒充模型结果。本次成功日志没有触发错误重试。当前未实现模型读取清洗后反馈再循环改进方案，也未实现多智能体协作，因此只能主张有限策略空间内的自主选择。</w:t>
      </w:r>
    </w:p>
    <w:p>
      <w:pPr>
        <w:pStyle w:val="Caption"/>
      </w:pPr>
      <w:r>
        <w:t>证据位置  [R5] src/agent.py；agent_status.json；logs/pipeline.jsonl。日志包含实际请求、响应、工具事件和验证事件。</w:t>
      </w:r>
    </w:p>
    <w:p>
      <w:r>
        <w:br w:type="page"/>
      </w:r>
    </w:p>
    <w:p>
      <w:pPr>
        <w:pStyle w:val="Heading1"/>
      </w:pPr>
      <w:r>
        <w:t>4 三组处理方案与聚类方法</w:t>
      </w:r>
    </w:p>
    <w:p>
      <w:r>
        <w:t>三组使用同一原始主表，均严格转换单位并隔离同一条字段错位记录。最低必要处理给出尽量少修改数据的参照，固定规则给出无需模型调用的对照，智能体组展示本次模型实际选择的策略。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665"/>
        <w:gridCol w:w="2665"/>
        <w:gridCol w:w="2665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9"/>
              </w:rPr>
              <w:t>处理项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9"/>
              </w:rPr>
              <w:t>最低必要处理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9"/>
              </w:rPr>
              <w:t>固定规则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9"/>
              </w:rPr>
              <w:t>DeepSeek 智能体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完全重复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保留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去除多余记录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去除多余记录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评分缺失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不进入聚类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全局中位数填补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不进入聚类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大小未知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不进入聚类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全局中位数填补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同类别中位数填补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原值与状态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均保留原始字段、行号与未知状态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均保留</w:t>
            </w:r>
          </w:p>
        </w:tc>
        <w:tc>
          <w:tcPr>
            <w:tcW w:type="dxa" w:w="266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9"/>
              </w:rPr>
              <w:t>均保留</w:t>
            </w:r>
          </w:p>
        </w:tc>
      </w:tr>
    </w:tbl>
    <w:p>
      <w:pPr>
        <w:spacing w:after="0"/>
      </w:pPr>
    </w:p>
    <w:p>
      <w:pPr>
        <w:pStyle w:val="Heading2"/>
      </w:pPr>
      <w:r>
        <w:t>4 1 特征变换与模型选择</w:t>
      </w:r>
    </w:p>
    <w:p>
      <w:r>
        <w:t>输入为 rating_value、reviews_value、size_mb、installs_value、price_usd 五项特征。除评分外的四项先做 log1p，以缓和长尾分布；随后三组共用一个 StandardScaler，该缩放器只在去重、完整、核心有效的 7,424 条原始记录上拟合。这样可以避免各组各自缩放带来的尺度差异。</w:t>
      </w:r>
    </w:p>
    <w:p>
      <w:r>
        <w:t>原生样本实验在各组实际可用记录上尝试 k=2 至 6，固定种子 42，n_init=10、max_iter=300、tol=1e-4，并限制单线程。每组使用固定抽取的 1,500 条记录计算轮廓系数，以最大值选择 k；并列时优先较小的 k。本次三组都选出 k=3。该流程是探索性分群，没有分类任务中的训练集、测试集或准确率。</w:t>
      </w:r>
    </w:p>
    <w:p>
      <w:pPr>
        <w:pStyle w:val="Heading2"/>
      </w:pPr>
      <w:r>
        <w:t>4 2 评价口径</w:t>
      </w:r>
    </w:p>
    <w:p>
      <w:r>
        <w:t>轮廓系数衡量同簇紧密程度与异簇分离程度，通常越大越好，但不同样本上的数值不能直接构成公平排名。Davies–Bouldin 指数越小越好，Calinski–Harabasz 指数越大越好，也依赖具体样本。我们另报告记录保留率、填补数量、残余核心异常与原始未知状态，区分“可计算”与“真实值已知”。</w:t>
      </w:r>
    </w:p>
    <w:p>
      <w:r>
        <w:t>共同记录实验只取三组都进入聚类的 source_row_id，固定 k=4，分别使用种子 42、52、62 重算。k=4 是预设的一致性检查设置，与原生样本选出的 k=3 用途不同。ARI 比较两个分群对同一批记录的划分，等于 1 表示完全一致；本项目没有人工类别真值，不能把 ARI 当作分类正确率。</w:t>
      </w:r>
    </w:p>
    <w:p>
      <w:pPr>
        <w:pStyle w:val="Caption"/>
      </w:pPr>
      <w:r>
        <w:t>证据位置  [R6] src/clustering.py、shared_scaler.json、run_manifest.json；[R2] 三组 k_candidates.csv。</w:t>
      </w:r>
    </w:p>
    <w:p>
      <w:r>
        <w:br w:type="page"/>
      </w:r>
    </w:p>
    <w:p>
      <w:pPr>
        <w:pStyle w:val="Heading1"/>
      </w:pPr>
      <w:r>
        <w:t>5 三组实验结果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2381"/>
        <w:gridCol w:w="2381"/>
        <w:gridCol w:w="2381"/>
      </w:tblGrid>
      <w:tr>
        <w:trPr>
          <w:tblHeader/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最低必要处理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固定规则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DeepSeek 智能体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原始记录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10,841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10,841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10,841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隔离记录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去除完全重复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483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483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清洗档案记录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10,840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10,357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10,357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进入聚类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7,729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10,357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8,892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聚类保留率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71.29%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95.54%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82.02%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评分填补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1,465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大小填补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1,526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1,526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轮廓系数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0.3483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0.4178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0.3665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Davies–Bouldin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1.0846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0.9991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1.0687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Calinski–Harabasz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3,390.57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5,719.13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4,046.21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选定 k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3</w:t>
            </w:r>
          </w:p>
        </w:tc>
      </w:tr>
    </w:tbl>
    <w:p>
      <w:pPr>
        <w:spacing w:after="0"/>
      </w:pPr>
    </w:p>
    <w:p>
      <w:r>
        <w:t>聚类保留率以原始 10,841 条为分母。清洗档案包含尚不能参与聚类的记录，故其行数可以大于聚类输入。去重之后评分缺失由 1,474 条变成 1,465 条、大小未知由 1,695 条变成 1,526 条，数量变化部分来自重复记录移除，不代表找回了真实观测。大小填补数统计整个清洗档案，其中也可能包含因评分缺失而不进入聚类的记录。</w:t>
      </w:r>
    </w:p>
    <w:p>
      <w:r>
        <w:t>智能体相对最低必要处理净增加 1,163 条聚类记录，保留率增加 10.73 个百分点。这是去重与大小填补共同作用后的净变化，不能全部归因为填补。智能体相对固定规则少 1,465 条聚类记录，正好对应未填补的缺失评分记录。两种处理取舍分别侧重避免制造评分信号和提高可用样本量。</w:t>
      </w:r>
    </w:p>
    <w:p>
      <w:r>
        <w:t>固定规则组在自己的样本上具有最高轮廓系数，但中位数填补既改变样本覆盖，也可能改变分布与距离结构。现有对照没有控制相同的缺失记录及其真值，因此不能把更高分数解释为修复更准确，也不能据此宣称智能体全面胜出。</w:t>
      </w:r>
    </w:p>
    <w:p>
      <w:pPr>
        <w:pStyle w:val="Caption"/>
      </w:pPr>
      <w:r>
        <w:t>证据位置  [R2] comparison.csv。三组轮廓系数均基于本组固定抽样 1,500 条记录；其余聚类指标基于各组完整聚类输入。</w:t>
      </w:r>
    </w:p>
    <w:p>
      <w:r>
        <w:br w:type="page"/>
      </w:r>
    </w:p>
    <w:p>
      <w:pPr>
        <w:pStyle w:val="Heading1"/>
      </w:pPr>
      <w:r>
        <w:t>6 共同记录检查与应用画像</w:t>
      </w:r>
    </w:p>
    <w:p>
      <w:pPr>
        <w:pStyle w:val="Heading2"/>
      </w:pPr>
      <w:r>
        <w:t>6 1 共同完整记录上的一致性</w:t>
      </w:r>
    </w:p>
    <w:p>
      <w:r>
        <w:t>共同样本共 7,424 条。三组在这些记录上的变换特征最大绝对差为 0，固定 k=4、种子 42 时任意两组 ARI 都为 1，轮廓系数都约为 0.3441。由于这些记录原本就完整且采用统一变换，这种一致性是可预期的，主要用来检查共有记录是否遭到不一致处理。</w:t>
      </w:r>
    </w:p>
    <w:p>
      <w:r>
        <w:t>在同一组内，种子 42 与 52 的 ARI=1，与种子 62 比较约为 0.9980。这支持本次共同样本上的 K-means 对这些随机种子较稳定。这一随机种子检查本身不检验重复调用大模型的策略一致性，也不能评估填补准确性；后续的真实模型重复实验见第 7 节。</w:t>
      </w:r>
    </w:p>
    <w:p>
      <w:pPr>
        <w:pStyle w:val="Heading2"/>
      </w:pPr>
      <w:r>
        <w:t>6 2 智能体组的三类画像</w:t>
      </w:r>
    </w:p>
    <w:p>
      <w:r>
        <w:t>下表来自智能体组 k=3 的原生样本实验。每个数值是该簇的中位数，价格以美元计、大小以 MB 计；安装量是区间下界。簇编号没有高低或优劣顺序。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020"/>
        <w:gridCol w:w="1701"/>
        <w:gridCol w:w="2211"/>
        <w:gridCol w:w="1247"/>
        <w:gridCol w:w="1304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簇与规模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评分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评论数</w:t>
            </w:r>
          </w:p>
        </w:tc>
        <w:tc>
          <w:tcPr>
            <w:tcW w:type="dxa" w:w="2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安装量下界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大小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价格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0  4,712 条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4.3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60,695.5</w:t>
            </w:r>
          </w:p>
        </w:tc>
        <w:tc>
          <w:tcPr>
            <w:tcW w:type="dxa" w:w="2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5,000,000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18.0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  3,693 条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4.2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2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10,000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7.8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2  487 条</w:t>
            </w:r>
          </w:p>
        </w:tc>
        <w:tc>
          <w:tcPr>
            <w:tcW w:type="dxa" w:w="10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4.4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291</w:t>
            </w:r>
          </w:p>
        </w:tc>
        <w:tc>
          <w:tcPr>
            <w:tcW w:type="dxa" w:w="221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5,000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11.0</w:t>
            </w:r>
          </w:p>
        </w:tc>
        <w:tc>
          <w:tcPr>
            <w:tcW w:type="dxa" w:w="1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3.99</w:t>
            </w:r>
          </w:p>
        </w:tc>
      </w:tr>
    </w:tbl>
    <w:p>
      <w:pPr>
        <w:spacing w:after="0"/>
      </w:pPr>
    </w:p>
    <w:p>
      <w:r>
        <w:t>簇 0 的评论与安装规模相对较大，簇 1 的规模相对较小，簇 2 的付费特征更突出。代表记录按变换空间中到簇中心的距离选择，例如簇 0 的 DisneyNOW、簇 1 的 Theme for Iphone X Plus、簇 2 的 Pocket RxTx Pro。它们用于说明几何上的代表性，不能等同为每类最佳应用。</w:t>
      </w:r>
    </w:p>
    <w:p>
      <w:r>
        <w:t>智能体三个簇的大小填补比例分别约为 26.59%、4.06% 和 13.35%，因此涉及大小的解释包含代理值的不确定性。代表应用列表中可能出现同名记录，这是保留同名异属性记录的结果，不应将记录数表述为去重后的独立应用数。仓库中心图和 PCA 图属于固定规则组，不应将它们标成智能体组图。</w:t>
      </w:r>
    </w:p>
    <w:p>
      <w:pPr>
        <w:pStyle w:val="Caption"/>
      </w:pPr>
      <w:r>
        <w:t>证据位置  [R2] common_metrics.csv、common_group_ari.csv、common_seed_stability.csv；[R7] agent/cluster_profiles.csv、representative_apps.csv；figures/图表说明.md。</w:t>
      </w:r>
    </w:p>
    <w:p>
      <w:r>
        <w:br w:type="page"/>
      </w:r>
    </w:p>
    <w:p>
      <w:pPr>
        <w:pStyle w:val="Heading1"/>
        <w:spacing w:line="269" w:lineRule="auto" w:after="80"/>
      </w:pPr>
      <w:r>
        <w:t>7 人工复核与稳定性补充实验</w:t>
      </w:r>
    </w:p>
    <w:p>
      <w:pPr>
        <w:pStyle w:val="Heading2"/>
        <w:spacing w:line="269" w:lineRule="auto" w:after="80"/>
      </w:pPr>
      <w:r>
        <w:t>7 1 人工复核已完成</w:t>
      </w:r>
    </w:p>
    <w:p>
      <w:pPr>
        <w:spacing w:line="269" w:lineRule="auto" w:after="80"/>
      </w:pPr>
      <w:r>
        <w:t>针对提交 e5b61c9，赵思嘉对四类问题各抽取 3 条，共 12 条原始记录、36 项分组处理结果，依次核对记录去留、数值与标记、聚类资格。署名表记录合理 12 条、不合理 0 条、待确认 0 条，未发现需修正的规则执行错误。详细说明注明使用 AI 辅助核验，成员已确认复核完成。该目的性抽查不能估计全表正确率，也不能证明代理填补值等于真值。</w:t>
      </w:r>
    </w:p>
    <w:p>
      <w:pPr>
        <w:pStyle w:val="Heading2"/>
        <w:spacing w:line="269" w:lineRule="auto" w:after="80"/>
      </w:pPr>
      <w:r>
        <w:t>7 2 追加三次真实调用</w:t>
      </w:r>
    </w:p>
    <w:p>
      <w:pPr>
        <w:spacing w:line="269" w:lineRule="auto" w:after="80"/>
      </w:pPr>
      <w:r>
        <w:t>首次主实验保持独立，以下仅统计后来追加的 3 次运行（原第 2、3、4 次）。输入数据、6 份核心源码、依赖、可见请求正文及聚类参数一致。三次各调用一次、响应 ID 不同、无校验重试，共 4,077 token；加上主实验累计 4 次、5,489 token。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2268"/>
        <w:gridCol w:w="1474"/>
        <w:gridCol w:w="567"/>
        <w:gridCol w:w="1871"/>
        <w:gridCol w:w="1871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补充编号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大小策略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聚类记录</w:t>
            </w:r>
          </w:p>
        </w:tc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k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轮廓系数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DB 指数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1（原第2次）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排除未知大小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7,424</w:t>
            </w:r>
          </w:p>
        </w:tc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0.344117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1.107673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2（原第3次）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排除未知大小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7,424</w:t>
            </w:r>
          </w:p>
        </w:tc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0.344117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1.107673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3（原第4次）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类别中位数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8,892</w:t>
            </w:r>
          </w:p>
        </w:tc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0.366450</w:t>
            </w:r>
          </w:p>
        </w:tc>
        <w:tc>
          <w:tcPr>
            <w:tcW w:type="dxa" w:w="187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1.068732</w:t>
            </w:r>
          </w:p>
        </w:tc>
      </w:tr>
    </w:tbl>
    <w:p>
      <w:pPr>
        <w:spacing w:after="80" w:line="269" w:lineRule="auto"/>
      </w:pPr>
    </w:p>
    <w:p>
      <w:pPr>
        <w:spacing w:line="269" w:lineRule="auto" w:after="80"/>
      </w:pPr>
      <w:r>
        <w:t>去重与评分缺失策略均为 3/3 一致；大小策略为排除 2/3、类别中位数 1/3，只有补充 3 的完整计划与主实验一致。三次均去除 483 条完全重复、隔离 1 条错位记录，清洗档案为 10,357 条，残留核心非法值和入模非法或缺失特征均为 0；这些检查也受固定工具规则保障。</w:t>
      </w:r>
    </w:p>
    <w:p>
      <w:pPr>
        <w:spacing w:line="269" w:lineRule="auto" w:after="80"/>
      </w:pPr>
      <w:r>
        <w:t>轮廓系数为 0.35156±0.01289，DB 指数为 1.09469±0.02248（均值±样本标准差，n=3、ddof=1）；样本方差分别为 0.000166261、0.000505472。保留率标准差为 7.8180 个百分点。样本与 k 随策略变化，这些统计描述整体输出波动，不构成优劣排名。</w:t>
      </w:r>
    </w:p>
    <w:p>
      <w:pPr>
        <w:pStyle w:val="Heading2"/>
        <w:spacing w:line="269" w:lineRule="auto" w:after="80"/>
      </w:pPr>
      <w:r>
        <w:t>7 3 质量判断与剩余边界</w:t>
      </w:r>
    </w:p>
    <w:p>
      <w:pPr>
        <w:spacing w:line="269" w:lineRule="auto" w:after="80"/>
      </w:pPr>
      <w:r>
        <w:t>系统具备可运行、可追溯和部分策略重复性，完整计划并非完全稳定。补充 3 的大小理由同时表示不适合中位数填补、又选择类别中位数，存在解释矛盾；程序实际按合法 JSON 执行，说明结构校验不能代替语义审阅。共同完整记录控制重拟合的 ARI=1 仍只说明计算一致性。</w:t>
      </w:r>
    </w:p>
    <w:p>
      <w:pPr>
        <w:spacing w:line="269" w:lineRule="auto" w:after="80"/>
      </w:pPr>
      <w:r>
        <w:t>补充样本仅 3 次，主实验与补充实验跨日，模型生成随机种子及服务端内部版本未固定。已提供材料没有填补真值误差或可控遮蔽实验，不能由复核或稳定性结果推出填补准确性。实际费用、人工时长对照和跨数据集泛化仍待检验。</w:t>
      </w:r>
    </w:p>
    <w:p>
      <w:pPr>
        <w:pStyle w:val="Caption"/>
        <w:spacing w:line="269" w:lineRule="auto" w:after="80"/>
      </w:pPr>
      <w:r>
        <w:t>证据位置  [R8] 赵思嘉署名复核 CSV 与逐条说明；[R11] 补充实验 ZIP 内逐次记录、统计汇总及结论。复核人栏部分日期格式异常，正式提交前需本人更正，不影响本页按记录计数。</w:t>
      </w:r>
    </w:p>
    <w:p>
      <w:pPr>
        <w:spacing w:line="269" w:lineRule="auto" w:after="80"/>
      </w:pPr>
      <w:r>
        <w:br w:type="page"/>
      </w:r>
    </w:p>
    <w:p>
      <w:pPr>
        <w:pStyle w:val="Heading1"/>
      </w:pPr>
      <w:r>
        <w:t>8 文件组织与复现方法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52"/>
        <w:gridCol w:w="5499"/>
      </w:tblGrid>
      <w:tr>
        <w:trPr>
          <w:tblHeader/>
          <w:cantSplit/>
        </w:trPr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阅读目的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先了解范围、关键结果和运行入口。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data/raw/googleplaystore.csv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检查原始值；data 下保留来源和许可。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src/quality.py、agent.py、clustering.py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分别理解处理规则、模型规划边界和聚类比较。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results/final/comparison.csv、agent_status.json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查看三组结果和真实模型调用证据。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results/final/agent/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cleaned 是档案，clusters 是入模记录；changes 与 quarantine 用来追踪变更和隔离。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results/final/logs/pipeline.jsonl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检查提示词、返回计划、工具事件与验证过程。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tests/、scripts/replay.py</w:t>
            </w:r>
          </w:p>
        </w:tc>
        <w:tc>
          <w:tcPr>
            <w:tcW w:type="dxa" w:w="54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查看自动检查与从原始数据复算的方法。</w:t>
            </w:r>
          </w:p>
        </w:tc>
      </w:tr>
    </w:tbl>
    <w:p>
      <w:pPr>
        <w:spacing w:after="0"/>
      </w:pPr>
    </w:p>
    <w:p>
      <w:r>
        <w:t>在项目根目录使用 Python 3.12 创建环境并安装锁定依赖。已存在环境时无需重复创建。</w:t>
      </w:r>
    </w:p>
    <w:p>
      <w:pPr>
        <w:spacing w:after="40" w:line="252" w:lineRule="auto"/>
      </w:pPr>
      <w:r>
        <w:rPr>
          <w:rFonts w:ascii="Consolas" w:hAnsi="Consolas"/>
          <w:sz w:val="17"/>
        </w:rPr>
        <w:t>python -m venv .venv</w:t>
      </w:r>
    </w:p>
    <w:p>
      <w:pPr>
        <w:spacing w:after="40" w:line="252" w:lineRule="auto"/>
      </w:pPr>
      <w:r>
        <w:rPr>
          <w:rFonts w:ascii="Consolas" w:hAnsi="Consolas"/>
          <w:sz w:val="17"/>
        </w:rPr>
        <w:t>.\.venv\Scripts\python.exe -m pip install -r requirements.lock.txt</w:t>
      </w:r>
    </w:p>
    <w:p>
      <w:pPr>
        <w:spacing w:after="40" w:line="252" w:lineRule="auto"/>
      </w:pPr>
      <w:r>
        <w:rPr>
          <w:rFonts w:ascii="Consolas" w:hAnsi="Consolas"/>
          <w:sz w:val="17"/>
        </w:rPr>
        <w:t>.\.venv\Scripts\python.exe run.py --replay</w:t>
      </w:r>
    </w:p>
    <w:p>
      <w:r>
        <w:t>离线复算沿用留存的真实模型计划，从原始 CSV 重新执行清洗与聚类，成功时输出 verified。它校验输入及核心源码哈希，比较 26 份 CSV 与 8 份 JSON，忽略运行耗时差异；不会新增模型调用，也不重绘图片。输出进入 results/replay/ 的新目录。2026 年 10 月 27 日的留存核验记录记载上述复算成功和 15 项单元测试通过，本报告不将历史记录描述为新的模型实验。</w:t>
      </w:r>
    </w:p>
    <w:p>
      <w:r>
        <w:t>若需重新调用模型，在已安装依赖的环境下运行以下脚本，按提示输入密钥。输入不显示，脚本不把密钥写入项目文件；新模型调用可能产生费用，且选出的计划和结果可能改变。</w:t>
      </w:r>
    </w:p>
    <w:p>
      <w:pPr>
        <w:spacing w:after="40" w:line="252" w:lineRule="auto"/>
      </w:pPr>
      <w:r>
        <w:rPr>
          <w:rFonts w:ascii="Consolas" w:hAnsi="Consolas"/>
          <w:sz w:val="17"/>
        </w:rPr>
        <w:t>powershell.exe -NoProfile -ExecutionPolicy Bypass -File .\scripts\run_deepseek.ps1</w:t>
      </w:r>
    </w:p>
    <w:p>
      <w:r>
        <w:t>新实验输出进入 results/run_/ 的新目录；以其终端路径与 agent_status.json 为准。仅运行两组基线可用 run.py --agent off。--smoke 用于小样本检查，不构成三组正式实验。源程序固定核验原始文件哈希，不能直接换成任意 CSV。</w:t>
      </w:r>
    </w:p>
    <w:p>
      <w:pPr>
        <w:pStyle w:val="Caption"/>
      </w:pPr>
      <w:r>
        <w:t>证据位置  [R1] README；[R9] scripts/replay.py、scripts/run_deepseek.ps1、requirements.lock.txt；[R10] 工作区“仓库精简备份_2026-10-27/精简核验结果.md”。</w:t>
      </w:r>
    </w:p>
    <w:p>
      <w:r>
        <w:br w:type="page"/>
      </w:r>
    </w:p>
    <w:p>
      <w:pPr>
        <w:pStyle w:val="Heading1"/>
      </w:pPr>
      <w:r>
        <w:t>9 结论与实际贡献说明</w:t>
      </w:r>
    </w:p>
    <w:p>
      <w:r>
        <w:t>我们完成了质量诊断、模型策略选择、确定性处理与聚类解释，并补充 12 项人工复核和 3 次真实调用的稳定性检验。抽查未发现规则执行错误，重复实验中去重和评分策略一致，大小策略则改变了入模集合与选定 k。结果支持流程可运行、可追溯及部分决策一致，尚不足以证明完整方案始终稳定、填补准确性更高或量化的人力节省。</w:t>
      </w:r>
    </w:p>
    <w:p>
      <w:pPr>
        <w:pStyle w:val="Heading2"/>
      </w:pPr>
      <w:r>
        <w:t>9 1 实际贡献确认稿</w:t>
      </w:r>
    </w:p>
    <w:p>
      <w:r>
        <w:t>以下按现有四人分工与已留存交付材料起草。职责安排不自动等于已完成贡献；带“待本人确认”的事项须由成员核对并补充具体产物或日期后提交。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5669"/>
        <w:gridCol w:w="2948"/>
      </w:tblGrid>
      <w:tr>
        <w:trPr>
          <w:tblHeader/>
          <w:cantSplit/>
        </w:trP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成员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拟记录的贡献与证据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6EF"/>
          </w:tcPr>
          <w:p>
            <w:pPr>
              <w:spacing w:after="20" w:line="276" w:lineRule="auto"/>
            </w:pPr>
            <w:r>
              <w:rPr>
                <w:b/>
                <w:sz w:val="18"/>
              </w:rPr>
              <w:t>待确认事项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闫灿宇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负责选题范围和结果审阅，承担开场与总结；分工文档列有三个集中检查节点。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具体审阅意见、实际排练与修改记录待本人确认。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周静雯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负责数据与说明、材料汇总及报告 PPT；已留存选题和字段资料，Git 日志含 zjw 的仓库整理提交。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账号与个人对应、材料作者及最终修改内容待本人确认。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戴想然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负责技术方案、对接 Codex、实现与实验；有署名实现说明、交接清单、三组结果及追加 3 次实验记录。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本人实际操作、补充实验分工及审查修改范围待本人确认。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赵思嘉</w:t>
            </w:r>
          </w:p>
        </w:tc>
        <w:tc>
          <w:tcPr>
            <w:tcW w:type="dxa" w:w="566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负责处理建议、人工抽查与结果解释；已完成 12 项三组复核，有署名 CSV 和逐条说明。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sz w:val="18"/>
              </w:rPr>
              <w:t>处理建议作者、本人核验范围待确认；复核人栏日期需规范。</w:t>
            </w:r>
          </w:p>
        </w:tc>
      </w:tr>
    </w:tbl>
    <w:p>
      <w:pPr>
        <w:spacing w:after="0"/>
      </w:pPr>
    </w:p>
    <w:p>
      <w:r>
        <w:t>AI 辅助说明：项目分工文件约定使用 Codex 协助程序、实验和初稿整理，本轮报告与 PPT 初稿亦由 Codex 辅助生成。成员应据实说明自己完成的需求制定、代码核对、实验执行、人工复核与表达修改，不把工具输出直接等同于个人独立完成。未编造贡献比例、工时或个人签名。</w:t>
      </w:r>
    </w:p>
    <w:p>
      <w:pPr>
        <w:pStyle w:val="Heading2"/>
      </w:pPr>
      <w:r>
        <w:t>9 2 参考资料与证据索引</w:t>
      </w:r>
    </w:p>
    <w:p>
      <w:pPr>
        <w:spacing w:line="264" w:lineRule="auto"/>
      </w:pPr>
      <w:r>
        <w:rPr>
          <w:sz w:val="18"/>
        </w:rPr>
        <w:t>[R1] 项目 README.md、docs/课程要求.docx 与 docs/分工.docx。</w:t>
        <w:br/>
        <w:t>[R2] results/final/ 下的 comparison.csv、common_*.csv 及各组 k_candidates.csv。</w:t>
        <w:br/>
        <w:t>[R3] Lavanya / lava18，Google Play Store Apps，https://www.kaggle.com/datasets/lava18/google-play-store-apps；本地 data/数据来源说明.txt、LICENSE.txt。</w:t>
        <w:br/>
        <w:t>[R4–R7] src/ 源码与 results/final/ 内质量报告、模型调用记录、运行清单及聚类画像，详见各页证据位置。</w:t>
        <w:br/>
        <w:t>[R8] results/final/人工抽查12项_三组_赵思嘉_20261027.csv；同目录 Google_Play_12项三组逐条复核详细说明_赵思嘉.docx。</w:t>
        <w:br/>
        <w:t>[R9–R10] 仓库复现脚本与 2026-10-27 留存核验记录。</w:t>
        <w:br/>
        <w:t>[R11] 仓库根目录 补充实验_智能体稳定性_后三次_1027.zip。R8/R11 取自 GitHub main 提交 f828da93（2026-10-30 获取），本轮校验 267 项输入并复算 11 张 CSV 与结论一致。</w:t>
      </w:r>
    </w:p>
    <w:sectPr w:rsidR="00FC693F" w:rsidRPr="0006063C" w:rsidSect="00034616">
      <w:footerReference w:type="default" r:id="rId9"/>
      <w:pgSz w:w="11906" w:h="16838"/>
      <w:pgMar w:top="964" w:right="1049" w:bottom="935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9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93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93" w:lineRule="auto" w:after="120"/>
    </w:pPr>
    <w:rPr>
      <w:rFonts w:ascii="Microsoft YaHei" w:hAnsi="Microsoft YaHe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Play 应用数据质量智能体最终报告初稿</dc:title>
  <dc:subject/>
  <dc:creator>数据挖掘项目组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