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{{name}}</w:t>
      </w:r>
      <w:r>
        <w:rPr>
          <w:rFonts w:hint="eastAsia" w:ascii="宋体" w:hAnsi="宋体" w:eastAsia="宋体"/>
          <w:b/>
          <w:sz w:val="32"/>
          <w:szCs w:val="32"/>
        </w:rPr>
        <w:t>项目准入核查报告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分析条件：</w:t>
      </w:r>
    </w:p>
    <w:p>
      <w:pPr>
        <w:spacing w:line="360" w:lineRule="auto"/>
        <w:ind w:left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缓冲区半径：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{{radius}}米</w:t>
      </w:r>
    </w:p>
    <w:p>
      <w:pPr>
        <w:spacing w:line="360" w:lineRule="auto"/>
        <w:ind w:left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缓冲区范围：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{{bufferRange}}</w:t>
      </w:r>
      <w:r>
        <w:rPr>
          <w:rFonts w:hint="eastAsia" w:ascii="宋体" w:hAnsi="宋体" w:eastAsia="宋体"/>
          <w:sz w:val="24"/>
          <w:szCs w:val="24"/>
        </w:rPr>
        <w:t>平方米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分析结果：</w:t>
      </w:r>
    </w:p>
    <w:p>
      <w:pPr>
        <w:spacing w:line="360" w:lineRule="auto"/>
        <w:ind w:left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相交结果：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{{result}}</w:t>
      </w:r>
    </w:p>
    <w:p>
      <w:pPr>
        <w:spacing w:line="360" w:lineRule="auto"/>
        <w:ind w:left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相交信息：</w:t>
      </w:r>
    </w:p>
    <w:tbl>
      <w:tblPr>
        <w:tblStyle w:val="4"/>
        <w:tblW w:w="782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91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斑块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91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相交面积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(m2)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391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{{</w:t>
            </w:r>
            <w:r>
              <w:rPr>
                <w:rFonts w:ascii="仿宋" w:hAnsi="仿宋" w:eastAsia="仿宋" w:cs="仿宋"/>
                <w:b/>
                <w:color w:val="000000"/>
                <w:sz w:val="24"/>
              </w:rPr>
              <w:t>$fe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:list t.redlineId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910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t.area}}</w:t>
            </w:r>
          </w:p>
        </w:tc>
      </w:tr>
    </w:tbl>
    <w:p>
      <w:pPr>
        <w:spacing w:line="360" w:lineRule="auto"/>
        <w:ind w:left="42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缩略示意图</w:t>
      </w:r>
    </w:p>
    <w:p>
      <w:pPr>
        <w:ind w:firstLine="48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{{image}}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3A77"/>
    <w:multiLevelType w:val="multilevel"/>
    <w:tmpl w:val="58753A7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2019-05-13T03:36:26Z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