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Subscription Agreement Comparison (Red Hat, SUSE, MariaDB, HAProxy)</w:t>
      </w:r>
    </w:p>
    <w:p>
      <w:pPr>
        <w:pStyle w:val="Heading1"/>
      </w:pPr>
      <w:r>
        <w:t>A. Snapshot — Free/Perpetual License vs. Paid Subscription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Red Hat</w:t>
            </w:r>
          </w:p>
        </w:tc>
        <w:tc>
          <w:tcPr>
            <w:tcW w:type="dxa" w:w="1728"/>
          </w:tcPr>
          <w:p>
            <w:r>
              <w:t>SUSE</w:t>
            </w:r>
          </w:p>
        </w:tc>
        <w:tc>
          <w:tcPr>
            <w:tcW w:type="dxa" w:w="1728"/>
          </w:tcPr>
          <w:p>
            <w:r>
              <w:t>MariaDB</w:t>
            </w:r>
          </w:p>
        </w:tc>
        <w:tc>
          <w:tcPr>
            <w:tcW w:type="dxa" w:w="1728"/>
          </w:tcPr>
          <w:p>
            <w:r>
              <w:t>HAProxy</w:t>
            </w:r>
          </w:p>
        </w:tc>
      </w:tr>
      <w:tr>
        <w:tc>
          <w:tcPr>
            <w:tcW w:type="dxa" w:w="1728"/>
          </w:tcPr>
          <w:p>
            <w:r>
              <w:t>Is software under a free/OSS license?</w:t>
            </w:r>
          </w:p>
        </w:tc>
        <w:tc>
          <w:tcPr>
            <w:tcW w:type="dxa" w:w="1728"/>
          </w:tcPr>
          <w:p>
            <w:r>
              <w:t>Yes—fees are for subscription services; software licenses themselves aren’t charged.</w:t>
            </w:r>
          </w:p>
        </w:tc>
        <w:tc>
          <w:tcPr>
            <w:tcW w:type="dxa" w:w="1728"/>
          </w:tcPr>
          <w:p>
            <w:r>
              <w:t>Yes—many products are OSS; Subscription Terms govern support/updates.</w:t>
            </w:r>
          </w:p>
        </w:tc>
        <w:tc>
          <w:tcPr>
            <w:tcW w:type="dxa" w:w="1728"/>
          </w:tcPr>
          <w:p>
            <w:r>
              <w:t>Yes—MariaDB Enterprise Server is GPLv2; others vary.</w:t>
            </w:r>
          </w:p>
        </w:tc>
        <w:tc>
          <w:tcPr>
            <w:tcW w:type="dxa" w:w="1728"/>
          </w:tcPr>
          <w:p>
            <w:r>
              <w:t>Both: commercial license under subscription; OSS components under OSS licenses.</w:t>
            </w:r>
          </w:p>
        </w:tc>
      </w:tr>
      <w:tr>
        <w:tc>
          <w:tcPr>
            <w:tcW w:type="dxa" w:w="1728"/>
          </w:tcPr>
          <w:p>
            <w:r>
              <w:t>Can customer keep using software after subscription ends?</w:t>
            </w:r>
          </w:p>
        </w:tc>
        <w:tc>
          <w:tcPr>
            <w:tcW w:type="dxa" w:w="1728"/>
          </w:tcPr>
          <w:p>
            <w:r>
              <w:t>OSS bits continue, but support/updates end.</w:t>
            </w:r>
          </w:p>
        </w:tc>
        <w:tc>
          <w:tcPr>
            <w:tcW w:type="dxa" w:w="1728"/>
          </w:tcPr>
          <w:p>
            <w:r>
              <w:t>Perpetual licenses continue (if any); support ends.</w:t>
            </w:r>
          </w:p>
        </w:tc>
        <w:tc>
          <w:tcPr>
            <w:tcW w:type="dxa" w:w="1728"/>
          </w:tcPr>
          <w:p>
            <w:r>
              <w:t>GPL components continue; hosted MMD gives 30-day wind-down.</w:t>
            </w:r>
          </w:p>
        </w:tc>
        <w:tc>
          <w:tcPr>
            <w:tcW w:type="dxa" w:w="1728"/>
          </w:tcPr>
          <w:p>
            <w:r>
              <w:t>OSS fallback allowed; must uninstall commercial software.</w:t>
            </w:r>
          </w:p>
        </w:tc>
      </w:tr>
    </w:tbl>
    <w:p>
      <w:pPr>
        <w:pStyle w:val="Heading1"/>
      </w:pPr>
      <w:r>
        <w:t>B. Core Subscription Clauses (Side-by-Side)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Clause</w:t>
            </w:r>
          </w:p>
        </w:tc>
        <w:tc>
          <w:tcPr>
            <w:tcW w:type="dxa" w:w="1728"/>
          </w:tcPr>
          <w:p>
            <w:r>
              <w:t>Red Hat</w:t>
            </w:r>
          </w:p>
        </w:tc>
        <w:tc>
          <w:tcPr>
            <w:tcW w:type="dxa" w:w="1728"/>
          </w:tcPr>
          <w:p>
            <w:r>
              <w:t>SUSE</w:t>
            </w:r>
          </w:p>
        </w:tc>
        <w:tc>
          <w:tcPr>
            <w:tcW w:type="dxa" w:w="1728"/>
          </w:tcPr>
          <w:p>
            <w:r>
              <w:t>MariaDB</w:t>
            </w:r>
          </w:p>
        </w:tc>
        <w:tc>
          <w:tcPr>
            <w:tcW w:type="dxa" w:w="1728"/>
          </w:tcPr>
          <w:p>
            <w:r>
              <w:t>HAProxy</w:t>
            </w:r>
          </w:p>
        </w:tc>
      </w:tr>
      <w:tr>
        <w:tc>
          <w:tcPr>
            <w:tcW w:type="dxa" w:w="1728"/>
          </w:tcPr>
          <w:p>
            <w:r>
              <w:t>Agreement structure</w:t>
            </w:r>
          </w:p>
        </w:tc>
        <w:tc>
          <w:tcPr>
            <w:tcW w:type="dxa" w:w="1728"/>
          </w:tcPr>
          <w:p>
            <w:r>
              <w:t>Enterprise Agreement + Product Appendices</w:t>
            </w:r>
          </w:p>
        </w:tc>
        <w:tc>
          <w:tcPr>
            <w:tcW w:type="dxa" w:w="1728"/>
          </w:tcPr>
          <w:p>
            <w:r>
              <w:t>Subscription Terms + MLA/VLA + EULA</w:t>
            </w:r>
          </w:p>
        </w:tc>
        <w:tc>
          <w:tcPr>
            <w:tcW w:type="dxa" w:w="1728"/>
          </w:tcPr>
          <w:p>
            <w:r>
              <w:t>Subscription Agreement + Policy + SLA</w:t>
            </w:r>
          </w:p>
        </w:tc>
        <w:tc>
          <w:tcPr>
            <w:tcW w:type="dxa" w:w="1728"/>
          </w:tcPr>
          <w:p>
            <w:r>
              <w:t>Subscription &amp; Services Agreement + Order Form</w:t>
            </w:r>
          </w:p>
        </w:tc>
      </w:tr>
      <w:tr>
        <w:tc>
          <w:tcPr>
            <w:tcW w:type="dxa" w:w="1728"/>
          </w:tcPr>
          <w:p>
            <w:r>
              <w:t>Scope / license grant</w:t>
            </w:r>
          </w:p>
        </w:tc>
        <w:tc>
          <w:tcPr>
            <w:tcW w:type="dxa" w:w="1728"/>
          </w:tcPr>
          <w:p>
            <w:r>
              <w:t>Access via subscription; usage measured by Units</w:t>
            </w:r>
          </w:p>
        </w:tc>
        <w:tc>
          <w:tcPr>
            <w:tcW w:type="dxa" w:w="1728"/>
          </w:tcPr>
          <w:p>
            <w:r>
              <w:t>Internal-use rights; registered in SUSE Customer Center</w:t>
            </w:r>
          </w:p>
        </w:tc>
        <w:tc>
          <w:tcPr>
            <w:tcW w:type="dxa" w:w="1728"/>
          </w:tcPr>
          <w:p>
            <w:r>
              <w:t>Non-exclusive, internal-use license; all cores must be licensed</w:t>
            </w:r>
          </w:p>
        </w:tc>
        <w:tc>
          <w:tcPr>
            <w:tcW w:type="dxa" w:w="1728"/>
          </w:tcPr>
          <w:p>
            <w:r>
              <w:t>Non-exclusive, non-transferable license per server</w:t>
            </w:r>
          </w:p>
        </w:tc>
      </w:tr>
      <w:tr>
        <w:tc>
          <w:tcPr>
            <w:tcW w:type="dxa" w:w="1728"/>
          </w:tcPr>
          <w:p>
            <w:r>
              <w:t>Usage metrics</w:t>
            </w:r>
          </w:p>
        </w:tc>
        <w:tc>
          <w:tcPr>
            <w:tcW w:type="dxa" w:w="1728"/>
          </w:tcPr>
          <w:p>
            <w:r>
              <w:t>Units: socket, core, vCPU, node (Appendix 1)</w:t>
            </w:r>
          </w:p>
        </w:tc>
        <w:tc>
          <w:tcPr>
            <w:tcW w:type="dxa" w:w="1728"/>
          </w:tcPr>
          <w:p>
            <w:r>
              <w:t>Per product (socket/VM/node/cluster)</w:t>
            </w:r>
          </w:p>
        </w:tc>
        <w:tc>
          <w:tcPr>
            <w:tcW w:type="dxa" w:w="1728"/>
          </w:tcPr>
          <w:p>
            <w:r>
              <w:t>Server/core/vCPU/instance</w:t>
            </w:r>
          </w:p>
        </w:tc>
        <w:tc>
          <w:tcPr>
            <w:tcW w:type="dxa" w:w="1728"/>
          </w:tcPr>
          <w:p>
            <w:r>
              <w:t>Per server; all servers covered</w:t>
            </w:r>
          </w:p>
        </w:tc>
      </w:tr>
      <w:tr>
        <w:tc>
          <w:tcPr>
            <w:tcW w:type="dxa" w:w="1728"/>
          </w:tcPr>
          <w:p>
            <w:r>
              <w:t>Support &amp; updates</w:t>
            </w:r>
          </w:p>
        </w:tc>
        <w:tc>
          <w:tcPr>
            <w:tcW w:type="dxa" w:w="1728"/>
          </w:tcPr>
          <w:p>
            <w:r>
              <w:t>Service levels + Open Source Assurance</w:t>
            </w:r>
          </w:p>
        </w:tc>
        <w:tc>
          <w:tcPr>
            <w:tcW w:type="dxa" w:w="1728"/>
          </w:tcPr>
          <w:p>
            <w:r>
              <w:t>Support lifecycle; updates included</w:t>
            </w:r>
          </w:p>
        </w:tc>
        <w:tc>
          <w:tcPr>
            <w:tcW w:type="dxa" w:w="1728"/>
          </w:tcPr>
          <w:p>
            <w:r>
              <w:t>Services per policy; MMD SLA</w:t>
            </w:r>
          </w:p>
        </w:tc>
        <w:tc>
          <w:tcPr>
            <w:tcW w:type="dxa" w:w="1728"/>
          </w:tcPr>
          <w:p>
            <w:r>
              <w:t>Support level per Order Form; updates during term</w:t>
            </w:r>
          </w:p>
        </w:tc>
      </w:tr>
      <w:tr>
        <w:tc>
          <w:tcPr>
            <w:tcW w:type="dxa" w:w="1728"/>
          </w:tcPr>
          <w:p>
            <w:r>
              <w:t>Fees &amp; payment</w:t>
            </w:r>
          </w:p>
        </w:tc>
        <w:tc>
          <w:tcPr>
            <w:tcW w:type="dxa" w:w="1728"/>
          </w:tcPr>
          <w:p>
            <w:r>
              <w:t>Net 30; non-refundable</w:t>
            </w:r>
          </w:p>
        </w:tc>
        <w:tc>
          <w:tcPr>
            <w:tcW w:type="dxa" w:w="1728"/>
          </w:tcPr>
          <w:p>
            <w:r>
              <w:t>Annual advance; Net 30; non-refundable</w:t>
            </w:r>
          </w:p>
        </w:tc>
        <w:tc>
          <w:tcPr>
            <w:tcW w:type="dxa" w:w="1728"/>
          </w:tcPr>
          <w:p>
            <w:r>
              <w:t>Net 30; non-cancellable/non-refundable</w:t>
            </w:r>
          </w:p>
        </w:tc>
        <w:tc>
          <w:tcPr>
            <w:tcW w:type="dxa" w:w="1728"/>
          </w:tcPr>
          <w:p>
            <w:r>
              <w:t>Net 30; 1.5% late interest; non-refundable</w:t>
            </w:r>
          </w:p>
        </w:tc>
      </w:tr>
      <w:tr>
        <w:tc>
          <w:tcPr>
            <w:tcW w:type="dxa" w:w="1728"/>
          </w:tcPr>
          <w:p>
            <w:r>
              <w:t>Taxes</w:t>
            </w:r>
          </w:p>
        </w:tc>
        <w:tc>
          <w:tcPr>
            <w:tcW w:type="dxa" w:w="1728"/>
          </w:tcPr>
          <w:p>
            <w:r>
              <w:t>Customer pays; excludes taxes</w:t>
            </w:r>
          </w:p>
        </w:tc>
        <w:tc>
          <w:tcPr>
            <w:tcW w:type="dxa" w:w="1728"/>
          </w:tcPr>
          <w:p>
            <w:r>
              <w:t>Customer pays + gross-up</w:t>
            </w:r>
          </w:p>
        </w:tc>
        <w:tc>
          <w:tcPr>
            <w:tcW w:type="dxa" w:w="1728"/>
          </w:tcPr>
          <w:p>
            <w:r>
              <w:t>Customer pays + gross-up</w:t>
            </w:r>
          </w:p>
        </w:tc>
        <w:tc>
          <w:tcPr>
            <w:tcW w:type="dxa" w:w="1728"/>
          </w:tcPr>
          <w:p>
            <w:r>
              <w:t>Customer pays; evidence if withholding</w:t>
            </w:r>
          </w:p>
        </w:tc>
      </w:tr>
      <w:tr>
        <w:tc>
          <w:tcPr>
            <w:tcW w:type="dxa" w:w="1728"/>
          </w:tcPr>
          <w:p>
            <w:r>
              <w:t>Auto-renewal &amp; notice</w:t>
            </w:r>
          </w:p>
        </w:tc>
        <w:tc>
          <w:tcPr>
            <w:tcW w:type="dxa" w:w="1728"/>
          </w:tcPr>
          <w:p>
            <w:r>
              <w:t>Auto-renew; 30d notice (NA); localized for APAC</w:t>
            </w:r>
          </w:p>
        </w:tc>
        <w:tc>
          <w:tcPr>
            <w:tcW w:type="dxa" w:w="1728"/>
          </w:tcPr>
          <w:p>
            <w:r>
              <w:t>Auto-renew; 90d notice</w:t>
            </w:r>
          </w:p>
        </w:tc>
        <w:tc>
          <w:tcPr>
            <w:tcW w:type="dxa" w:w="1728"/>
          </w:tcPr>
          <w:p>
            <w:r>
              <w:t>Auto-renew; 60d notice</w:t>
            </w:r>
          </w:p>
        </w:tc>
        <w:tc>
          <w:tcPr>
            <w:tcW w:type="dxa" w:w="1728"/>
          </w:tcPr>
          <w:p>
            <w:r>
              <w:t>Auto-renew; 60d notice</w:t>
            </w:r>
          </w:p>
        </w:tc>
      </w:tr>
      <w:tr>
        <w:tc>
          <w:tcPr>
            <w:tcW w:type="dxa" w:w="1728"/>
          </w:tcPr>
          <w:p>
            <w:r>
              <w:t>Termination</w:t>
            </w:r>
          </w:p>
        </w:tc>
        <w:tc>
          <w:tcPr>
            <w:tcW w:type="dxa" w:w="1728"/>
          </w:tcPr>
          <w:p>
            <w:r>
              <w:t>Breach (30d cure), insolvency</w:t>
            </w:r>
          </w:p>
        </w:tc>
        <w:tc>
          <w:tcPr>
            <w:tcW w:type="dxa" w:w="1728"/>
          </w:tcPr>
          <w:p>
            <w:r>
              <w:t>Breach (30d cure), non-payment (10d)</w:t>
            </w:r>
          </w:p>
        </w:tc>
        <w:tc>
          <w:tcPr>
            <w:tcW w:type="dxa" w:w="1728"/>
          </w:tcPr>
          <w:p>
            <w:r>
              <w:t>Breach (30d cure), non-payment; MMD data wind-down</w:t>
            </w:r>
          </w:p>
        </w:tc>
        <w:tc>
          <w:tcPr>
            <w:tcW w:type="dxa" w:w="1728"/>
          </w:tcPr>
          <w:p>
            <w:r>
              <w:t>Immediate for breach/insolvency</w:t>
            </w:r>
          </w:p>
        </w:tc>
      </w:tr>
      <w:tr>
        <w:tc>
          <w:tcPr>
            <w:tcW w:type="dxa" w:w="1728"/>
          </w:tcPr>
          <w:p>
            <w:r>
              <w:t>Effect of termination</w:t>
            </w:r>
          </w:p>
        </w:tc>
        <w:tc>
          <w:tcPr>
            <w:tcW w:type="dxa" w:w="1728"/>
          </w:tcPr>
          <w:p>
            <w:r>
              <w:t>Lose subscription benefits</w:t>
            </w:r>
          </w:p>
        </w:tc>
        <w:tc>
          <w:tcPr>
            <w:tcW w:type="dxa" w:w="1728"/>
          </w:tcPr>
          <w:p>
            <w:r>
              <w:t>Perpetual licenses continue; support ends</w:t>
            </w:r>
          </w:p>
        </w:tc>
        <w:tc>
          <w:tcPr>
            <w:tcW w:type="dxa" w:w="1728"/>
          </w:tcPr>
          <w:p>
            <w:r>
              <w:t>30d data retrieval (MMD); then deletion</w:t>
            </w:r>
          </w:p>
        </w:tc>
        <w:tc>
          <w:tcPr>
            <w:tcW w:type="dxa" w:w="1728"/>
          </w:tcPr>
          <w:p>
            <w:r>
              <w:t>Uninstall commercial; OSS fallback</w:t>
            </w:r>
          </w:p>
        </w:tc>
      </w:tr>
      <w:tr>
        <w:tc>
          <w:tcPr>
            <w:tcW w:type="dxa" w:w="1728"/>
          </w:tcPr>
          <w:p>
            <w:r>
              <w:t>Audit / verification</w:t>
            </w:r>
          </w:p>
        </w:tc>
        <w:tc>
          <w:tcPr>
            <w:tcW w:type="dxa" w:w="1728"/>
          </w:tcPr>
          <w:p>
            <w:r>
              <w:t>10d notice; &gt;5% shortfall → pay + audit costs</w:t>
            </w:r>
          </w:p>
        </w:tc>
        <w:tc>
          <w:tcPr>
            <w:tcW w:type="dxa" w:w="1728"/>
          </w:tcPr>
          <w:p>
            <w:r>
              <w:t>Term +2y; pay shortfall @ list + 8% interest</w:t>
            </w:r>
          </w:p>
        </w:tc>
        <w:tc>
          <w:tcPr>
            <w:tcW w:type="dxa" w:w="1728"/>
          </w:tcPr>
          <w:p>
            <w:r>
              <w:t>15d notice; annual audit; pay deficit + costs</w:t>
            </w:r>
          </w:p>
        </w:tc>
        <w:tc>
          <w:tcPr>
            <w:tcW w:type="dxa" w:w="1728"/>
          </w:tcPr>
          <w:p>
            <w:r>
              <w:t>1/yr; term +1y; pay shortfall + costs</w:t>
            </w:r>
          </w:p>
        </w:tc>
      </w:tr>
      <w:tr>
        <w:tc>
          <w:tcPr>
            <w:tcW w:type="dxa" w:w="1728"/>
          </w:tcPr>
          <w:p>
            <w:r>
              <w:t>Confidentiality</w:t>
            </w:r>
          </w:p>
        </w:tc>
        <w:tc>
          <w:tcPr>
            <w:tcW w:type="dxa" w:w="1728"/>
          </w:tcPr>
          <w:p>
            <w:r>
              <w:t>2y survival</w:t>
            </w:r>
          </w:p>
        </w:tc>
        <w:tc>
          <w:tcPr>
            <w:tcW w:type="dxa" w:w="1728"/>
          </w:tcPr>
          <w:p>
            <w:r>
              <w:t>3y survival</w:t>
            </w:r>
          </w:p>
        </w:tc>
        <w:tc>
          <w:tcPr>
            <w:tcW w:type="dxa" w:w="1728"/>
          </w:tcPr>
          <w:p>
            <w:r>
              <w:t>Standard; return/destroy</w:t>
            </w:r>
          </w:p>
        </w:tc>
        <w:tc>
          <w:tcPr>
            <w:tcW w:type="dxa" w:w="1728"/>
          </w:tcPr>
          <w:p>
            <w:r>
              <w:t>Residuals allowed</w:t>
            </w:r>
          </w:p>
        </w:tc>
      </w:tr>
      <w:tr>
        <w:tc>
          <w:tcPr>
            <w:tcW w:type="dxa" w:w="1728"/>
          </w:tcPr>
          <w:p>
            <w:r>
              <w:t>IP ownership / feedback</w:t>
            </w:r>
          </w:p>
        </w:tc>
        <w:tc>
          <w:tcPr>
            <w:tcW w:type="dxa" w:w="1728"/>
          </w:tcPr>
          <w:p>
            <w:r>
              <w:t>Red Hat uses feedback; rights reserved</w:t>
            </w:r>
          </w:p>
        </w:tc>
        <w:tc>
          <w:tcPr>
            <w:tcW w:type="dxa" w:w="1728"/>
          </w:tcPr>
          <w:p>
            <w:r>
              <w:t>SUSE owns; perpetual feedback license</w:t>
            </w:r>
          </w:p>
        </w:tc>
        <w:tc>
          <w:tcPr>
            <w:tcW w:type="dxa" w:w="1728"/>
          </w:tcPr>
          <w:p>
            <w:r>
              <w:t>MariaDB owns; OSS mods apply</w:t>
            </w:r>
          </w:p>
        </w:tc>
        <w:tc>
          <w:tcPr>
            <w:tcW w:type="dxa" w:w="1728"/>
          </w:tcPr>
          <w:p>
            <w:r>
              <w:t>Company owns; perpetual feedback license</w:t>
            </w:r>
          </w:p>
        </w:tc>
      </w:tr>
      <w:tr>
        <w:tc>
          <w:tcPr>
            <w:tcW w:type="dxa" w:w="1728"/>
          </w:tcPr>
          <w:p>
            <w:r>
              <w:t>IP indemnity</w:t>
            </w:r>
          </w:p>
        </w:tc>
        <w:tc>
          <w:tcPr>
            <w:tcW w:type="dxa" w:w="1728"/>
          </w:tcPr>
          <w:p>
            <w:r>
              <w:t>OSS Assurance (limited)</w:t>
            </w:r>
          </w:p>
        </w:tc>
        <w:tc>
          <w:tcPr>
            <w:tcW w:type="dxa" w:w="1728"/>
          </w:tcPr>
          <w:p>
            <w:r>
              <w:t>Yes; repair/replace/refund remedies</w:t>
            </w:r>
          </w:p>
        </w:tc>
        <w:tc>
          <w:tcPr>
            <w:tcW w:type="dxa" w:w="1728"/>
          </w:tcPr>
          <w:p>
            <w:r>
              <w:t>None (customer indemnifies)</w:t>
            </w:r>
          </w:p>
        </w:tc>
        <w:tc>
          <w:tcPr>
            <w:tcW w:type="dxa" w:w="1728"/>
          </w:tcPr>
          <w:p>
            <w:r>
              <w:t>Yes; for Covered Software; repair/replace/refund</w:t>
            </w:r>
          </w:p>
        </w:tc>
      </w:tr>
      <w:tr>
        <w:tc>
          <w:tcPr>
            <w:tcW w:type="dxa" w:w="1728"/>
          </w:tcPr>
          <w:p>
            <w:r>
              <w:t>Liability cap</w:t>
            </w:r>
          </w:p>
        </w:tc>
        <w:tc>
          <w:tcPr>
            <w:tcW w:type="dxa" w:w="1728"/>
          </w:tcPr>
          <w:p>
            <w:r>
              <w:t>12m fees; excludes indirect</w:t>
            </w:r>
          </w:p>
        </w:tc>
        <w:tc>
          <w:tcPr>
            <w:tcW w:type="dxa" w:w="1728"/>
          </w:tcPr>
          <w:p>
            <w:r>
              <w:t>12m fees (or $1k/$5k); excludes indirect</w:t>
            </w:r>
          </w:p>
        </w:tc>
        <w:tc>
          <w:tcPr>
            <w:tcW w:type="dxa" w:w="1728"/>
          </w:tcPr>
          <w:p>
            <w:r>
              <w:t>Lesser of 12m fees or $500k; excludes indirect</w:t>
            </w:r>
          </w:p>
        </w:tc>
        <w:tc>
          <w:tcPr>
            <w:tcW w:type="dxa" w:w="1728"/>
          </w:tcPr>
          <w:p>
            <w:r>
              <w:t>12m fees; excludes indirect</w:t>
            </w:r>
          </w:p>
        </w:tc>
      </w:tr>
      <w:tr>
        <w:tc>
          <w:tcPr>
            <w:tcW w:type="dxa" w:w="1728"/>
          </w:tcPr>
          <w:p>
            <w:r>
              <w:t>Governing law</w:t>
            </w:r>
          </w:p>
        </w:tc>
        <w:tc>
          <w:tcPr>
            <w:tcW w:type="dxa" w:w="1728"/>
          </w:tcPr>
          <w:p>
            <w:r>
              <w:t>NA: NY law/NC courts; APAC: SG law + SIAC</w:t>
            </w:r>
          </w:p>
        </w:tc>
        <w:tc>
          <w:tcPr>
            <w:tcW w:type="dxa" w:w="1728"/>
          </w:tcPr>
          <w:p>
            <w:r>
              <w:t>Matrix (NY, UK, PRC law/arbitration)</w:t>
            </w:r>
          </w:p>
        </w:tc>
        <w:tc>
          <w:tcPr>
            <w:tcW w:type="dxa" w:w="1728"/>
          </w:tcPr>
          <w:p>
            <w:r>
              <w:t>California law; Santa Clara courts</w:t>
            </w:r>
          </w:p>
        </w:tc>
        <w:tc>
          <w:tcPr>
            <w:tcW w:type="dxa" w:w="1728"/>
          </w:tcPr>
          <w:p>
            <w:r>
              <w:t>NY law; NY courts</w:t>
            </w:r>
          </w:p>
        </w:tc>
      </w:tr>
    </w:tbl>
    <w:p>
      <w:pPr>
        <w:pStyle w:val="Heading1"/>
      </w:pPr>
      <w:r>
        <w:t>C. Drafting Guide for Alauda</w:t>
      </w:r>
    </w:p>
    <w:p>
      <w:r>
        <w:t>1) Fees cover support/updates only; OSS under EULA.</w:t>
      </w:r>
    </w:p>
    <w:p>
      <w:r>
        <w:t>2) Define clear Unit metrics (node/core/vCPU/instance/cluster).</w:t>
      </w:r>
    </w:p>
    <w:p>
      <w:r>
        <w:t>3) Auto-renew with 60 days’ notice of non-renewal.</w:t>
      </w:r>
    </w:p>
    <w:p>
      <w:r>
        <w:t>4) Payment: Net 30, non-refundable; late interest 1–1.5%/mo.</w:t>
      </w:r>
    </w:p>
    <w:p>
      <w:r>
        <w:t>5) Audit right: term +1–2y; 10–15d notice; threshold 5%.</w:t>
      </w:r>
    </w:p>
    <w:p>
      <w:r>
        <w:t>6) IP ownership: Alauda retains; perpetual feedback license.</w:t>
      </w:r>
    </w:p>
    <w:p>
      <w:r>
        <w:t>7) IP indemnity: defend/repair/replace/refund; standard exclusions.</w:t>
      </w:r>
    </w:p>
    <w:p>
      <w:r>
        <w:t>8) Liability cap: fees paid in prior 12 months.</w:t>
      </w:r>
    </w:p>
    <w:p>
      <w:r>
        <w:t>9) Hosted service exit: 30d data wind-down then purge.</w:t>
      </w:r>
    </w:p>
    <w:p>
      <w:r>
        <w:t>10) Governing law: matrix by region (Americas, EMEA, APAC, PRC).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