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6A9A"/>
          <w:sz w:val="36"/>
        </w:rPr>
        <w:t>🚀 Alauda Legal Review Report</w:t>
      </w:r>
    </w:p>
    <w:p>
      <w:pPr>
        <w:ind w:left="288"/>
      </w:pPr>
      <w:r>
        <w:rPr>
          <w:i/>
          <w:color w:val="475569"/>
        </w:rPr>
        <w:t>生成时间: 2026-02-22 00:15:25</w:t>
        <w:br/>
        <w:t>审核标准: Alauda Global Legal Benchmark (对标 Red Hat ECA)</w:t>
      </w:r>
    </w:p>
    <w:p>
      <w:pPr>
        <w:pStyle w:val="Heading2"/>
      </w:pPr>
      <w:r>
        <w:rPr>
          <w:color w:val="1A6A9A"/>
          <w:sz w:val="28"/>
        </w:rPr>
        <w:t>📊 Mode A: 风险对比表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监控维度</w:t>
            </w:r>
          </w:p>
        </w:tc>
        <w:tc>
          <w:tcPr>
            <w:tcW w:type="dxa" w:w="1728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原文摘要</w:t>
            </w:r>
          </w:p>
        </w:tc>
        <w:tc>
          <w:tcPr>
            <w:tcW w:type="dxa" w:w="1728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Alauda 标准要求</w:t>
            </w:r>
          </w:p>
        </w:tc>
        <w:tc>
          <w:tcPr>
            <w:tcW w:type="dxa" w:w="1728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风险原因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订阅计量 (Subscription Metrics)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[Section 4] 9 (Excused Performance) are Supplier's exclusive remedy for an Excus...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订阅应基于具体计量单位(Unit)而非无限制使用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基于节点/核心的订阅模式，确保商业收益匹配实际消耗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赔偿条款 (Liability)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[Section 1] 4.6(b)(ii) are satisfied: the change requires an adoption of new tec...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🔴 HIGH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赔偿限额：订阅服务为12个月费用，EULA免费软件为50美元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符合 Alauda 与主流厂商 (如 Red Hat/SUSE) 的双轨制商业风险对冲标准 - 赔偿倍数过高 (3倍)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知识产权 (IP)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[Section 1] 4.6(b)(ii) are satisfied: the change requires an adoption of new tec...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保留核心平台及衍生作品所有权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保护核心产品分发权，避免被单一银行绑定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验收条款 (Acceptance)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[Section 5] above. If a spare part is required, Huawei will promptly issue a ret...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🟡 MEDIUM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10个工作日默示验收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解决现金流被流程拖延的问题 - 验收期非10天标准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终止条款 (Termination)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[6.1] (Termination Assistance), as reasonably requested by Absa, during the Term...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合理终止通知期 (30-90天)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保持业务灵活性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适用法律 (Governing Law)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[13.14] (Dispute Resolution Procedure) of the General Terms....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适用法律需考虑司法管辖区差异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不同法域适用不同条款标准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数据保护 (Data Protection)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[7.3] above. Once the issue is logged, Huawei will assess the problem with the H...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符合适用数据保护法规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合规风险控制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SLA 响应时间 (SLA Response)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[4.1] SERVICE LEVELS AND SERVICE CREDITS...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SLA 响应时间需符合公司最新运营标准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确保向客户承诺的 SLA 不超过运维团队可支撑的最高标准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支持范围 (Support Scope)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[M.2] devices and Intelligent Computing Media (SD cards, SataDom, TPM cards, USB...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🟡 MEDIUM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明确支持范围与排除项(拒绝驻场及定制开发)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防止支持范围无限扩大，匹配 Alauda 标准服务基线 - 包含第三方产品支持(可能未认证)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责任排除 (Exclusion of Liability)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[14.1.1] in the General Terms, should Absa exercise its rights under Clause 14.1...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明确排除间接损失/数据损失责任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保护供应商免受无限赔偿责任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培训承诺 (Training Commitment)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[M.2] devices and Intelligent Computing Media (SD cards, SataDom, TPM cards, USB...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培训承诺需有上限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避免培训成本失控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支持期限 (Support Duration)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[M.2] devices and Intelligent Computing Media (SD cards, SataDom, TPM cards, USB...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支持期限需可控 (建议 1-2 年)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控制长期维护成本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访问权限 (Access Rights)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[M.2] devices and Intelligent Computing Media (SD cards, SataDom, TPM cards, USB...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限制访问权限 (仅屏幕共享)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保护客户安全，降低供应商风险 - 符合 Alauda 标准</w:t>
            </w:r>
          </w:p>
        </w:tc>
      </w:tr>
      <w:tr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支持终止 (Support Termination)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[M.2] devices and Intelligent Computing Media (SD cards, SataDom, TPM cards, USB...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LOW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终止支持需合理通知期</w:t>
            </w:r>
          </w:p>
        </w:tc>
        <w:tc>
          <w:tcPr>
            <w:tcW w:type="dxa" w:w="1728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保持业务灵活性 - 符合 Alauda 标准</w:t>
            </w:r>
          </w:p>
        </w:tc>
      </w:tr>
    </w:tbl>
    <w:p>
      <w:pPr>
        <w:pStyle w:val="Heading2"/>
      </w:pPr>
      <w:r>
        <w:rPr>
          <w:color w:val="1A6A9A"/>
          <w:sz w:val="28"/>
        </w:rPr>
        <w:t>✍️ Mode B: 建议修订文本</w:t>
      </w:r>
    </w:p>
    <w:p>
      <w:pPr>
        <w:ind w:left="288"/>
      </w:pPr>
      <w:r>
        <w:rPr>
          <w:i/>
          <w:color w:val="475569"/>
        </w:rPr>
        <w:t>以下为符合 Alauda 标准的修订建议，可直接用于回复客户</w:t>
      </w:r>
    </w:p>
    <w:p>
      <w:pPr>
        <w:pStyle w:val="Heading3"/>
      </w:pPr>
      <w:r>
        <w:rPr>
          <w:color w:val="1A6A9A"/>
          <w:sz w:val="24"/>
        </w:rPr>
        <w:t>赔偿条款 (Liability)</w:t>
      </w:r>
    </w:p>
    <w:p>
      <w:r>
        <w:rPr>
          <w:b/>
        </w:rPr>
        <w:t>❌ 原条款风险</w:t>
      </w:r>
      <w:r>
        <w:t>: 符合 Alauda 与主流厂商 (如 Red Hat/SUSE) 的双轨制商业风险对冲标准 - 赔偿倍数过高 (3倍)</w:t>
      </w:r>
    </w:p>
    <w:p>
      <w:r>
        <w:rPr>
          <w:b/>
        </w:rPr>
        <w:t>✅ 建议修订</w:t>
      </w:r>
      <w:r>
        <w:t>:</w:t>
        <w:br/>
      </w:r>
      <w:r>
        <w:rPr>
          <w:rFonts w:ascii="Courier New" w:hAnsi="Courier New"/>
          <w:sz w:val="18"/>
        </w:rPr>
        <w:t>For Subscriptions, Supplier's total aggregate liability shall not exceed the total fees paid in the 12 months preceding the claim. For Software under EULA, liability is capped at US$50.</w:t>
      </w:r>
    </w:p>
    <w:p>
      <w:pPr>
        <w:pStyle w:val="Heading3"/>
      </w:pPr>
      <w:r>
        <w:rPr>
          <w:color w:val="1A6A9A"/>
          <w:sz w:val="24"/>
        </w:rPr>
        <w:t>验收条款 (Acceptance)</w:t>
      </w:r>
    </w:p>
    <w:p>
      <w:r>
        <w:rPr>
          <w:b/>
        </w:rPr>
        <w:t>❌ 原条款风险</w:t>
      </w:r>
      <w:r>
        <w:t>: 解决现金流被流程拖延的问题 - 验收期非10天标准</w:t>
      </w:r>
    </w:p>
    <w:p>
      <w:r>
        <w:rPr>
          <w:b/>
        </w:rPr>
        <w:t>✅ 建议修订</w:t>
      </w:r>
      <w:r>
        <w:t>:</w:t>
        <w:br/>
      </w:r>
      <w:r>
        <w:rPr>
          <w:rFonts w:ascii="Courier New" w:hAnsi="Courier New"/>
          <w:sz w:val="18"/>
        </w:rPr>
        <w:t>Deliverables are deemed accepted if no written rejection is received within 10 business days of delivery.</w:t>
      </w:r>
    </w:p>
    <w:p>
      <w:pPr>
        <w:pStyle w:val="Heading3"/>
      </w:pPr>
      <w:r>
        <w:rPr>
          <w:color w:val="1A6A9A"/>
          <w:sz w:val="24"/>
        </w:rPr>
        <w:t>支持范围 (Support Scope)</w:t>
      </w:r>
    </w:p>
    <w:p>
      <w:r>
        <w:rPr>
          <w:b/>
        </w:rPr>
        <w:t>❌ 原条款风险</w:t>
      </w:r>
      <w:r>
        <w:t>: 防止支持范围无限扩大，匹配 Alauda 标准服务基线 - 包含第三方产品支持(可能未认证)</w:t>
      </w:r>
    </w:p>
    <w:p>
      <w:r>
        <w:rPr>
          <w:b/>
        </w:rPr>
        <w:t>✅ 建议修订</w:t>
      </w:r>
      <w:r>
        <w:t>:</w:t>
        <w:br/>
      </w:r>
      <w:r>
        <w:rPr>
          <w:rFonts w:ascii="Courier New" w:hAnsi="Courier New"/>
          <w:sz w:val="18"/>
        </w:rPr>
        <w:t>Support includes: bug fixes, security patches, and remote technical assistance for supported versions. Support excludes: custom development, on-site support, third-party products not certified by Alauda, and issues caused by Customer's modifications or unsupported environments.</w:t>
      </w:r>
    </w:p>
    <w:p>
      <w:pPr>
        <w:pStyle w:val="Heading2"/>
      </w:pPr>
      <w:r>
        <w:rPr>
          <w:color w:val="1A6A9A"/>
          <w:sz w:val="28"/>
        </w:rPr>
        <w:t>📈 审核摘要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  <w:shd w:val="clear" w:color="auto" w:fill="F1F5F9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🔴 高风险</w:t>
            </w:r>
          </w:p>
        </w:tc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1</w:t>
            </w:r>
          </w:p>
        </w:tc>
      </w:tr>
      <w:tr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🟡 中风险</w:t>
            </w:r>
          </w:p>
        </w:tc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2</w:t>
            </w:r>
          </w:p>
        </w:tc>
      </w:tr>
      <w:tr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🟢 低风险</w:t>
            </w:r>
          </w:p>
        </w:tc>
        <w:tc>
          <w:tcPr>
            <w:tcW w:type="dxa" w:w="4320"/>
            <w:tcBorders>
              <w:start w:sz="4" w:val="single" w:color="CBD5E1"/>
              <w:top w:sz="4" w:val="single" w:color="CBD5E1"/>
              <w:end w:sz="4" w:val="single" w:color="CBD5E1"/>
              <w:bottom w:sz="4" w:val="single" w:color="CBD5E1"/>
            </w:tcBorders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