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2.0 FMEA IT详细设计</w:t>
      </w:r>
    </w:p>
    <w:p>
      <w:pPr>
        <w:numPr>
          <w:numId w:val="1"/>
        </w:numPr>
        <w:spacing w:before="120" w:after="120" w:line="288" w:lineRule="auto"/>
        <w:ind w:left="0"/>
        <w:jc w:val="left"/>
      </w:pPr>
      <w:r>
        <w:rPr>
          <w:rFonts w:eastAsia="等线" w:ascii="Arial" w:cs="Arial" w:hAnsi="Arial"/>
          <w:sz w:val="22"/>
        </w:rPr>
        <w:t>FMEA IT+AI建设整体蓝图</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z w:val="22"/>
              </w:rPr>
              <w:t>2026年实现阶段一和阶段二；</w:t>
            </w:r>
          </w:p>
          <w:p>
            <w:pPr>
              <w:numPr>
                <w:numId w:val="3"/>
              </w:numPr>
              <w:spacing w:before="120" w:after="120" w:line="288" w:lineRule="auto"/>
              <w:ind w:left="0"/>
              <w:jc w:val="left"/>
            </w:pPr>
            <w:r>
              <w:rPr>
                <w:rFonts w:eastAsia="等线" w:ascii="Arial" w:cs="Arial" w:hAnsi="Arial"/>
                <w:sz w:val="22"/>
              </w:rPr>
              <w:t>2027年实现阶段三</w:t>
            </w:r>
          </w:p>
        </w:tc>
      </w:tr>
    </w:tbl>
    <w:p>
      <w:pPr>
        <w:spacing w:before="120" w:after="120" w:line="288" w:lineRule="auto"/>
        <w:ind w:left="0"/>
        <w:jc w:val="center"/>
      </w:pPr>
      <w:r>
        <w:drawing>
          <wp:inline distT="0" distR="0" distB="0" distL="0">
            <wp:extent cx="5257800" cy="2524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方案要点</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sz w:val="22"/>
              </w:rPr>
              <w:t>0630优先匹配CBG/公共平台现有DRBFM流程实现1.0版本DRBFM生成，0730增加过程变更点触发；先实现硬件DRBFM流程，再进行解决方案DRBFM流程设计；</w:t>
            </w:r>
          </w:p>
          <w:p>
            <w:pPr>
              <w:numPr>
                <w:numId w:val="5"/>
              </w:numPr>
              <w:spacing w:before="120" w:after="120" w:line="288" w:lineRule="auto"/>
              <w:ind w:left="0"/>
              <w:jc w:val="left"/>
            </w:pPr>
            <w:r>
              <w:rPr>
                <w:rFonts w:eastAsia="等线" w:ascii="Arial" w:cs="Arial" w:hAnsi="Arial"/>
                <w:sz w:val="22"/>
              </w:rPr>
              <w:t>先保证DRBFM内部活动全线上化，与其他系统对接的，先支持手动导入文件；待其他系统成熟后再考虑对接；</w:t>
            </w:r>
          </w:p>
          <w:p>
            <w:pPr>
              <w:numPr>
                <w:numId w:val="6"/>
              </w:numPr>
              <w:spacing w:before="120" w:after="120" w:line="288" w:lineRule="auto"/>
              <w:ind w:left="0"/>
              <w:jc w:val="left"/>
            </w:pPr>
            <w:r>
              <w:rPr>
                <w:rFonts w:eastAsia="等线" w:ascii="Arial" w:cs="Arial" w:hAnsi="Arial"/>
                <w:sz w:val="22"/>
              </w:rPr>
              <w:t>因基线库数据清洗工作量巨大，先通过模糊检索+人工介入，保证匹配结果的有效性，并据此持续训练AI；</w:t>
            </w:r>
          </w:p>
          <w:p>
            <w:pPr>
              <w:numPr>
                <w:numId w:val="7"/>
              </w:numPr>
              <w:spacing w:before="120" w:after="120" w:line="288" w:lineRule="auto"/>
              <w:ind w:left="0"/>
              <w:jc w:val="left"/>
            </w:pPr>
            <w:r>
              <w:rPr>
                <w:rFonts w:eastAsia="等线" w:ascii="Arial" w:cs="Arial" w:hAnsi="Arial"/>
                <w:sz w:val="22"/>
              </w:rPr>
              <w:t>紧密结合开发成熟度，设置TR1/TR3分别开展系统/部件级DRBFM触发评估流程；</w:t>
            </w:r>
          </w:p>
          <w:p>
            <w:pPr>
              <w:numPr>
                <w:numId w:val="8"/>
              </w:numPr>
              <w:spacing w:before="120" w:after="120" w:line="288" w:lineRule="auto"/>
              <w:ind w:left="0"/>
              <w:jc w:val="left"/>
            </w:pPr>
            <w:r>
              <w:rPr>
                <w:rFonts w:eastAsia="等线" w:ascii="Arial" w:cs="Arial" w:hAnsi="Arial"/>
                <w:sz w:val="22"/>
              </w:rPr>
              <w:t>每个步骤，建立通过AI模型识别+知识推荐+人工复核方式；</w:t>
            </w:r>
          </w:p>
          <w:p>
            <w:pPr>
              <w:numPr>
                <w:numId w:val="9"/>
              </w:numPr>
              <w:spacing w:before="120" w:after="120" w:line="288" w:lineRule="auto"/>
              <w:ind w:left="0"/>
              <w:jc w:val="left"/>
            </w:pPr>
            <w:r>
              <w:rPr>
                <w:rFonts w:eastAsia="等线" w:ascii="Arial" w:cs="Arial" w:hAnsi="Arial"/>
                <w:sz w:val="22"/>
              </w:rPr>
              <w:t>建立预评审模型，通过AI识别超越每个部品工程师经验以外的系统性问题；</w:t>
            </w:r>
          </w:p>
          <w:p>
            <w:pPr>
              <w:numPr>
                <w:numId w:val="10"/>
              </w:numPr>
              <w:spacing w:before="120" w:after="120" w:line="288" w:lineRule="auto"/>
              <w:ind w:left="0"/>
              <w:jc w:val="left"/>
            </w:pPr>
            <w:r>
              <w:rPr>
                <w:rFonts w:eastAsia="等线" w:ascii="Arial" w:cs="Arial" w:hAnsi="Arial"/>
                <w:sz w:val="22"/>
              </w:rPr>
              <w:t>通过AI智能提炼DRBFM分析总结，推送各评审人员，提升评审效率；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业务访谈收获</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与CBG质量经理</w:t>
            </w:r>
            <w:r>
              <w:rPr>
                <w:rFonts w:eastAsia="等线" w:ascii="Arial" w:cs="Arial" w:hAnsi="Arial"/>
                <w:color w:val="3370ff"/>
                <w:sz w:val="22"/>
              </w:rPr>
              <w:t>@钟海帆</w:t>
            </w:r>
            <w:r>
              <w:rPr>
                <w:rFonts w:eastAsia="等线" w:ascii="Arial" w:cs="Arial" w:hAnsi="Arial"/>
                <w:sz w:val="22"/>
              </w:rPr>
              <w:t xml:space="preserve">， TSE </w:t>
            </w:r>
            <w:r>
              <w:rPr>
                <w:rFonts w:eastAsia="等线" w:ascii="Arial" w:cs="Arial" w:hAnsi="Arial"/>
                <w:color w:val="3370ff"/>
                <w:sz w:val="22"/>
              </w:rPr>
              <w:t>@刘佳8</w:t>
            </w:r>
            <w:r>
              <w:rPr>
                <w:rFonts w:eastAsia="等线" w:ascii="Arial" w:cs="Arial" w:hAnsi="Arial"/>
                <w:sz w:val="22"/>
              </w:rPr>
              <w:t>，EE（负责BOM）</w:t>
            </w:r>
            <w:r>
              <w:rPr>
                <w:rFonts w:eastAsia="等线" w:ascii="Arial" w:cs="Arial" w:hAnsi="Arial"/>
                <w:color w:val="3370ff"/>
                <w:sz w:val="22"/>
              </w:rPr>
              <w:t>@杨晓凡</w:t>
            </w:r>
            <w:r>
              <w:rPr>
                <w:rFonts w:eastAsia="等线" w:ascii="Arial" w:cs="Arial" w:hAnsi="Arial"/>
                <w:sz w:val="22"/>
              </w:rPr>
              <w:t>，质量策划专项</w:t>
            </w:r>
            <w:r>
              <w:rPr>
                <w:rFonts w:eastAsia="等线" w:ascii="Arial" w:cs="Arial" w:hAnsi="Arial"/>
                <w:color w:val="3370ff"/>
                <w:sz w:val="22"/>
              </w:rPr>
              <w:t>@林燕清</w:t>
            </w:r>
            <w:r>
              <w:rPr>
                <w:rFonts w:eastAsia="等线" w:ascii="Arial" w:cs="Arial" w:hAnsi="Arial"/>
                <w:sz w:val="22"/>
              </w:rPr>
              <w:t>访谈：</w:t>
            </w:r>
          </w:p>
          <w:p>
            <w:pPr>
              <w:numPr>
                <w:numId w:val="12"/>
              </w:numPr>
              <w:spacing w:before="120" w:after="120" w:line="288" w:lineRule="auto"/>
              <w:ind w:left="453"/>
              <w:jc w:val="left"/>
            </w:pPr>
            <w:r>
              <w:rPr>
                <w:rFonts w:eastAsia="等线" w:ascii="Arial" w:cs="Arial" w:hAnsi="Arial"/>
                <w:sz w:val="22"/>
              </w:rPr>
              <w:t>确定TR1/TR3分别开展系统/部件级DRBFM触发评估；</w:t>
            </w:r>
          </w:p>
          <w:p>
            <w:pPr>
              <w:numPr>
                <w:numId w:val="13"/>
              </w:numPr>
              <w:spacing w:before="120" w:after="120" w:line="288" w:lineRule="auto"/>
              <w:ind w:left="453"/>
              <w:jc w:val="left"/>
            </w:pPr>
            <w:r>
              <w:rPr>
                <w:rFonts w:eastAsia="等线" w:ascii="Arial" w:cs="Arial" w:hAnsi="Arial"/>
                <w:sz w:val="22"/>
              </w:rPr>
              <w:t>不选择BOM作为结构框图解析的输入；</w:t>
            </w:r>
          </w:p>
          <w:p>
            <w:pPr>
              <w:numPr>
                <w:numId w:val="14"/>
              </w:numPr>
              <w:spacing w:before="120" w:after="120" w:line="288" w:lineRule="auto"/>
              <w:ind w:left="453"/>
              <w:jc w:val="left"/>
            </w:pPr>
            <w:r>
              <w:rPr>
                <w:rFonts w:eastAsia="等线" w:ascii="Arial" w:cs="Arial" w:hAnsi="Arial"/>
                <w:sz w:val="22"/>
              </w:rPr>
              <w:t>在EBOM/EC变更申请提交前仅有不到一周完成DRBFM活动；</w:t>
            </w:r>
          </w:p>
          <w:p>
            <w:pPr>
              <w:numPr>
                <w:numId w:val="15"/>
              </w:numPr>
              <w:spacing w:before="120" w:after="120" w:line="288" w:lineRule="auto"/>
              <w:ind w:left="0"/>
              <w:jc w:val="left"/>
            </w:pPr>
            <w:r>
              <w:rPr>
                <w:rFonts w:eastAsia="等线" w:ascii="Arial" w:cs="Arial" w:hAnsi="Arial"/>
                <w:sz w:val="22"/>
              </w:rPr>
              <w:t>与IT代表</w:t>
            </w:r>
            <w:r>
              <w:rPr>
                <w:rFonts w:eastAsia="等线" w:ascii="Arial" w:cs="Arial" w:hAnsi="Arial"/>
                <w:color w:val="3370ff"/>
                <w:sz w:val="22"/>
              </w:rPr>
              <w:t>@冯子陵</w:t>
            </w:r>
            <w:r>
              <w:rPr>
                <w:rFonts w:eastAsia="等线" w:ascii="Arial" w:cs="Arial" w:hAnsi="Arial"/>
                <w:color w:val="3370ff"/>
                <w:sz w:val="22"/>
              </w:rPr>
              <w:t>@刘冬尧</w:t>
            </w:r>
            <w:r>
              <w:rPr>
                <w:rFonts w:eastAsia="等线" w:ascii="Arial" w:cs="Arial" w:hAnsi="Arial"/>
                <w:sz w:val="22"/>
              </w:rPr>
              <w:t>交流：</w:t>
            </w:r>
          </w:p>
          <w:p>
            <w:pPr>
              <w:numPr>
                <w:numId w:val="16"/>
              </w:numPr>
              <w:spacing w:before="120" w:after="120" w:line="288" w:lineRule="auto"/>
              <w:ind w:left="453"/>
              <w:jc w:val="left"/>
            </w:pPr>
            <w:r>
              <w:rPr>
                <w:rFonts w:eastAsia="等线" w:ascii="Arial" w:cs="Arial" w:hAnsi="Arial"/>
                <w:sz w:val="22"/>
              </w:rPr>
              <w:t>变更来源增加charter变更，从用户需求-&gt;产品需求-&gt;系统需求-&gt;规格逐层埋点判断，筛选推送;</w:t>
            </w:r>
          </w:p>
          <w:p>
            <w:pPr>
              <w:numPr>
                <w:numId w:val="17"/>
              </w:numPr>
              <w:spacing w:before="120" w:after="120" w:line="288" w:lineRule="auto"/>
              <w:ind w:left="453"/>
              <w:jc w:val="left"/>
            </w:pPr>
            <w:r>
              <w:rPr>
                <w:rFonts w:eastAsia="等线" w:ascii="Arial" w:cs="Arial" w:hAnsi="Arial"/>
                <w:sz w:val="22"/>
              </w:rPr>
              <w:t>一个项目会有多个DRBFM分析任务，需要考虑不同任务间内容的匹配性（纳入AI预评审模型校验）；</w:t>
            </w:r>
          </w:p>
          <w:p>
            <w:pPr>
              <w:numPr>
                <w:numId w:val="18"/>
              </w:numPr>
              <w:spacing w:before="120" w:after="120" w:line="288" w:lineRule="auto"/>
              <w:ind w:left="453"/>
              <w:jc w:val="left"/>
            </w:pPr>
            <w:r>
              <w:rPr>
                <w:rFonts w:eastAsia="等线" w:ascii="Arial" w:cs="Arial" w:hAnsi="Arial"/>
                <w:sz w:val="22"/>
              </w:rPr>
              <w:t>1.0版本后的新增变更，如何与当前已通过AI识别失效与措施的</w:t>
            </w:r>
          </w:p>
          <w:p>
            <w:pPr>
              <w:numPr>
                <w:numId w:val="19"/>
              </w:numPr>
              <w:spacing w:before="120" w:after="120" w:line="288" w:lineRule="auto"/>
              <w:ind w:left="0"/>
              <w:jc w:val="left"/>
            </w:pPr>
            <w:r>
              <w:rPr>
                <w:rFonts w:eastAsia="等线" w:ascii="Arial" w:cs="Arial" w:hAnsi="Arial"/>
                <w:sz w:val="22"/>
              </w:rPr>
              <w:t xml:space="preserve">与可靠性SE </w:t>
            </w:r>
            <w:r>
              <w:rPr>
                <w:rFonts w:eastAsia="等线" w:ascii="Arial" w:cs="Arial" w:hAnsi="Arial"/>
                <w:color w:val="3370ff"/>
                <w:sz w:val="22"/>
              </w:rPr>
              <w:t>@高岩1</w:t>
            </w:r>
            <w:r>
              <w:rPr>
                <w:rFonts w:eastAsia="等线" w:ascii="Arial" w:cs="Arial" w:hAnsi="Arial"/>
                <w:color w:val="3370ff"/>
                <w:sz w:val="22"/>
              </w:rPr>
              <w:t>@张道源</w:t>
            </w:r>
            <w:r>
              <w:rPr>
                <w:rFonts w:eastAsia="等线" w:ascii="Arial" w:cs="Arial" w:hAnsi="Arial"/>
                <w:sz w:val="22"/>
              </w:rPr>
              <w:t>访谈：</w:t>
            </w:r>
          </w:p>
          <w:p>
            <w:pPr>
              <w:numPr>
                <w:numId w:val="20"/>
              </w:numPr>
              <w:spacing w:before="120" w:after="120" w:line="288" w:lineRule="auto"/>
              <w:ind w:left="453"/>
              <w:jc w:val="left"/>
            </w:pPr>
            <w:r>
              <w:rPr>
                <w:rFonts w:eastAsia="等线" w:ascii="Arial" w:cs="Arial" w:hAnsi="Arial"/>
                <w:sz w:val="22"/>
              </w:rPr>
              <w:t>使用</w:t>
            </w:r>
            <w:r>
              <w:rPr>
                <w:rFonts w:eastAsia="等线" w:ascii="Arial" w:cs="Arial" w:hAnsi="Arial"/>
                <w:b w:val="true"/>
                <w:sz w:val="22"/>
              </w:rPr>
              <w:t>网表</w:t>
            </w:r>
            <w:r>
              <w:rPr>
                <w:rFonts w:eastAsia="等线" w:ascii="Arial" w:cs="Arial" w:hAnsi="Arial"/>
                <w:sz w:val="22"/>
              </w:rPr>
              <w:t>作为结构框图的导入，进行解析；</w:t>
            </w:r>
          </w:p>
          <w:p>
            <w:pPr>
              <w:numPr>
                <w:numId w:val="21"/>
              </w:numPr>
              <w:spacing w:before="120" w:after="120" w:line="288" w:lineRule="auto"/>
              <w:ind w:left="453"/>
              <w:jc w:val="left"/>
            </w:pPr>
            <w:r>
              <w:rPr>
                <w:rFonts w:eastAsia="等线" w:ascii="Arial" w:cs="Arial" w:hAnsi="Arial"/>
                <w:sz w:val="22"/>
              </w:rPr>
              <w:t>AI通过已填写的分析内容进行智能分析，自动补充：可能遗漏的失效模式/措施，并高亮显示；</w:t>
            </w:r>
          </w:p>
          <w:p>
            <w:pPr>
              <w:numPr>
                <w:numId w:val="22"/>
              </w:numPr>
              <w:spacing w:before="120" w:after="120" w:line="288" w:lineRule="auto"/>
              <w:ind w:left="0"/>
              <w:jc w:val="left"/>
            </w:pPr>
            <w:r>
              <w:rPr>
                <w:rFonts w:eastAsia="等线" w:ascii="Arial" w:cs="Arial" w:hAnsi="Arial"/>
                <w:sz w:val="22"/>
              </w:rPr>
              <w:t>与业务代表</w:t>
            </w:r>
            <w:r>
              <w:rPr>
                <w:rFonts w:eastAsia="等线" w:ascii="Arial" w:cs="Arial" w:hAnsi="Arial"/>
                <w:color w:val="3370ff"/>
                <w:sz w:val="22"/>
              </w:rPr>
              <w:t>@杨胜云</w:t>
            </w:r>
            <w:r>
              <w:rPr>
                <w:rFonts w:eastAsia="等线" w:ascii="Arial" w:cs="Arial" w:hAnsi="Arial"/>
                <w:sz w:val="22"/>
              </w:rPr>
              <w:t>访谈：为保证不同专业域基线有效落地实施，增加基线落地负责人其直接主管审批流程；</w:t>
            </w:r>
          </w:p>
          <w:p>
            <w:pPr>
              <w:numPr>
                <w:numId w:val="23"/>
              </w:numPr>
              <w:spacing w:before="120" w:after="120" w:line="288" w:lineRule="auto"/>
              <w:ind w:left="0"/>
              <w:jc w:val="left"/>
            </w:pPr>
            <w:r>
              <w:rPr>
                <w:rFonts w:eastAsia="等线" w:ascii="Arial" w:cs="Arial" w:hAnsi="Arial"/>
                <w:sz w:val="22"/>
              </w:rPr>
              <w:t>与业务代表</w:t>
            </w:r>
            <w:r>
              <w:rPr>
                <w:rFonts w:eastAsia="等线" w:ascii="Arial" w:cs="Arial" w:hAnsi="Arial"/>
                <w:color w:val="3370ff"/>
                <w:sz w:val="22"/>
              </w:rPr>
              <w:t>@张忠臣</w:t>
            </w:r>
            <w:r>
              <w:rPr>
                <w:rFonts w:eastAsia="等线" w:ascii="Arial" w:cs="Arial" w:hAnsi="Arial"/>
                <w:sz w:val="22"/>
              </w:rPr>
              <w:t>访谈：部品的变更需要同步推送整机及部品本身进行变更风险识别。</w:t>
            </w:r>
          </w:p>
        </w:tc>
      </w:tr>
    </w:tbl>
    <w:p>
      <w:pPr>
        <w:spacing w:before="120" w:after="120" w:line="288" w:lineRule="auto"/>
        <w:ind w:left="0"/>
        <w:jc w:val="left"/>
      </w:pPr>
      <w:r>
        <w:rPr>
          <w:rFonts w:eastAsia="等线" w:ascii="Arial" w:cs="Arial" w:hAnsi="Arial"/>
          <w:sz w:val="22"/>
        </w:rPr>
        <w:t>20260513：</w:t>
      </w:r>
    </w:p>
    <w:p>
      <w:pPr>
        <w:numPr>
          <w:numId w:val="24"/>
        </w:numPr>
        <w:spacing w:before="120" w:after="120" w:line="288" w:lineRule="auto"/>
        <w:ind w:left="0"/>
        <w:jc w:val="left"/>
      </w:pPr>
      <w:r>
        <w:rPr>
          <w:rFonts w:eastAsia="等线" w:ascii="Arial" w:cs="Arial" w:hAnsi="Arial"/>
          <w:sz w:val="22"/>
        </w:rPr>
        <w:t xml:space="preserve">下午与CBG PSE </w:t>
      </w:r>
      <w:r>
        <w:rPr>
          <w:rFonts w:eastAsia="等线" w:ascii="Arial" w:cs="Arial" w:hAnsi="Arial"/>
          <w:color w:val="3370ff"/>
          <w:sz w:val="22"/>
        </w:rPr>
        <w:t>@冯林杰</w:t>
      </w:r>
      <w:r>
        <w:rPr>
          <w:rFonts w:eastAsia="等线" w:ascii="Arial" w:cs="Arial" w:hAnsi="Arial"/>
          <w:sz w:val="22"/>
        </w:rPr>
        <w:t>最终确定：</w:t>
      </w:r>
    </w:p>
    <w:p>
      <w:pPr>
        <w:numPr>
          <w:numId w:val="25"/>
        </w:numPr>
        <w:spacing w:before="120" w:after="120" w:line="288" w:lineRule="auto"/>
        <w:ind w:left="453"/>
        <w:jc w:val="left"/>
      </w:pPr>
      <w:r>
        <w:rPr>
          <w:rFonts w:eastAsia="等线" w:ascii="Arial" w:cs="Arial" w:hAnsi="Arial"/>
          <w:sz w:val="22"/>
        </w:rPr>
        <w:t>是否有最源头的技术文件支持，项目所有变更信息（含五新）输入——评估这个是否比质量策划输入更精准及全面；</w:t>
      </w:r>
    </w:p>
    <w:p>
      <w:pPr>
        <w:numPr>
          <w:numId w:val="26"/>
        </w:numPr>
        <w:spacing w:before="120" w:after="120" w:line="288" w:lineRule="auto"/>
        <w:ind w:left="453"/>
        <w:jc w:val="left"/>
      </w:pPr>
      <w:r>
        <w:rPr>
          <w:rFonts w:eastAsia="等线" w:ascii="Arial" w:cs="Arial" w:hAnsi="Arial"/>
          <w:sz w:val="22"/>
        </w:rPr>
        <w:t>BOM作为结构组成导入的意见——支撑评估全部手动输入的有效性及工作量；</w:t>
      </w:r>
    </w:p>
    <w:p>
      <w:pPr>
        <w:spacing w:before="120" w:after="120" w:line="288" w:lineRule="auto"/>
        <w:ind w:left="453"/>
        <w:jc w:val="left"/>
      </w:pPr>
      <w:r>
        <w:rPr>
          <w:rFonts w:eastAsia="等线" w:ascii="Arial" w:cs="Arial" w:hAnsi="Arial"/>
          <w:sz w:val="22"/>
        </w:rPr>
        <w:t>项目总策划文件（TR3需要导入PMS系统，但一般工程师在TR1手头上也有一版）</w:t>
      </w:r>
    </w:p>
    <w:p>
      <w:pPr>
        <w:numPr>
          <w:numId w:val="27"/>
        </w:numPr>
        <w:spacing w:before="120" w:after="120" w:line="288" w:lineRule="auto"/>
        <w:ind w:left="0"/>
        <w:jc w:val="left"/>
      </w:pPr>
      <w:r>
        <w:rPr>
          <w:rFonts w:eastAsia="等线" w:ascii="Arial" w:cs="Arial" w:hAnsi="Arial"/>
          <w:sz w:val="22"/>
        </w:rPr>
        <w:t>解析结构框图前支持用户对照结构组成手动选择部件（涉及高/中风险的部件默认选择）；</w:t>
      </w:r>
    </w:p>
    <w:p>
      <w:pPr>
        <w:numPr>
          <w:numId w:val="28"/>
        </w:numPr>
        <w:spacing w:before="120" w:after="120" w:line="288" w:lineRule="auto"/>
        <w:ind w:left="0"/>
        <w:jc w:val="left"/>
      </w:pPr>
      <w:r>
        <w:rPr>
          <w:rFonts w:eastAsia="等线" w:ascii="Arial" w:cs="Arial" w:hAnsi="Arial"/>
          <w:sz w:val="22"/>
        </w:rPr>
        <w:t>TR3，TR4 1.0版本FMEA发布节点，当前在PMS系统上有对应发布要求，需考虑系统对接，一键导入1.0版本FMEA发布文件及审批信息——这个不知是否可实现</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业务流全景图</w:t>
      </w:r>
      <w:bookmarkEnd w:id="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9"/>
              </w:numPr>
              <w:spacing w:before="120" w:after="120" w:line="288" w:lineRule="auto"/>
              <w:ind w:left="0"/>
              <w:jc w:val="left"/>
            </w:pPr>
            <w:r>
              <w:rPr>
                <w:rFonts w:eastAsia="等线" w:ascii="Arial" w:cs="Arial" w:hAnsi="Arial"/>
                <w:sz w:val="22"/>
              </w:rPr>
              <w:t>基于变更点识别FMEA分析范围：考虑对接系统的成熟度不可控，当前先支持导入文件，AI智能识别，获取相关信息；</w:t>
            </w:r>
          </w:p>
          <w:p>
            <w:pPr>
              <w:numPr>
                <w:numId w:val="30"/>
              </w:numPr>
              <w:spacing w:before="120" w:after="120" w:line="288" w:lineRule="auto"/>
              <w:ind w:left="0"/>
              <w:jc w:val="left"/>
            </w:pPr>
            <w:r>
              <w:rPr>
                <w:rFonts w:eastAsia="等线" w:ascii="Arial" w:cs="Arial" w:hAnsi="Arial"/>
                <w:sz w:val="22"/>
              </w:rPr>
              <w:t>优先完成FMEA内部业务流的功能实现，然后逐步对接外部系统；</w:t>
            </w:r>
          </w:p>
          <w:p>
            <w:pPr>
              <w:numPr>
                <w:numId w:val="31"/>
              </w:numPr>
              <w:spacing w:before="120" w:after="120" w:line="288" w:lineRule="auto"/>
              <w:ind w:left="0"/>
              <w:jc w:val="left"/>
            </w:pPr>
            <w:r>
              <w:rPr>
                <w:rFonts w:eastAsia="等线" w:ascii="Arial" w:cs="Arial" w:hAnsi="Arial"/>
                <w:sz w:val="22"/>
              </w:rPr>
              <w:t>优先完成1.0版DRBFM流程，过程变更及LMT DRBFM流程在7/30实现。</w:t>
            </w:r>
          </w:p>
        </w:tc>
      </w:tr>
    </w:tbl>
    <w:p>
      <w:pPr>
        <w:spacing w:before="120" w:after="120" w:line="288" w:lineRule="auto"/>
        <w:ind w:left="0"/>
        <w:jc w:val="center"/>
      </w:pPr>
      <w:r>
        <w:drawing>
          <wp:inline distT="0" distR="0" distB="0" distL="0">
            <wp:extent cx="5257800" cy="4181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181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409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409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7048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70485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业务流详细设计</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DRBFM触发流程</w:t>
      </w:r>
      <w:bookmarkEnd w:id="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PDT项目PMS系统项目立项信息触发：</w:t>
            </w:r>
          </w:p>
          <w:p>
            <w:pPr>
              <w:numPr>
                <w:numId w:val="32"/>
              </w:numPr>
              <w:spacing w:before="120" w:after="120" w:line="288" w:lineRule="auto"/>
              <w:ind w:left="0"/>
              <w:jc w:val="left"/>
            </w:pPr>
            <w:r>
              <w:rPr>
                <w:rFonts w:eastAsia="等线" w:ascii="Arial" w:cs="Arial" w:hAnsi="Arial"/>
                <w:sz w:val="22"/>
              </w:rPr>
              <w:t>节点：TR1通过，charter变更；</w:t>
            </w:r>
          </w:p>
          <w:p>
            <w:pPr>
              <w:numPr>
                <w:numId w:val="33"/>
              </w:numPr>
              <w:spacing w:before="120" w:after="120" w:line="288" w:lineRule="auto"/>
              <w:ind w:left="0"/>
              <w:jc w:val="left"/>
            </w:pPr>
            <w:r>
              <w:rPr>
                <w:rFonts w:eastAsia="等线" w:ascii="Arial" w:cs="Arial" w:hAnsi="Arial"/>
                <w:sz w:val="22"/>
              </w:rPr>
              <w:t>范围：优先针对S/A/B，工程1/2/3级项目；</w:t>
            </w:r>
          </w:p>
          <w:p>
            <w:pPr>
              <w:numPr>
                <w:numId w:val="34"/>
              </w:numPr>
              <w:spacing w:before="120" w:after="120" w:line="288" w:lineRule="auto"/>
              <w:ind w:left="0"/>
              <w:jc w:val="left"/>
            </w:pPr>
            <w:r>
              <w:rPr>
                <w:rFonts w:eastAsia="等线" w:ascii="Arial" w:cs="Arial" w:hAnsi="Arial"/>
                <w:sz w:val="22"/>
              </w:rPr>
              <w:t>DRBFM任务：DRBFM任务按照系统及不同专业域为类别生成，系统级按照TR3前交付，专业域按照TR4前交付</w:t>
            </w:r>
          </w:p>
          <w:p>
            <w:pPr>
              <w:numPr>
                <w:numId w:val="35"/>
              </w:numPr>
              <w:spacing w:before="120" w:after="120" w:line="288" w:lineRule="auto"/>
              <w:ind w:left="0"/>
              <w:jc w:val="left"/>
            </w:pPr>
            <w:r>
              <w:rPr>
                <w:rFonts w:eastAsia="等线" w:ascii="Arial" w:cs="Arial" w:hAnsi="Arial"/>
                <w:sz w:val="22"/>
              </w:rPr>
              <w:t>每1次触发流程完成后，生成1版</w:t>
            </w:r>
            <w:r>
              <w:rPr>
                <w:rFonts w:eastAsia="等线" w:ascii="Arial" w:cs="Arial" w:hAnsi="Arial"/>
                <w:sz w:val="22"/>
              </w:rPr>
              <w:t xml:space="preserve"> </w:t>
            </w:r>
            <w:r>
              <w:rPr>
                <w:rFonts w:eastAsia="等线" w:ascii="Arial" w:cs="Arial" w:hAnsi="Arial"/>
                <w:sz w:val="22"/>
              </w:rPr>
              <w:t>DRBFM触发评估表，</w:t>
            </w:r>
            <w:r>
              <w:rPr>
                <w:rFonts w:eastAsia="等线" w:ascii="Arial" w:cs="Arial" w:hAnsi="Arial"/>
                <w:b w:val="true"/>
                <w:sz w:val="22"/>
              </w:rPr>
              <w:t>系统级和部件级共用一张DRBFM触发评估表</w:t>
            </w:r>
            <w:r>
              <w:rPr>
                <w:rFonts w:eastAsia="等线" w:ascii="Arial" w:cs="Arial" w:hAnsi="Arial"/>
                <w:sz w:val="22"/>
              </w:rPr>
              <w:t>。</w:t>
            </w:r>
          </w:p>
          <w:p>
            <w:pPr>
              <w:spacing w:before="120" w:after="120" w:line="288" w:lineRule="auto"/>
              <w:ind w:left="0"/>
              <w:jc w:val="left"/>
            </w:pPr>
            <w:r>
              <w:rPr>
                <w:rFonts w:eastAsia="等线" w:ascii="Arial" w:cs="Arial" w:hAnsi="Arial"/>
                <w:sz w:val="22"/>
              </w:rPr>
              <w:t>LMT项目：P</w:t>
            </w:r>
            <w:r>
              <w:rPr>
                <w:rFonts w:eastAsia="等线" w:ascii="Arial" w:cs="Arial" w:hAnsi="Arial"/>
                <w:sz w:val="22"/>
              </w:rPr>
              <w:t>CR触发</w:t>
            </w:r>
          </w:p>
          <w:p>
            <w:pPr>
              <w:spacing w:before="120" w:after="120" w:line="288" w:lineRule="auto"/>
              <w:ind w:left="0"/>
              <w:jc w:val="left"/>
            </w:pPr>
            <w:r>
              <w:rPr>
                <w:rFonts w:eastAsia="等线" w:ascii="Arial" w:cs="Arial" w:hAnsi="Arial"/>
                <w:b w:val="true"/>
                <w:sz w:val="22"/>
              </w:rPr>
              <w:t>风险点</w:t>
            </w:r>
            <w:r>
              <w:rPr>
                <w:rFonts w:eastAsia="等线" w:ascii="Arial" w:cs="Arial" w:hAnsi="Arial"/>
                <w:sz w:val="22"/>
              </w:rPr>
              <w:t>：基于</w:t>
            </w:r>
            <w:r>
              <w:rPr>
                <w:rFonts w:eastAsia="等线" w:ascii="Arial" w:cs="Arial" w:hAnsi="Arial"/>
                <w:b w:val="true"/>
                <w:sz w:val="22"/>
              </w:rPr>
              <w:t>变更点描述</w:t>
            </w:r>
            <w:r>
              <w:rPr>
                <w:rFonts w:eastAsia="等线" w:ascii="Arial" w:cs="Arial" w:hAnsi="Arial"/>
                <w:sz w:val="22"/>
              </w:rPr>
              <w:t>借助AI进行5个维度风险评估的精准度不高;</w:t>
            </w:r>
          </w:p>
          <w:p>
            <w:pPr>
              <w:spacing w:before="120" w:after="120" w:line="288" w:lineRule="auto"/>
              <w:ind w:left="0"/>
              <w:jc w:val="left"/>
            </w:pPr>
            <w:r>
              <w:rPr>
                <w:rFonts w:eastAsia="等线" w:ascii="Arial" w:cs="Arial" w:hAnsi="Arial"/>
                <w:sz w:val="22"/>
              </w:rPr>
              <w:t>2025/05/13:</w:t>
            </w:r>
          </w:p>
          <w:p>
            <w:pPr>
              <w:numPr>
                <w:numId w:val="36"/>
              </w:numPr>
              <w:spacing w:before="120" w:after="120" w:line="288" w:lineRule="auto"/>
              <w:ind w:left="0"/>
              <w:jc w:val="left"/>
            </w:pPr>
            <w:r>
              <w:rPr>
                <w:rFonts w:eastAsia="等线" w:ascii="Arial" w:cs="Arial" w:hAnsi="Arial"/>
                <w:sz w:val="22"/>
              </w:rPr>
              <w:t>如无系统DRBFM，需在TR3节点前自动推送至PMS系统作为裁剪依据；</w:t>
            </w:r>
          </w:p>
          <w:p>
            <w:pPr>
              <w:numPr>
                <w:numId w:val="37"/>
              </w:numPr>
              <w:spacing w:before="120" w:after="120" w:line="288" w:lineRule="auto"/>
              <w:ind w:left="0"/>
              <w:jc w:val="left"/>
            </w:pPr>
            <w:r>
              <w:rPr>
                <w:rFonts w:eastAsia="等线" w:ascii="Arial" w:cs="Arial" w:hAnsi="Arial"/>
                <w:sz w:val="22"/>
              </w:rPr>
              <w:t>如无部件DRBFM，需在TR4节点前自动推送至PMS系统作为裁剪依据</w:t>
            </w:r>
          </w:p>
        </w:tc>
      </w:tr>
    </w:tbl>
    <w:p>
      <w:pPr>
        <w:spacing w:before="120" w:after="120" w:line="288" w:lineRule="auto"/>
        <w:ind w:left="0"/>
        <w:jc w:val="left"/>
      </w:pPr>
      <w:r>
        <w:rPr>
          <w:rFonts w:eastAsia="等线" w:ascii="Arial" w:cs="Arial" w:hAnsi="Arial"/>
          <w:sz w:val="22"/>
        </w:rPr>
        <w:t>系统级DRBFM触发流程：</w:t>
      </w:r>
    </w:p>
    <w:p>
      <w:pPr>
        <w:spacing w:before="120" w:after="120" w:line="288" w:lineRule="auto"/>
        <w:ind w:left="453"/>
        <w:jc w:val="center"/>
      </w:pPr>
      <w:r>
        <w:drawing>
          <wp:inline distT="0" distR="0" distB="0" distL="0">
            <wp:extent cx="5257800" cy="11430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143000"/>
                    </a:xfrm>
                    <a:prstGeom prst="rect">
                      <a:avLst/>
                    </a:prstGeom>
                  </pic:spPr>
                </pic:pic>
              </a:graphicData>
            </a:graphic>
          </wp:inline>
        </w:drawing>
      </w:r>
    </w:p>
    <w:p>
      <w:pPr>
        <w:spacing w:before="120" w:after="120" w:line="288" w:lineRule="auto"/>
        <w:ind w:left="0"/>
        <w:jc w:val="left"/>
      </w:pPr>
      <w:r>
        <w:rPr>
          <w:rFonts w:eastAsia="等线" w:ascii="Arial" w:cs="Arial" w:hAnsi="Arial"/>
          <w:strike w:val="true"/>
          <w:color w:val="d83931"/>
          <w:sz w:val="22"/>
        </w:rPr>
        <w:t>老方案（作废）</w:t>
      </w:r>
    </w:p>
    <w:p>
      <w:pPr>
        <w:spacing w:before="120" w:after="120" w:line="288" w:lineRule="auto"/>
        <w:ind w:left="453"/>
        <w:jc w:val="center"/>
      </w:pPr>
      <w:r>
        <w:drawing>
          <wp:inline distT="0" distR="0" distB="0" distL="0">
            <wp:extent cx="5257800" cy="2019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019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部件级DRBFM触发流程：</w:t>
      </w:r>
    </w:p>
    <w:p>
      <w:pPr>
        <w:spacing w:before="120" w:after="120" w:line="288" w:lineRule="auto"/>
        <w:ind w:left="0"/>
        <w:jc w:val="center"/>
      </w:pPr>
      <w:r>
        <w:drawing>
          <wp:inline distT="0" distR="0" distB="0" distL="0">
            <wp:extent cx="5257800" cy="1133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133475"/>
                    </a:xfrm>
                    <a:prstGeom prst="rect">
                      <a:avLst/>
                    </a:prstGeom>
                  </pic:spPr>
                </pic:pic>
              </a:graphicData>
            </a:graphic>
          </wp:inline>
        </w:drawing>
      </w:r>
    </w:p>
    <w:p>
      <w:pPr>
        <w:spacing w:before="120" w:after="120" w:line="288" w:lineRule="auto"/>
        <w:ind w:left="0"/>
        <w:jc w:val="left"/>
      </w:pPr>
      <w:r>
        <w:rPr>
          <w:rFonts w:eastAsia="等线" w:ascii="Arial" w:cs="Arial" w:hAnsi="Arial"/>
          <w:strike w:val="true"/>
          <w:color w:val="d83931"/>
          <w:sz w:val="22"/>
        </w:rPr>
        <w:t>老方案（作废）</w:t>
      </w:r>
    </w:p>
    <w:p>
      <w:pPr>
        <w:spacing w:before="120" w:after="120" w:line="288" w:lineRule="auto"/>
        <w:ind w:left="453"/>
        <w:jc w:val="center"/>
      </w:pPr>
      <w:r>
        <w:drawing>
          <wp:inline distT="0" distR="0" distB="0" distL="0">
            <wp:extent cx="5257800" cy="20193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019300"/>
                    </a:xfrm>
                    <a:prstGeom prst="rect">
                      <a:avLst/>
                    </a:prstGeom>
                  </pic:spPr>
                </pic:pic>
              </a:graphicData>
            </a:graphic>
          </wp:inline>
        </w:drawing>
      </w:r>
    </w:p>
    <w:p>
      <w:pPr>
        <w:numPr>
          <w:numId w:val="38"/>
        </w:numPr>
        <w:spacing w:before="120" w:after="120" w:line="288" w:lineRule="auto"/>
        <w:ind w:left="0"/>
        <w:jc w:val="left"/>
      </w:pPr>
      <w:r>
        <w:rPr>
          <w:rFonts w:eastAsia="等线" w:ascii="Arial" w:cs="Arial" w:hAnsi="Arial"/>
          <w:sz w:val="22"/>
        </w:rPr>
        <w:t>质量策划表单匹配规则</w:t>
      </w:r>
    </w:p>
    <w:p>
      <w:pPr>
        <w:numPr>
          <w:numId w:val="39"/>
        </w:numPr>
        <w:spacing w:before="120" w:after="120" w:line="288" w:lineRule="auto"/>
        <w:ind w:left="453"/>
        <w:jc w:val="left"/>
      </w:pPr>
      <w:r>
        <w:rPr>
          <w:rFonts w:eastAsia="等线" w:ascii="Arial" w:cs="Arial" w:hAnsi="Arial"/>
          <w:sz w:val="22"/>
        </w:rPr>
        <w:t>质量策划表-获取字段及其路径：IPD-1.22.1-PJM-T01-新产品项目质量策划模板——&gt;03-风险策划（PM）——&gt;风险策划分级分类——&gt;研发领域风险——&gt;风险小类+风险策划指南；</w:t>
      </w:r>
    </w:p>
    <w:p>
      <w:pPr>
        <w:numPr>
          <w:numId w:val="40"/>
        </w:numPr>
        <w:spacing w:before="120" w:after="120" w:line="288" w:lineRule="auto"/>
        <w:ind w:left="453"/>
        <w:jc w:val="left"/>
      </w:pPr>
      <w:r>
        <w:rPr>
          <w:rFonts w:eastAsia="等线" w:ascii="Arial" w:cs="Arial" w:hAnsi="Arial"/>
          <w:sz w:val="22"/>
        </w:rPr>
        <w:t>“风险小类+风险策划指南”进行字段组合，根据“变更点清单”部件名称进行模糊匹配到，“变更点清单”中的“变更点描述”列</w:t>
      </w:r>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4" o:title=""/>
          </v:shape>
          <o:OLEObject DrawAspect="Icon" ObjectID="_1718471219" ProgID="Excel.Sheet.12" ShapeID="_x0000_i1025" Type="Embed" r:id="rId13"/>
        </w:object>
      </w:r>
    </w:p>
    <w:p>
      <w:pPr>
        <w:spacing w:after="120"/>
        <w:ind w:left="453"/>
        <w:jc w:val="center"/>
      </w:pPr>
      <w:r>
        <w:rPr>
          <w:rFonts w:eastAsia="等线" w:ascii="Arial" w:cs="Arial" w:hAnsi="Arial"/>
          <w:b w:val="true"/>
          <w:sz w:val="22"/>
        </w:rPr>
        <w:t>点击图片可查看完整电子表格</w:t>
      </w:r>
    </w:p>
    <w:p>
      <w:pPr>
        <w:numPr>
          <w:numId w:val="41"/>
        </w:numPr>
        <w:spacing w:before="120" w:after="120" w:line="288" w:lineRule="auto"/>
        <w:ind w:left="0"/>
        <w:jc w:val="left"/>
      </w:pPr>
      <w:r>
        <w:rPr>
          <w:rFonts w:eastAsia="等线" w:ascii="Arial" w:cs="Arial" w:hAnsi="Arial"/>
          <w:sz w:val="22"/>
        </w:rPr>
        <w:t>方案确认访谈信息</w:t>
      </w:r>
    </w:p>
    <w:p>
      <w:pPr>
        <w:numPr>
          <w:numId w:val="42"/>
        </w:numPr>
        <w:spacing w:before="120" w:after="120" w:line="288" w:lineRule="auto"/>
        <w:ind w:left="453"/>
        <w:jc w:val="left"/>
      </w:pPr>
      <w:r>
        <w:rPr>
          <w:rFonts w:eastAsia="等线" w:ascii="Arial" w:cs="Arial" w:hAnsi="Arial"/>
          <w:b w:val="true"/>
          <w:sz w:val="22"/>
        </w:rPr>
        <w:t>charter变更</w:t>
      </w:r>
      <w:r>
        <w:rPr>
          <w:rFonts w:eastAsia="等线" w:ascii="Arial" w:cs="Arial" w:hAnsi="Arial"/>
          <w:b w:val="true"/>
          <w:color w:val="3370ff"/>
          <w:sz w:val="22"/>
        </w:rPr>
        <w:t>@冯子陵</w:t>
      </w:r>
      <w:r>
        <w:rPr>
          <w:rFonts w:eastAsia="等线" w:ascii="Arial" w:cs="Arial" w:hAnsi="Arial"/>
          <w:sz w:val="22"/>
        </w:rPr>
        <w:t>：首先从用户需求，到产品需求，系统需求，规格逐层埋点判断，筛选推送；</w:t>
      </w:r>
    </w:p>
    <w:p>
      <w:pPr>
        <w:numPr>
          <w:numId w:val="43"/>
        </w:numPr>
        <w:spacing w:before="120" w:after="120" w:line="288" w:lineRule="auto"/>
        <w:ind w:left="453"/>
        <w:jc w:val="left"/>
      </w:pPr>
      <w:r>
        <w:rPr>
          <w:rFonts w:eastAsia="等线" w:ascii="Arial" w:cs="Arial" w:hAnsi="Arial"/>
          <w:b w:val="true"/>
          <w:sz w:val="22"/>
        </w:rPr>
        <w:t>BOM表访谈信息</w:t>
      </w:r>
      <w:r>
        <w:rPr>
          <w:rFonts w:eastAsia="等线" w:ascii="Arial" w:cs="Arial" w:hAnsi="Arial"/>
          <w:b w:val="true"/>
          <w:color w:val="3370ff"/>
          <w:sz w:val="22"/>
        </w:rPr>
        <w:t>@杨晓凡</w:t>
      </w:r>
      <w:r>
        <w:rPr>
          <w:rFonts w:eastAsia="等线" w:ascii="Arial" w:cs="Arial" w:hAnsi="Arial"/>
          <w:b w:val="true"/>
          <w:color w:val="3370ff"/>
          <w:sz w:val="22"/>
        </w:rPr>
        <w:t>@陆晨君</w:t>
      </w:r>
      <w:r>
        <w:rPr>
          <w:rFonts w:eastAsia="等线" w:ascii="Arial" w:cs="Arial" w:hAnsi="Arial"/>
          <w:b w:val="true"/>
          <w:color w:val="3370ff"/>
          <w:sz w:val="22"/>
        </w:rPr>
        <w:t>@刘佳8</w:t>
      </w:r>
      <w:r>
        <w:rPr>
          <w:rFonts w:eastAsia="等线" w:ascii="Arial" w:cs="Arial" w:hAnsi="Arial"/>
          <w:sz w:val="22"/>
        </w:rPr>
        <w:t>：</w:t>
      </w:r>
    </w:p>
    <w:p>
      <w:pPr>
        <w:numPr>
          <w:numId w:val="44"/>
        </w:numPr>
        <w:spacing w:before="120" w:after="120" w:line="288" w:lineRule="auto"/>
        <w:ind w:left="907"/>
        <w:jc w:val="left"/>
      </w:pPr>
      <w:r>
        <w:rPr>
          <w:rFonts w:eastAsia="等线" w:ascii="Arial" w:cs="Arial" w:hAnsi="Arial"/>
          <w:sz w:val="22"/>
        </w:rPr>
        <w:t>在TR1时，产品BOM表并未做好，在TR3才会准备好；</w:t>
      </w:r>
    </w:p>
    <w:p>
      <w:pPr>
        <w:numPr>
          <w:numId w:val="45"/>
        </w:numPr>
        <w:spacing w:before="120" w:after="120" w:line="288" w:lineRule="auto"/>
        <w:ind w:left="907"/>
        <w:jc w:val="left"/>
      </w:pPr>
      <w:r>
        <w:rPr>
          <w:rFonts w:eastAsia="等线" w:ascii="Arial" w:cs="Arial" w:hAnsi="Arial"/>
          <w:sz w:val="22"/>
        </w:rPr>
        <w:t>BOM表有上千件，并无器件变更信息；</w:t>
      </w:r>
    </w:p>
    <w:p>
      <w:pPr>
        <w:numPr>
          <w:numId w:val="46"/>
        </w:numPr>
        <w:spacing w:before="120" w:after="120" w:line="288" w:lineRule="auto"/>
        <w:ind w:left="907"/>
        <w:jc w:val="left"/>
      </w:pPr>
      <w:r>
        <w:rPr>
          <w:rFonts w:eastAsia="等线" w:ascii="Arial" w:cs="Arial" w:hAnsi="Arial"/>
          <w:sz w:val="22"/>
        </w:rPr>
        <w:t>EBOM/EC变更发起到变更申请通过，不超过1周，且提前变更时；</w:t>
      </w:r>
    </w:p>
    <w:p>
      <w:pPr>
        <w:numPr>
          <w:numId w:val="47"/>
        </w:numPr>
        <w:spacing w:before="120" w:after="120" w:line="288" w:lineRule="auto"/>
        <w:ind w:left="907"/>
        <w:jc w:val="left"/>
      </w:pPr>
      <w:r>
        <w:rPr>
          <w:rFonts w:eastAsia="等线" w:ascii="Arial" w:cs="Arial" w:hAnsi="Arial"/>
          <w:sz w:val="22"/>
        </w:rPr>
        <w:t>ECR,ECN是有系统的；</w:t>
      </w:r>
    </w:p>
    <w:p>
      <w:pPr>
        <w:spacing w:before="120" w:after="120" w:line="288" w:lineRule="auto"/>
        <w:ind w:left="907"/>
        <w:jc w:val="left"/>
      </w:pPr>
      <w:r>
        <w:rPr>
          <w:rFonts w:eastAsia="等线" w:ascii="Arial" w:cs="Arial" w:hAnsi="Arial"/>
          <w:b w:val="true"/>
          <w:sz w:val="22"/>
        </w:rPr>
        <w:t>结论</w:t>
      </w:r>
      <w:r>
        <w:rPr>
          <w:rFonts w:eastAsia="等线" w:ascii="Arial" w:cs="Arial" w:hAnsi="Arial"/>
          <w:sz w:val="22"/>
        </w:rPr>
        <w:t>：“DRBFM触发评估阶段”选择“不使用BOM导入”，人工手动输入；</w:t>
      </w:r>
    </w:p>
    <w:p>
      <w:pPr>
        <w:spacing w:before="120" w:after="120" w:line="288" w:lineRule="auto"/>
        <w:ind w:left="907"/>
        <w:jc w:val="left"/>
      </w:pPr>
      <w:r>
        <w:rPr>
          <w:rFonts w:eastAsia="等线" w:ascii="Arial" w:cs="Arial" w:hAnsi="Arial"/>
          <w:b w:val="true"/>
          <w:color w:val="d83931"/>
          <w:sz w:val="22"/>
        </w:rPr>
        <w:t>风险</w:t>
      </w:r>
      <w:r>
        <w:rPr>
          <w:rFonts w:eastAsia="等线" w:ascii="Arial" w:cs="Arial" w:hAnsi="Arial"/>
          <w:sz w:val="22"/>
        </w:rPr>
        <w:t>：人工填写结构名称字段的随意性，与后面基线库的部品名称不一致，存在检索问题；</w:t>
      </w:r>
    </w:p>
    <w:p>
      <w:pPr>
        <w:numPr>
          <w:numId w:val="48"/>
        </w:numPr>
        <w:spacing w:before="120" w:after="120" w:line="288" w:lineRule="auto"/>
        <w:ind w:left="453"/>
        <w:jc w:val="left"/>
      </w:pPr>
      <w:r>
        <w:rPr>
          <w:rFonts w:eastAsia="等线" w:ascii="Arial" w:cs="Arial" w:hAnsi="Arial"/>
          <w:b w:val="true"/>
          <w:sz w:val="22"/>
        </w:rPr>
        <w:t>质量策划访谈信息</w:t>
      </w:r>
      <w:r>
        <w:rPr>
          <w:rFonts w:eastAsia="等线" w:ascii="Arial" w:cs="Arial" w:hAnsi="Arial"/>
          <w:b w:val="true"/>
          <w:color w:val="3370ff"/>
          <w:sz w:val="22"/>
        </w:rPr>
        <w:t>@林燕清</w:t>
      </w:r>
      <w:r>
        <w:rPr>
          <w:rFonts w:eastAsia="等线" w:ascii="Arial" w:cs="Arial" w:hAnsi="Arial"/>
          <w:b w:val="true"/>
          <w:sz w:val="22"/>
        </w:rPr>
        <w:t>：</w:t>
      </w:r>
    </w:p>
    <w:p>
      <w:pPr>
        <w:numPr>
          <w:numId w:val="49"/>
        </w:numPr>
        <w:spacing w:before="120" w:after="120" w:line="288" w:lineRule="auto"/>
        <w:ind w:left="907"/>
        <w:jc w:val="left"/>
      </w:pPr>
      <w:r>
        <w:rPr>
          <w:rFonts w:eastAsia="等线" w:ascii="Arial" w:cs="Arial" w:hAnsi="Arial"/>
          <w:sz w:val="22"/>
        </w:rPr>
        <w:t>质量策划在TR1时，风险策划部分仅能完成80%，TR3能完成100%；</w:t>
      </w:r>
    </w:p>
    <w:p>
      <w:pPr>
        <w:spacing w:before="120" w:after="120" w:line="288" w:lineRule="auto"/>
        <w:ind w:left="907"/>
        <w:jc w:val="left"/>
      </w:pPr>
      <w:r>
        <w:rPr>
          <w:rFonts w:eastAsia="等线" w:ascii="Arial" w:cs="Arial" w:hAnsi="Arial"/>
          <w:b w:val="true"/>
          <w:sz w:val="22"/>
        </w:rPr>
        <w:t>结论</w:t>
      </w:r>
      <w:r>
        <w:rPr>
          <w:rFonts w:eastAsia="等线" w:ascii="Arial" w:cs="Arial" w:hAnsi="Arial"/>
          <w:sz w:val="22"/>
        </w:rPr>
        <w:t>：</w:t>
      </w:r>
    </w:p>
    <w:p>
      <w:pPr>
        <w:numPr>
          <w:numId w:val="50"/>
        </w:numPr>
        <w:spacing w:before="120" w:after="120" w:line="288" w:lineRule="auto"/>
        <w:ind w:left="907"/>
        <w:jc w:val="left"/>
      </w:pPr>
      <w:r>
        <w:rPr>
          <w:rFonts w:eastAsia="等线" w:ascii="Arial" w:cs="Arial" w:hAnsi="Arial"/>
          <w:sz w:val="22"/>
        </w:rPr>
        <w:t>对于部件级的FMEA，TR3进行风险评估，然后在TR4完成；</w:t>
      </w:r>
    </w:p>
    <w:p>
      <w:pPr>
        <w:numPr>
          <w:numId w:val="51"/>
        </w:numPr>
        <w:spacing w:before="120" w:after="120" w:line="288" w:lineRule="auto"/>
        <w:ind w:left="907"/>
        <w:jc w:val="left"/>
      </w:pPr>
      <w:r>
        <w:rPr>
          <w:rFonts w:eastAsia="等线" w:ascii="Arial" w:cs="Arial" w:hAnsi="Arial"/>
          <w:sz w:val="22"/>
        </w:rPr>
        <w:t>在TR1时，需要进行系统风险评估，来确认是否开展系统FMEA分析，评估依据需重新设计；</w:t>
      </w:r>
    </w:p>
    <w:p>
      <w:pPr>
        <w:spacing w:before="120" w:after="120" w:line="288" w:lineRule="auto"/>
        <w:ind w:left="907"/>
        <w:jc w:val="left"/>
      </w:pPr>
      <w:r>
        <w:rPr>
          <w:rFonts w:eastAsia="等线" w:ascii="Arial" w:cs="Arial" w:hAnsi="Arial"/>
          <w:b w:val="true"/>
          <w:color w:val="d83931"/>
          <w:sz w:val="22"/>
        </w:rPr>
        <w:t>风险</w:t>
      </w:r>
      <w:r>
        <w:rPr>
          <w:rFonts w:eastAsia="等线" w:ascii="Arial" w:cs="Arial" w:hAnsi="Arial"/>
          <w:sz w:val="22"/>
        </w:rPr>
        <w:t>：质量策划表单与DRBFM触发评估表的字段对应关系的精准度。</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2.2 </w:t>
      </w:r>
      <w:r>
        <w:rPr>
          <w:rFonts w:eastAsia="等线" w:ascii="Arial" w:cs="Arial" w:hAnsi="Arial"/>
          <w:b w:val="true"/>
          <w:sz w:val="32"/>
        </w:rPr>
        <w:t>DRBFM分析</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2.2.1 </w:t>
      </w:r>
      <w:r>
        <w:rPr>
          <w:rFonts w:eastAsia="等线" w:ascii="Arial" w:cs="Arial" w:hAnsi="Arial"/>
          <w:b w:val="true"/>
          <w:sz w:val="30"/>
        </w:rPr>
        <w:t>结构分析</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w:t>
            </w:r>
          </w:p>
          <w:p>
            <w:pPr>
              <w:numPr>
                <w:numId w:val="52"/>
              </w:numPr>
              <w:spacing w:before="120" w:after="120" w:line="288" w:lineRule="auto"/>
              <w:ind w:left="0"/>
              <w:jc w:val="left"/>
            </w:pPr>
            <w:r>
              <w:rPr>
                <w:rFonts w:eastAsia="等线" w:ascii="Arial" w:cs="Arial" w:hAnsi="Arial"/>
                <w:sz w:val="22"/>
              </w:rPr>
              <w:t>自动解析结构框图；</w:t>
            </w:r>
          </w:p>
          <w:p>
            <w:pPr>
              <w:numPr>
                <w:numId w:val="53"/>
              </w:numPr>
              <w:spacing w:before="120" w:after="120" w:line="288" w:lineRule="auto"/>
              <w:ind w:left="0"/>
              <w:jc w:val="left"/>
            </w:pPr>
            <w:r>
              <w:rPr>
                <w:rFonts w:eastAsia="等线" w:ascii="Arial" w:cs="Arial" w:hAnsi="Arial"/>
                <w:sz w:val="22"/>
              </w:rPr>
              <w:t>已有结构框图一键调取；</w:t>
            </w:r>
          </w:p>
          <w:p>
            <w:pPr>
              <w:numPr>
                <w:numId w:val="54"/>
              </w:numPr>
              <w:spacing w:before="120" w:after="120" w:line="288" w:lineRule="auto"/>
              <w:ind w:left="0"/>
              <w:jc w:val="left"/>
            </w:pPr>
            <w:r>
              <w:rPr>
                <w:rFonts w:eastAsia="等线" w:ascii="Arial" w:cs="Arial" w:hAnsi="Arial"/>
                <w:sz w:val="22"/>
              </w:rPr>
              <w:t>变更点风险等级与框图模块绑定，显示上做标记；</w:t>
            </w:r>
          </w:p>
          <w:p>
            <w:pPr>
              <w:numPr>
                <w:numId w:val="55"/>
              </w:numPr>
              <w:spacing w:before="120" w:after="120" w:line="288" w:lineRule="auto"/>
              <w:ind w:left="0"/>
              <w:jc w:val="left"/>
            </w:pPr>
            <w:r>
              <w:rPr>
                <w:rFonts w:eastAsia="等线" w:ascii="Arial" w:cs="Arial" w:hAnsi="Arial"/>
                <w:sz w:val="22"/>
              </w:rPr>
              <w:t>结构框图可根据分析对象自由切换；</w:t>
            </w:r>
          </w:p>
          <w:p>
            <w:pPr>
              <w:numPr>
                <w:numId w:val="56"/>
              </w:numPr>
              <w:spacing w:before="120" w:after="120" w:line="288" w:lineRule="auto"/>
              <w:ind w:left="0"/>
              <w:jc w:val="left"/>
            </w:pPr>
            <w:r>
              <w:rPr>
                <w:rFonts w:eastAsia="等线" w:ascii="Arial" w:cs="Arial" w:hAnsi="Arial"/>
                <w:sz w:val="22"/>
              </w:rPr>
              <w:t>支持工程师手动选择结构组成，作为结构框图的填充，高/中风险结构默认选中（2026/05/13）</w:t>
            </w:r>
          </w:p>
          <w:p>
            <w:pPr>
              <w:spacing w:before="120" w:after="120" w:line="288" w:lineRule="auto"/>
              <w:ind w:left="0"/>
              <w:jc w:val="left"/>
            </w:pPr>
            <w:r>
              <w:rPr>
                <w:rFonts w:eastAsia="等线" w:ascii="Arial" w:cs="Arial" w:hAnsi="Arial"/>
                <w:sz w:val="22"/>
              </w:rPr>
              <w:t>风险：</w:t>
            </w:r>
          </w:p>
          <w:p>
            <w:pPr>
              <w:numPr>
                <w:numId w:val="57"/>
              </w:numPr>
              <w:spacing w:before="120" w:after="120" w:line="288" w:lineRule="auto"/>
              <w:ind w:left="0"/>
              <w:jc w:val="left"/>
            </w:pPr>
            <w:r>
              <w:rPr>
                <w:rFonts w:eastAsia="等线" w:ascii="Arial" w:cs="Arial" w:hAnsi="Arial"/>
                <w:sz w:val="22"/>
              </w:rPr>
              <w:t>网表组件众多，IT系统需要支持选择结构层级；</w:t>
            </w:r>
          </w:p>
          <w:p>
            <w:pPr>
              <w:numPr>
                <w:numId w:val="58"/>
              </w:numPr>
              <w:spacing w:before="120" w:after="120" w:line="288" w:lineRule="auto"/>
              <w:ind w:left="0"/>
              <w:jc w:val="left"/>
            </w:pPr>
            <w:r>
              <w:rPr>
                <w:rFonts w:eastAsia="等线" w:ascii="Arial" w:cs="Arial" w:hAnsi="Arial"/>
                <w:sz w:val="22"/>
              </w:rPr>
              <w:t>自动解析框图的准确度存疑</w:t>
            </w:r>
          </w:p>
        </w:tc>
      </w:tr>
    </w:tbl>
    <w:p>
      <w:pPr>
        <w:spacing w:before="120" w:after="120" w:line="288" w:lineRule="auto"/>
        <w:ind w:left="0"/>
        <w:jc w:val="center"/>
      </w:pPr>
      <w:r>
        <w:drawing>
          <wp:inline distT="0" distR="0" distB="0" distL="0">
            <wp:extent cx="5257800" cy="16192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1619250"/>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2.2.2 </w:t>
      </w:r>
      <w:r>
        <w:rPr>
          <w:rFonts w:eastAsia="等线" w:ascii="Arial" w:cs="Arial" w:hAnsi="Arial"/>
          <w:b w:val="true"/>
          <w:sz w:val="30"/>
        </w:rPr>
        <w:t>变更点关联功能分析</w:t>
      </w:r>
      <w:bookmarkEnd w:id="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59"/>
              </w:numPr>
              <w:spacing w:before="120" w:after="120" w:line="288" w:lineRule="auto"/>
              <w:ind w:left="0"/>
              <w:jc w:val="left"/>
            </w:pPr>
            <w:r>
              <w:rPr>
                <w:rFonts w:eastAsia="等线" w:ascii="Arial" w:cs="Arial" w:hAnsi="Arial"/>
                <w:sz w:val="22"/>
              </w:rPr>
              <w:t>系统支持多人在线编辑，PSE可指派任务给相关专业域工程师补充各专业域的功能；</w:t>
            </w:r>
          </w:p>
          <w:p>
            <w:pPr>
              <w:numPr>
                <w:numId w:val="60"/>
              </w:numPr>
              <w:spacing w:before="120" w:after="120" w:line="288" w:lineRule="auto"/>
              <w:ind w:left="0"/>
              <w:jc w:val="left"/>
            </w:pPr>
            <w:r>
              <w:rPr>
                <w:rFonts w:eastAsia="等线" w:ascii="Arial" w:cs="Arial" w:hAnsi="Arial"/>
                <w:sz w:val="22"/>
              </w:rPr>
              <w:t>支持对功能的优先级排序及筛选（与变更点相关）；</w:t>
            </w:r>
          </w:p>
          <w:p>
            <w:pPr>
              <w:numPr>
                <w:numId w:val="61"/>
              </w:numPr>
              <w:spacing w:before="120" w:after="120" w:line="288" w:lineRule="auto"/>
              <w:ind w:left="0"/>
              <w:jc w:val="left"/>
            </w:pPr>
            <w:r>
              <w:rPr>
                <w:rFonts w:eastAsia="等线" w:ascii="Arial" w:cs="Arial" w:hAnsi="Arial"/>
                <w:sz w:val="22"/>
              </w:rPr>
              <w:t>用户进行校核补充矩阵关系时系统支持：</w:t>
            </w:r>
          </w:p>
          <w:p>
            <w:pPr>
              <w:numPr>
                <w:numId w:val="62"/>
              </w:numPr>
              <w:spacing w:before="120" w:after="120" w:line="288" w:lineRule="auto"/>
              <w:ind w:left="453"/>
              <w:jc w:val="left"/>
            </w:pPr>
            <w:r>
              <w:rPr>
                <w:rFonts w:eastAsia="等线" w:ascii="Arial" w:cs="Arial" w:hAnsi="Arial"/>
                <w:sz w:val="22"/>
              </w:rPr>
              <w:t>支持一键确认OK，和逐个确认OK；</w:t>
            </w:r>
          </w:p>
          <w:p>
            <w:pPr>
              <w:numPr>
                <w:numId w:val="63"/>
              </w:numPr>
              <w:spacing w:before="120" w:after="120" w:line="288" w:lineRule="auto"/>
              <w:ind w:left="453"/>
              <w:jc w:val="left"/>
            </w:pPr>
            <w:r>
              <w:rPr>
                <w:rFonts w:eastAsia="等线" w:ascii="Arial" w:cs="Arial" w:hAnsi="Arial"/>
                <w:sz w:val="22"/>
              </w:rPr>
              <w:t>支持以功能网的形式切换（模型6：功能矩阵）方便校对</w:t>
            </w:r>
          </w:p>
        </w:tc>
      </w:tr>
    </w:tbl>
    <w:p>
      <w:pPr>
        <w:spacing w:before="120" w:after="120" w:line="288" w:lineRule="auto"/>
        <w:ind w:left="0"/>
        <w:jc w:val="center"/>
      </w:pPr>
      <w:r>
        <w:drawing>
          <wp:inline distT="0" distR="0" distB="0" distL="0">
            <wp:extent cx="5257800" cy="21812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2.2.3 </w:t>
      </w:r>
      <w:r>
        <w:rPr>
          <w:rFonts w:eastAsia="等线" w:ascii="Arial" w:cs="Arial" w:hAnsi="Arial"/>
          <w:b w:val="true"/>
          <w:sz w:val="30"/>
        </w:rPr>
        <w:t>失效分析</w:t>
      </w:r>
      <w:bookmarkEnd w:id="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风险：历史失效匹配的精准度受限于与基础库的字段匹配度</w:t>
            </w:r>
          </w:p>
        </w:tc>
      </w:tr>
    </w:tbl>
    <w:p>
      <w:pPr>
        <w:spacing w:before="120" w:after="120" w:line="288" w:lineRule="auto"/>
        <w:ind w:left="0"/>
        <w:jc w:val="center"/>
      </w:pPr>
      <w:r>
        <w:drawing>
          <wp:inline distT="0" distR="0" distB="0" distL="0">
            <wp:extent cx="5257800" cy="16859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1685925"/>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2.2.4 </w:t>
      </w:r>
      <w:r>
        <w:rPr>
          <w:rFonts w:eastAsia="等线" w:ascii="Arial" w:cs="Arial" w:hAnsi="Arial"/>
          <w:b w:val="true"/>
          <w:sz w:val="30"/>
        </w:rPr>
        <w:t>预防与探测控制</w:t>
      </w:r>
      <w:bookmarkEnd w:id="7"/>
    </w:p>
    <w:p>
      <w:pPr>
        <w:spacing w:before="120" w:after="120" w:line="288" w:lineRule="auto"/>
        <w:ind w:left="0"/>
        <w:jc w:val="left"/>
      </w:pPr>
    </w:p>
    <w:p>
      <w:pPr>
        <w:spacing w:before="120" w:after="120" w:line="288" w:lineRule="auto"/>
        <w:ind w:left="0"/>
        <w:jc w:val="center"/>
      </w:pPr>
      <w:r>
        <w:drawing>
          <wp:inline distT="0" distR="0" distB="0" distL="0">
            <wp:extent cx="5257800" cy="11620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5257800" cy="11620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2.2.5 </w:t>
      </w:r>
      <w:r>
        <w:rPr>
          <w:rFonts w:eastAsia="等线" w:ascii="Arial" w:cs="Arial" w:hAnsi="Arial"/>
          <w:b w:val="true"/>
          <w:sz w:val="30"/>
        </w:rPr>
        <w:t>风险评级及优化</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发生度评级：优先开发模式2（适合硬件），模式1预留；</w:t>
            </w:r>
          </w:p>
          <w:p>
            <w:pPr>
              <w:spacing w:before="120" w:after="120" w:line="288" w:lineRule="auto"/>
              <w:ind w:left="0"/>
              <w:jc w:val="left"/>
            </w:pPr>
            <w:r>
              <w:rPr>
                <w:rFonts w:eastAsia="等线" w:ascii="Arial" w:cs="Arial" w:hAnsi="Arial"/>
                <w:b w:val="true"/>
                <w:sz w:val="22"/>
              </w:rPr>
              <w:t>风险</w:t>
            </w:r>
            <w:r>
              <w:rPr>
                <w:rFonts w:eastAsia="等线" w:ascii="Arial" w:cs="Arial" w:hAnsi="Arial"/>
                <w:sz w:val="22"/>
              </w:rPr>
              <w:t>：O与D评估的准确度不高</w:t>
            </w:r>
          </w:p>
        </w:tc>
      </w:tr>
    </w:tbl>
    <w:p>
      <w:pPr>
        <w:spacing w:before="120" w:after="120" w:line="288" w:lineRule="auto"/>
        <w:ind w:left="0"/>
        <w:jc w:val="center"/>
      </w:pPr>
      <w:r>
        <w:drawing>
          <wp:inline distT="0" distR="0" distB="0" distL="0">
            <wp:extent cx="5257800" cy="2019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5257800" cy="2019300"/>
                    </a:xfrm>
                    <a:prstGeom prst="rect">
                      <a:avLst/>
                    </a:prstGeom>
                  </pic:spPr>
                </pic:pic>
              </a:graphicData>
            </a:graphic>
          </wp:inline>
        </w:drawing>
      </w:r>
    </w:p>
    <w:p>
      <w:pPr>
        <w:numPr>
          <w:numId w:val="64"/>
        </w:numPr>
        <w:spacing w:before="120" w:after="120" w:line="288" w:lineRule="auto"/>
        <w:ind w:left="0"/>
        <w:jc w:val="left"/>
      </w:pPr>
      <w:r>
        <w:rPr>
          <w:rFonts w:eastAsia="等线" w:ascii="Arial" w:cs="Arial" w:hAnsi="Arial"/>
          <w:sz w:val="22"/>
        </w:rPr>
        <w:t>20250511业务需求访谈</w:t>
      </w:r>
      <w:r>
        <w:rPr>
          <w:rFonts w:eastAsia="等线" w:ascii="Arial" w:cs="Arial" w:hAnsi="Arial"/>
          <w:color w:val="3370ff"/>
          <w:sz w:val="22"/>
        </w:rPr>
        <w:t>@杨胜云</w:t>
      </w:r>
      <w:r>
        <w:rPr>
          <w:rFonts w:eastAsia="等线" w:ascii="Arial" w:cs="Arial" w:hAnsi="Arial"/>
          <w:sz w:val="22"/>
        </w:rPr>
        <w:t>：模式1适合解决方案或软件，模式2适合硬件/结构件</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2.2.6 </w:t>
      </w:r>
      <w:r>
        <w:rPr>
          <w:rFonts w:eastAsia="等线" w:ascii="Arial" w:cs="Arial" w:hAnsi="Arial"/>
          <w:b w:val="true"/>
          <w:sz w:val="30"/>
        </w:rPr>
        <w:t>基线输出</w:t>
      </w:r>
      <w:bookmarkEnd w:id="9"/>
    </w:p>
    <w:p>
      <w:pPr>
        <w:spacing w:before="120" w:after="120" w:line="288" w:lineRule="auto"/>
        <w:ind w:left="0"/>
        <w:jc w:val="center"/>
      </w:pPr>
      <w:r>
        <w:drawing>
          <wp:inline distT="0" distR="0" distB="0" distL="0">
            <wp:extent cx="5257800" cy="23145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0"/>
                    <a:stretch>
                      <a:fillRect/>
                    </a:stretch>
                  </pic:blipFill>
                  <pic:spPr>
                    <a:xfrm>
                      <a:off x="0" y="0"/>
                      <a:ext cx="5257800" cy="231457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2.2.7 </w:t>
      </w:r>
      <w:r>
        <w:rPr>
          <w:rFonts w:eastAsia="等线" w:ascii="Arial" w:cs="Arial" w:hAnsi="Arial"/>
          <w:b w:val="true"/>
          <w:sz w:val="30"/>
        </w:rPr>
        <w:t>评审</w:t>
      </w:r>
      <w:bookmarkEnd w:id="1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工程一级项目且评审角色给出建议率≤2/3，需强制要求组织线下评审会议（初定）</w:t>
            </w:r>
          </w:p>
        </w:tc>
      </w:tr>
    </w:tbl>
    <w:p>
      <w:pPr>
        <w:spacing w:before="120" w:after="120" w:line="288" w:lineRule="auto"/>
        <w:ind w:left="0"/>
        <w:jc w:val="center"/>
      </w:pPr>
      <w:r>
        <w:drawing>
          <wp:inline distT="0" distR="0" distB="0" distL="0">
            <wp:extent cx="5257800" cy="2571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1"/>
                    <a:stretch>
                      <a:fillRect/>
                    </a:stretch>
                  </pic:blipFill>
                  <pic:spPr>
                    <a:xfrm>
                      <a:off x="0" y="0"/>
                      <a:ext cx="5257800" cy="257175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2.2.8 </w:t>
      </w:r>
      <w:r>
        <w:rPr>
          <w:rFonts w:eastAsia="等线" w:ascii="Arial" w:cs="Arial" w:hAnsi="Arial"/>
          <w:b w:val="true"/>
          <w:sz w:val="30"/>
        </w:rPr>
        <w:t>审批</w:t>
      </w:r>
      <w:bookmarkEnd w:id="1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sz w:val="22"/>
              </w:rPr>
              <w:t>系统可根据变更等级与审批角色设置审批路径；</w:t>
            </w:r>
          </w:p>
          <w:p>
            <w:pPr>
              <w:numPr>
                <w:numId w:val="66"/>
              </w:numPr>
              <w:spacing w:before="120" w:after="120" w:line="288" w:lineRule="auto"/>
              <w:ind w:left="0"/>
              <w:jc w:val="left"/>
            </w:pPr>
            <w:r>
              <w:rPr>
                <w:rFonts w:eastAsia="等线" w:ascii="Arial" w:cs="Arial" w:hAnsi="Arial"/>
                <w:sz w:val="22"/>
              </w:rPr>
              <w:t>需考虑完成审批后，将DRBFM文件及审批信息自动回填至TR3/TR4点的作为交付</w:t>
            </w:r>
            <w:r>
              <w:rPr>
                <w:rFonts w:eastAsia="等线" w:ascii="Arial" w:cs="Arial" w:hAnsi="Arial"/>
                <w:b w:val="true"/>
                <w:color w:val="d83931"/>
                <w:sz w:val="22"/>
              </w:rPr>
              <w:t>（2026/05/13)</w:t>
            </w:r>
            <w:r>
              <w:rPr>
                <w:rFonts w:eastAsia="等线" w:ascii="Arial" w:cs="Arial" w:hAnsi="Arial"/>
                <w:sz w:val="22"/>
              </w:rPr>
              <w:t>。</w:t>
            </w:r>
          </w:p>
        </w:tc>
      </w:tr>
    </w:tbl>
    <w:p>
      <w:pPr>
        <w:spacing w:before="120" w:after="120" w:line="288" w:lineRule="auto"/>
        <w:ind w:left="0"/>
        <w:jc w:val="left"/>
      </w:pPr>
    </w:p>
    <w:p>
      <w:pPr>
        <w:spacing w:before="120" w:after="120" w:line="288" w:lineRule="auto"/>
        <w:ind w:left="0"/>
        <w:jc w:val="center"/>
      </w:pPr>
      <w:r>
        <w:drawing>
          <wp:inline distT="0" distR="0" distB="0" distL="0">
            <wp:extent cx="5257800" cy="15240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2"/>
                    <a:stretch>
                      <a:fillRect/>
                    </a:stretch>
                  </pic:blipFill>
                  <pic:spPr>
                    <a:xfrm>
                      <a:off x="0" y="0"/>
                      <a:ext cx="5257800" cy="1524000"/>
                    </a:xfrm>
                    <a:prstGeom prst="rect">
                      <a:avLst/>
                    </a:prstGeom>
                  </pic:spPr>
                </pic:pic>
              </a:graphicData>
            </a:graphic>
          </wp:inline>
        </w:drawing>
      </w:r>
    </w:p>
    <w:p>
      <w:pPr>
        <w:numPr>
          <w:numId w:val="67"/>
        </w:numPr>
        <w:spacing w:before="120" w:after="120" w:line="288" w:lineRule="auto"/>
        <w:ind w:left="0"/>
        <w:jc w:val="left"/>
      </w:pPr>
      <w:r>
        <w:rPr>
          <w:rFonts w:eastAsia="等线" w:ascii="Arial" w:cs="Arial" w:hAnsi="Arial"/>
          <w:sz w:val="22"/>
        </w:rPr>
        <w:t>变更等级与审批角色对应关系：</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455"/>
        <w:gridCol w:w="4710"/>
      </w:tblGrid>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决策层级</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审批者</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变更类型</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1:团队决策</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专业域组长</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初级变更：</w:t>
            </w:r>
          </w:p>
          <w:p>
            <w:pPr>
              <w:numPr>
                <w:numId w:val="68"/>
              </w:numPr>
              <w:spacing w:before="120" w:after="120" w:line="288" w:lineRule="auto"/>
              <w:ind w:left="0"/>
              <w:jc w:val="left"/>
            </w:pPr>
            <w:r>
              <w:rPr>
                <w:rFonts w:eastAsia="等线" w:ascii="Arial" w:cs="Arial" w:hAnsi="Arial"/>
                <w:sz w:val="22"/>
              </w:rPr>
              <w:t>不影响接口的软件Bug修复；</w:t>
            </w:r>
          </w:p>
          <w:p>
            <w:pPr>
              <w:numPr>
                <w:numId w:val="69"/>
              </w:numPr>
              <w:spacing w:before="120" w:after="120" w:line="288" w:lineRule="auto"/>
              <w:ind w:left="0"/>
              <w:jc w:val="left"/>
            </w:pPr>
            <w:r>
              <w:rPr>
                <w:rFonts w:eastAsia="等线" w:ascii="Arial" w:cs="Arial" w:hAnsi="Arial"/>
                <w:sz w:val="22"/>
              </w:rPr>
              <w:t>不涉及软件变更的B配套器件导入；</w:t>
            </w:r>
          </w:p>
          <w:p>
            <w:pPr>
              <w:numPr>
                <w:numId w:val="70"/>
              </w:numPr>
              <w:spacing w:before="120" w:after="120" w:line="288" w:lineRule="auto"/>
              <w:ind w:left="0"/>
              <w:jc w:val="left"/>
            </w:pPr>
            <w:r>
              <w:rPr>
                <w:rFonts w:eastAsia="等线" w:ascii="Arial" w:cs="Arial" w:hAnsi="Arial"/>
                <w:sz w:val="22"/>
              </w:rPr>
              <w:t>文档勘误；</w:t>
            </w:r>
          </w:p>
          <w:p>
            <w:pPr>
              <w:numPr>
                <w:numId w:val="71"/>
              </w:numPr>
              <w:spacing w:before="120" w:after="120" w:line="288" w:lineRule="auto"/>
              <w:ind w:left="0"/>
              <w:jc w:val="left"/>
            </w:pPr>
            <w:r>
              <w:rPr>
                <w:rFonts w:eastAsia="等线" w:ascii="Arial" w:cs="Arial" w:hAnsi="Arial"/>
                <w:sz w:val="22"/>
              </w:rPr>
              <w:t>不改变意图的布线优化。</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2:部门级决策</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部门经理</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中度变更：</w:t>
            </w:r>
          </w:p>
          <w:p>
            <w:pPr>
              <w:numPr>
                <w:numId w:val="72"/>
              </w:numPr>
              <w:spacing w:before="120" w:after="120" w:line="288" w:lineRule="auto"/>
              <w:ind w:left="0"/>
              <w:jc w:val="left"/>
            </w:pPr>
            <w:r>
              <w:rPr>
                <w:rFonts w:eastAsia="等线" w:ascii="Arial" w:cs="Arial" w:hAnsi="Arial"/>
                <w:sz w:val="22"/>
              </w:rPr>
              <w:t>影响单一模块性能的硬件设计优化；</w:t>
            </w:r>
          </w:p>
          <w:p>
            <w:pPr>
              <w:numPr>
                <w:numId w:val="73"/>
              </w:numPr>
              <w:spacing w:before="120" w:after="120" w:line="288" w:lineRule="auto"/>
              <w:ind w:left="0"/>
              <w:jc w:val="left"/>
            </w:pPr>
            <w:r>
              <w:rPr>
                <w:rFonts w:eastAsia="等线" w:ascii="Arial" w:cs="Arial" w:hAnsi="Arial"/>
                <w:sz w:val="22"/>
              </w:rPr>
              <w:t>软件功能模块的版本升级；</w:t>
            </w:r>
          </w:p>
          <w:p>
            <w:pPr>
              <w:numPr>
                <w:numId w:val="74"/>
              </w:numPr>
              <w:spacing w:before="120" w:after="120" w:line="288" w:lineRule="auto"/>
              <w:ind w:left="0"/>
              <w:jc w:val="left"/>
            </w:pPr>
            <w:r>
              <w:rPr>
                <w:rFonts w:eastAsia="等线" w:ascii="Arial" w:cs="Arial" w:hAnsi="Arial"/>
                <w:sz w:val="22"/>
              </w:rPr>
              <w:t>涉及软件变更的B配套器件导入，涉及重新认证的B配套器件导入。</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3:高层决策</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研发总监</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重大变更：</w:t>
            </w:r>
          </w:p>
          <w:p>
            <w:pPr>
              <w:numPr>
                <w:numId w:val="75"/>
              </w:numPr>
              <w:spacing w:before="120" w:after="120" w:line="288" w:lineRule="auto"/>
              <w:ind w:left="0"/>
              <w:jc w:val="left"/>
            </w:pPr>
            <w:r>
              <w:rPr>
                <w:rFonts w:eastAsia="等线" w:ascii="Arial" w:cs="Arial" w:hAnsi="Arial"/>
                <w:sz w:val="22"/>
              </w:rPr>
              <w:t>架构性与范围性变更；</w:t>
            </w:r>
          </w:p>
          <w:p>
            <w:pPr>
              <w:numPr>
                <w:numId w:val="76"/>
              </w:numPr>
              <w:spacing w:before="120" w:after="120" w:line="288" w:lineRule="auto"/>
              <w:ind w:left="0"/>
              <w:jc w:val="left"/>
            </w:pPr>
            <w:r>
              <w:rPr>
                <w:rFonts w:eastAsia="等线" w:ascii="Arial" w:cs="Arial" w:hAnsi="Arial"/>
                <w:sz w:val="22"/>
              </w:rPr>
              <w:t>资源性与流程性变更；</w:t>
            </w:r>
          </w:p>
          <w:p>
            <w:pPr>
              <w:numPr>
                <w:numId w:val="77"/>
              </w:numPr>
              <w:spacing w:before="120" w:after="120" w:line="288" w:lineRule="auto"/>
              <w:ind w:left="0"/>
              <w:jc w:val="left"/>
            </w:pPr>
            <w:r>
              <w:rPr>
                <w:rFonts w:eastAsia="等线" w:ascii="Arial" w:cs="Arial" w:hAnsi="Arial"/>
                <w:sz w:val="22"/>
              </w:rPr>
              <w:t>显著影响成本与产品路标变更。</w:t>
            </w:r>
          </w:p>
        </w:tc>
      </w:tr>
    </w:tbl>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2.3 </w:t>
      </w:r>
      <w:r>
        <w:rPr>
          <w:rFonts w:eastAsia="等线" w:ascii="Arial" w:cs="Arial" w:hAnsi="Arial"/>
          <w:b w:val="true"/>
          <w:sz w:val="32"/>
        </w:rPr>
        <w:t>基线落地跟踪</w:t>
      </w:r>
      <w:bookmarkEnd w:id="1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责任人反馈完成情况时，</w:t>
            </w:r>
            <w:r>
              <w:rPr>
                <w:rFonts w:eastAsia="等线" w:ascii="Arial" w:cs="Arial" w:hAnsi="Arial"/>
                <w:b w:val="true"/>
                <w:color w:val="d83931"/>
                <w:sz w:val="22"/>
              </w:rPr>
              <w:t>是否需上传相关材料</w:t>
            </w:r>
            <w:r>
              <w:rPr>
                <w:rFonts w:eastAsia="等线" w:ascii="Arial" w:cs="Arial" w:hAnsi="Arial"/>
                <w:sz w:val="22"/>
              </w:rPr>
              <w:t>，考虑工作量，需决策。</w:t>
            </w:r>
          </w:p>
        </w:tc>
      </w:tr>
    </w:tbl>
    <w:p>
      <w:pPr>
        <w:spacing w:before="120" w:after="120" w:line="288" w:lineRule="auto"/>
        <w:ind w:left="0"/>
        <w:jc w:val="center"/>
      </w:pPr>
      <w:r>
        <w:drawing>
          <wp:inline distT="0" distR="0" distB="0" distL="0">
            <wp:extent cx="5257800" cy="18002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3"/>
                    <a:stretch>
                      <a:fillRect/>
                    </a:stretch>
                  </pic:blipFill>
                  <pic:spPr>
                    <a:xfrm>
                      <a:off x="0" y="0"/>
                      <a:ext cx="5257800" cy="180022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2.4 </w:t>
      </w:r>
      <w:r>
        <w:rPr>
          <w:rFonts w:eastAsia="等线" w:ascii="Arial" w:cs="Arial" w:hAnsi="Arial"/>
          <w:b w:val="true"/>
          <w:sz w:val="32"/>
        </w:rPr>
        <w:t>入库</w:t>
      </w:r>
      <w:bookmarkEnd w:id="1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项目生成的基线库与现有基线库通过何种方式去匹配？</w:t>
            </w:r>
          </w:p>
          <w:p>
            <w:pPr>
              <w:numPr>
                <w:numId w:val="78"/>
              </w:numPr>
              <w:spacing w:before="120" w:after="120" w:line="288" w:lineRule="auto"/>
              <w:ind w:left="0"/>
              <w:jc w:val="left"/>
            </w:pPr>
            <w:r>
              <w:rPr>
                <w:rFonts w:eastAsia="等线" w:ascii="Arial" w:cs="Arial" w:hAnsi="Arial"/>
                <w:sz w:val="22"/>
              </w:rPr>
              <w:t>模糊检索+人工判断；</w:t>
            </w:r>
          </w:p>
          <w:p>
            <w:pPr>
              <w:numPr>
                <w:numId w:val="79"/>
              </w:numPr>
              <w:spacing w:before="120" w:after="120" w:line="288" w:lineRule="auto"/>
              <w:ind w:left="0"/>
              <w:jc w:val="left"/>
            </w:pPr>
            <w:r>
              <w:rPr>
                <w:rFonts w:eastAsia="等线" w:ascii="Arial" w:cs="Arial" w:hAnsi="Arial"/>
                <w:sz w:val="22"/>
              </w:rPr>
              <w:t>通过BOM料号/部件名称匹配：需要集中专业域资源进行数据清洗，补充信息，且基线库种类较多，工作量较大。</w:t>
            </w:r>
          </w:p>
        </w:tc>
      </w:tr>
    </w:tbl>
    <w:p>
      <w:pPr>
        <w:spacing w:before="120" w:after="120" w:line="288" w:lineRule="auto"/>
        <w:ind w:left="0"/>
        <w:jc w:val="center"/>
      </w:pPr>
      <w:r>
        <w:drawing>
          <wp:inline distT="0" distR="0" distB="0" distL="0">
            <wp:extent cx="5257800" cy="11334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4"/>
                    <a:stretch>
                      <a:fillRect/>
                    </a:stretch>
                  </pic:blipFill>
                  <pic:spPr>
                    <a:xfrm>
                      <a:off x="0" y="0"/>
                      <a:ext cx="5257800" cy="1133475"/>
                    </a:xfrm>
                    <a:prstGeom prst="rect">
                      <a:avLst/>
                    </a:prstGeom>
                  </pic:spPr>
                </pic:pic>
              </a:graphicData>
            </a:graphic>
          </wp:inline>
        </w:drawing>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2.5 </w:t>
      </w:r>
      <w:r>
        <w:rPr>
          <w:rFonts w:eastAsia="等线" w:ascii="Arial" w:cs="Arial" w:hAnsi="Arial"/>
          <w:b w:val="true"/>
          <w:sz w:val="32"/>
        </w:rPr>
        <w:t>DRBFM迭代更新</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1920"/>
        <w:gridCol w:w="1425"/>
        <w:gridCol w:w="1920"/>
        <w:gridCol w:w="2025"/>
      </w:tblGrid>
      <w:tr>
        <w:tc>
          <w:tcPr>
            <w:tcW w:w="9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FMEA类别</w:t>
            </w:r>
          </w:p>
        </w:tc>
        <w:tc>
          <w:tcPr>
            <w:tcW w:w="5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TR1通过触发系统级FMEA评估</w:t>
            </w:r>
          </w:p>
          <w:p>
            <w:pPr>
              <w:spacing w:before="120" w:after="120" w:line="288" w:lineRule="auto"/>
              <w:ind w:left="0"/>
              <w:jc w:val="center"/>
            </w:pPr>
            <w:r>
              <w:rPr>
                <w:rFonts w:eastAsia="等线" w:ascii="Arial" w:cs="Arial" w:hAnsi="Arial"/>
                <w:b w:val="true"/>
                <w:sz w:val="22"/>
              </w:rPr>
              <w:t>TR3通过触发部件级FMEA评估</w:t>
            </w:r>
          </w:p>
        </w:tc>
        <w:tc>
          <w:tcPr>
            <w:tcW w:w="1425" w:type="dxa"/>
            <w:hMerge w:val="continue"/>
            <w:tcMar>
              <w:top w:type="dxa" w:w="60"/>
              <w:left w:type="dxa" w:w="120"/>
              <w:bottom w:type="dxa" w:w="30"/>
              <w:right w:type="dxa" w:w="120"/>
            </w:tcMar>
          </w:tcPr>
          <w:p>
            <w:pPr>
              <w:spacing w:before="120" w:after="120" w:line="288" w:lineRule="auto"/>
              <w:ind w:left="0"/>
              <w:jc w:val="left"/>
            </w:pPr>
          </w:p>
        </w:tc>
        <w:tc>
          <w:tcPr>
            <w:tcW w:w="1920" w:type="dxa"/>
            <w:hMerge w:val="continue"/>
            <w:tcMar>
              <w:top w:type="dxa" w:w="60"/>
              <w:left w:type="dxa" w:w="120"/>
              <w:bottom w:type="dxa" w:w="30"/>
              <w:right w:type="dxa" w:w="120"/>
            </w:tcMar>
          </w:tcPr>
          <w:p>
            <w:pPr>
              <w:spacing w:before="120" w:after="120" w:line="288" w:lineRule="auto"/>
              <w:ind w:left="0"/>
              <w:jc w:val="left"/>
            </w:pPr>
          </w:p>
        </w:tc>
        <w:tc>
          <w:tcPr>
            <w:tcW w:w="20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FMEA发布版本</w:t>
            </w:r>
          </w:p>
        </w:tc>
      </w:tr>
      <w:tr>
        <w:tc>
          <w:tcPr>
            <w:tcW w:w="990" w:type="dxa"/>
            <w:vMerge w:val="continue"/>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时限</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触发范围</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DRBFM触发评估表</w:t>
            </w:r>
          </w:p>
        </w:tc>
        <w:tc>
          <w:tcPr>
            <w:tcW w:w="2025" w:type="dxa"/>
            <w:v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系统FMEA</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TR3前4周前完成评估即可</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TR3前4周所有变更</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1.0版本</w:t>
            </w:r>
          </w:p>
        </w:tc>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1.0版本</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部件级FMEA</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TR4前4周前完成评估即可</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TR4前4周所有变更</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1.0版本</w:t>
            </w:r>
          </w:p>
        </w:tc>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1.0版本</w:t>
            </w:r>
          </w:p>
        </w:tc>
      </w:tr>
    </w:tbl>
    <w:p>
      <w:pPr>
        <w:numPr>
          <w:numId w:val="80"/>
        </w:numPr>
        <w:spacing w:before="120" w:after="120" w:line="288" w:lineRule="auto"/>
        <w:ind w:left="0"/>
        <w:jc w:val="left"/>
      </w:pPr>
      <w:r>
        <w:rPr>
          <w:rFonts w:eastAsia="等线" w:ascii="Arial" w:cs="Arial" w:hAnsi="Arial"/>
          <w:b w:val="true"/>
          <w:color w:val="d83931"/>
          <w:sz w:val="22"/>
        </w:rPr>
        <w:t>7/30实现</w:t>
      </w:r>
      <w:r>
        <w:rPr>
          <w:rFonts w:eastAsia="等线" w:ascii="Arial" w:cs="Arial" w:hAnsi="Arial"/>
          <w:sz w:val="22"/>
        </w:rPr>
        <w:t>：DRBFM基于变更来源的迭代更新：</w:t>
      </w:r>
    </w:p>
    <w:p>
      <w:pPr>
        <w:spacing w:before="120" w:after="120" w:line="288" w:lineRule="auto"/>
        <w:ind w:left="0"/>
        <w:jc w:val="left"/>
      </w:pPr>
      <w:r>
        <w:rPr>
          <w:rFonts w:eastAsia="等线" w:ascii="Arial" w:cs="Arial" w:hAnsi="Arial"/>
          <w:sz w:val="22"/>
        </w:rPr>
        <w:t>方案1：在1.0版本后的每个节点4周前，推送所有变更点信息，进行1次评审</w:t>
      </w:r>
    </w:p>
    <w:p>
      <w:pPr>
        <w:spacing w:before="120" w:after="120" w:line="288" w:lineRule="auto"/>
        <w:ind w:left="0"/>
        <w:jc w:val="left"/>
      </w:pPr>
      <w:r>
        <w:rPr>
          <w:rFonts w:eastAsia="等线" w:ascii="Arial" w:cs="Arial" w:hAnsi="Arial"/>
          <w:sz w:val="22"/>
        </w:rPr>
        <w:t>劣势：风险评估的及时性不足；</w:t>
      </w:r>
    </w:p>
    <w:p>
      <w:pPr>
        <w:spacing w:before="120" w:after="120" w:line="288" w:lineRule="auto"/>
        <w:ind w:left="0"/>
        <w:jc w:val="left"/>
      </w:pPr>
      <w:r>
        <w:rPr>
          <w:rFonts w:eastAsia="等线" w:ascii="Arial" w:cs="Arial" w:hAnsi="Arial"/>
          <w:sz w:val="22"/>
        </w:rPr>
        <w:t>优势：减少频繁变更带来的感知工作量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05"/>
        <w:gridCol w:w="1110"/>
        <w:gridCol w:w="1425"/>
        <w:gridCol w:w="1275"/>
        <w:gridCol w:w="1110"/>
        <w:gridCol w:w="1245"/>
      </w:tblGrid>
      <w:tr>
        <w:tc>
          <w:tcPr>
            <w:tcW w:w="1095" w:type="dxa"/>
            <w:tcMar>
              <w:top w:type="dxa" w:w="60"/>
              <w:left w:type="dxa" w:w="120"/>
              <w:bottom w:type="dxa" w:w="30"/>
              <w:right w:type="dxa" w:w="120"/>
            </w:tcMar>
          </w:tcPr>
          <w:p>
            <w:pPr>
              <w:spacing w:before="120" w:after="120" w:line="288" w:lineRule="auto"/>
              <w:ind w:left="0"/>
              <w:jc w:val="center"/>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TR3</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TR4</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TR4a</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TR5</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TR6</w:t>
            </w:r>
          </w:p>
        </w:tc>
      </w:tr>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系统FMEA</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触发</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1.0版本</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迭代2.0版本</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迭代3.0版本</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迭代4.0版本</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迭代5.0版本</w:t>
            </w:r>
          </w:p>
        </w:tc>
      </w:tr>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部件级FMEA</w:t>
            </w:r>
          </w:p>
        </w:tc>
        <w:tc>
          <w:tcPr>
            <w:tcW w:w="1005"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触发</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1.0版本</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迭代2.0版本</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迭代3.0版本</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迭代4.0版本</w:t>
            </w:r>
          </w:p>
        </w:tc>
      </w:tr>
    </w:tbl>
    <w:p>
      <w:pPr>
        <w:spacing w:before="120" w:after="120" w:line="288" w:lineRule="auto"/>
        <w:ind w:left="0"/>
        <w:jc w:val="left"/>
      </w:pPr>
      <w:r>
        <w:rPr>
          <w:rFonts w:eastAsia="等线" w:ascii="Arial" w:cs="Arial" w:hAnsi="Arial"/>
          <w:sz w:val="22"/>
        </w:rPr>
        <w:t>方案2：1.0版本后在每个charter变更通过后/EBOM/EC变更申请时，推送DRBFM触发评估</w:t>
      </w:r>
    </w:p>
    <w:p>
      <w:pPr>
        <w:spacing w:before="120" w:after="120" w:line="288" w:lineRule="auto"/>
        <w:ind w:left="0"/>
        <w:jc w:val="left"/>
      </w:pPr>
      <w:r>
        <w:rPr>
          <w:rFonts w:eastAsia="等线" w:ascii="Arial" w:cs="Arial" w:hAnsi="Arial"/>
          <w:sz w:val="22"/>
        </w:rPr>
        <w:t>劣势：频繁变更，FMEA迭代工作量大；</w:t>
      </w:r>
    </w:p>
    <w:p>
      <w:pPr>
        <w:spacing w:before="120" w:after="120" w:line="288" w:lineRule="auto"/>
        <w:ind w:left="0"/>
        <w:jc w:val="left"/>
      </w:pPr>
      <w:r>
        <w:rPr>
          <w:rFonts w:eastAsia="等线" w:ascii="Arial" w:cs="Arial" w:hAnsi="Arial"/>
          <w:sz w:val="22"/>
        </w:rPr>
        <w:t>优势：风险评估及时性较高</w:t>
      </w: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3. </w:t>
      </w:r>
      <w:r>
        <w:rPr>
          <w:rFonts w:eastAsia="等线" w:ascii="Arial" w:cs="Arial" w:hAnsi="Arial"/>
          <w:b w:val="true"/>
          <w:sz w:val="36"/>
        </w:rPr>
        <w:t>关键模型</w:t>
      </w:r>
      <w:bookmarkEnd w:id="15"/>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3.1 </w:t>
      </w:r>
      <w:r>
        <w:rPr>
          <w:rFonts w:eastAsia="等线" w:ascii="Arial" w:cs="Arial" w:hAnsi="Arial"/>
          <w:b w:val="true"/>
          <w:sz w:val="32"/>
        </w:rPr>
        <w:t>模型1：变更点清单（IT）</w:t>
      </w:r>
      <w:bookmarkEnd w:id="16"/>
    </w:p>
    <w:p>
      <w:pPr>
        <w:spacing w:before="120" w:after="120" w:line="288" w:lineRule="auto"/>
        <w:ind w:left="0"/>
        <w:jc w:val="left"/>
      </w:pPr>
      <w:hyperlink r:id="rId25">
        <w:r>
          <w:rPr>
            <w:rFonts w:eastAsia="等线" w:ascii="Arial" w:cs="Arial" w:hAnsi="Arial"/>
            <w:color w:val="3370ff"/>
            <w:sz w:val="22"/>
          </w:rPr>
          <w:t>变更点清单</w:t>
        </w:r>
      </w:hyperlink>
      <w:r>
        <w:rPr>
          <w:rFonts w:eastAsia="等线" w:ascii="Arial" w:cs="Arial" w:hAnsi="Arial"/>
          <w:sz w:val="22"/>
        </w:rPr>
        <w:t>（非空模板，示例便于开发理解）</w:t>
      </w:r>
    </w:p>
    <w:p>
      <w:pPr>
        <w:spacing w:before="120" w:after="120" w:line="288" w:lineRule="auto"/>
        <w:ind w:left="0"/>
        <w:jc w:val="left"/>
      </w:pPr>
      <w:r>
        <w:rPr>
          <w:rFonts w:eastAsia="等线" w:ascii="Arial" w:cs="Arial" w:hAnsi="Arial"/>
          <w:sz w:val="22"/>
        </w:rPr>
        <w:t>以下推送任务时作为附件指导变更点识别及填写，系统DRBFM触发任务时，推送任务时注明，当前仅进行系统DRBFM触发评估</w:t>
      </w:r>
    </w:p>
    <w:p>
      <w:pPr>
        <w:spacing w:before="120" w:after="120" w:line="288" w:lineRule="auto"/>
        <w:ind w:left="0"/>
        <w:jc w:val="left"/>
      </w:pPr>
      <w:hyperlink r:id="rId26">
        <w:r>
          <w:rPr>
            <w:rFonts w:eastAsia="等线" w:ascii="Arial" w:cs="Arial" w:hAnsi="Arial"/>
            <w:color w:val="3370ff"/>
            <w:sz w:val="22"/>
          </w:rPr>
          <w:t>模型1：变更点类型及描述模板</w:t>
        </w:r>
      </w:hyperlink>
    </w:p>
    <w:p>
      <w:pPr>
        <w:spacing w:before="120" w:after="120" w:line="288" w:lineRule="auto"/>
        <w:ind w:left="0"/>
        <w:jc w:val="left"/>
      </w:pPr>
      <w:r>
        <w:rPr>
          <w:rFonts w:eastAsia="等线" w:ascii="Arial" w:cs="Arial" w:hAnsi="Arial"/>
          <w:b w:val="true"/>
          <w:sz w:val="22"/>
        </w:rPr>
        <w:t>公司实际样例</w:t>
      </w:r>
      <w:r>
        <w:rPr>
          <w:rFonts w:eastAsia="等线" w:ascii="Arial" w:cs="Arial" w:hAnsi="Arial"/>
          <w:sz w:val="22"/>
        </w:rPr>
        <w:t>：</w:t>
      </w:r>
    </w:p>
    <w:p>
      <w:pPr>
        <w:spacing w:before="120" w:after="120" w:line="288" w:lineRule="auto"/>
        <w:ind w:left="0"/>
        <w:jc w:val="left"/>
      </w:pPr>
      <w:r>
        <w:rPr>
          <w:rFonts w:eastAsia="等线" w:ascii="Arial" w:cs="Arial" w:hAnsi="Arial"/>
          <w:sz w:val="22"/>
        </w:rPr>
        <w:t>时钟CBB</w:t>
      </w:r>
    </w:p>
    <w:p>
      <w:pPr>
        <w:spacing w:before="120" w:after="120" w:line="288" w:lineRule="auto"/>
        <w:ind w:left="0"/>
        <w:jc w:val="center"/>
      </w:pPr>
      <w:r>
        <w:drawing>
          <wp:inline distT="0" distR="0" distB="0" distL="0">
            <wp:extent cx="5257800" cy="14192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7"/>
                    <a:stretch>
                      <a:fillRect/>
                    </a:stretch>
                  </pic:blipFill>
                  <pic:spPr>
                    <a:xfrm>
                      <a:off x="0" y="0"/>
                      <a:ext cx="5257800" cy="1419225"/>
                    </a:xfrm>
                    <a:prstGeom prst="rect">
                      <a:avLst/>
                    </a:prstGeom>
                  </pic:spPr>
                </pic:pic>
              </a:graphicData>
            </a:graphic>
          </wp:inline>
        </w:drawing>
      </w:r>
    </w:p>
    <w:p>
      <w:pPr>
        <w:spacing w:before="120" w:after="120" w:line="288" w:lineRule="auto"/>
        <w:ind w:left="0"/>
        <w:jc w:val="left"/>
      </w:pPr>
    </w:p>
    <w:p>
      <w:pPr>
        <w:spacing w:before="120" w:after="120" w:line="288" w:lineRule="auto"/>
        <w:ind w:left="0"/>
      </w:pPr>
      <w:r>
        <w:object>
          <v:shape id="_x0000_i1026" style="width:414pt;height:197pt;mso-width-percent:0;mso-height-percent:0;mso-width-percent:0;mso-height-percent:0" type="#_x0000_t75" o:ole="">
            <v:imagedata r:id="rId29" o:title=""/>
          </v:shape>
          <o:OLEObject DrawAspect="Icon" ObjectID="_1718471220" ProgID="Excel.Sheet.12" ShapeID="_x0000_i1026" Type="Embed" r:id="rId2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3.2 </w:t>
      </w:r>
      <w:r>
        <w:rPr>
          <w:rFonts w:eastAsia="等线" w:ascii="Arial" w:cs="Arial" w:hAnsi="Arial"/>
          <w:b w:val="true"/>
          <w:sz w:val="32"/>
        </w:rPr>
        <w:t>模型2：变更点触发DRBFM机制（AI模型+IT计算）</w:t>
      </w:r>
      <w:bookmarkEnd w:id="17"/>
    </w:p>
    <w:p>
      <w:pPr>
        <w:spacing w:before="120" w:after="120" w:line="288" w:lineRule="auto"/>
        <w:ind w:left="0"/>
        <w:jc w:val="left"/>
      </w:pPr>
      <w:hyperlink r:id="rId30">
        <w:r>
          <w:rPr>
            <w:rFonts w:eastAsia="等线" w:ascii="Arial" w:cs="Arial" w:hAnsi="Arial"/>
            <w:color w:val="3370ff"/>
            <w:sz w:val="22"/>
          </w:rPr>
          <w:t>模型2：变更点触发DRBFM机制（DRBFM触发评估表）</w:t>
        </w:r>
      </w:hyperlink>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3.2.1 </w:t>
      </w:r>
      <w:r>
        <w:rPr>
          <w:rFonts w:eastAsia="等线" w:ascii="Arial" w:cs="Arial" w:hAnsi="Arial"/>
          <w:b w:val="true"/>
          <w:sz w:val="30"/>
        </w:rPr>
        <w:t>生成5个维度风险评估规则（AI）：</w:t>
      </w:r>
      <w:bookmarkEnd w:id="18"/>
    </w:p>
    <w:p>
      <w:pPr>
        <w:numPr>
          <w:numId w:val="81"/>
        </w:numPr>
        <w:spacing w:before="120" w:after="120" w:line="288" w:lineRule="auto"/>
        <w:ind w:left="0"/>
        <w:jc w:val="left"/>
      </w:pPr>
      <w:r>
        <w:rPr>
          <w:rFonts w:eastAsia="等线" w:ascii="Arial" w:cs="Arial" w:hAnsi="Arial"/>
          <w:sz w:val="22"/>
        </w:rPr>
        <w:t>风险评估匹配规则：</w:t>
      </w:r>
    </w:p>
    <w:p>
      <w:pPr>
        <w:numPr>
          <w:numId w:val="82"/>
        </w:numPr>
        <w:spacing w:before="120" w:after="120" w:line="288" w:lineRule="auto"/>
        <w:ind w:left="453"/>
        <w:jc w:val="left"/>
      </w:pPr>
      <w:r>
        <w:rPr>
          <w:rFonts w:eastAsia="等线" w:ascii="Arial" w:cs="Arial" w:hAnsi="Arial"/>
          <w:sz w:val="22"/>
        </w:rPr>
        <w:t>”历史问题“根据导入历史问题结构名称进行匹配判定；</w:t>
      </w:r>
    </w:p>
    <w:p>
      <w:pPr>
        <w:numPr>
          <w:numId w:val="83"/>
        </w:numPr>
        <w:spacing w:before="120" w:after="120" w:line="288" w:lineRule="auto"/>
        <w:ind w:left="453"/>
        <w:jc w:val="left"/>
      </w:pPr>
      <w:r>
        <w:rPr>
          <w:rFonts w:eastAsia="等线" w:ascii="Arial" w:cs="Arial" w:hAnsi="Arial"/>
          <w:sz w:val="22"/>
        </w:rPr>
        <w:t>其他根据”变更点描述“列字段进行模糊匹配</w:t>
      </w:r>
    </w:p>
    <w:p>
      <w:pPr>
        <w:numPr>
          <w:numId w:val="84"/>
        </w:numPr>
        <w:spacing w:before="120" w:after="120" w:line="288" w:lineRule="auto"/>
        <w:ind w:left="0"/>
        <w:jc w:val="left"/>
      </w:pPr>
      <w:r>
        <w:rPr>
          <w:rFonts w:eastAsia="等线" w:ascii="Arial" w:cs="Arial" w:hAnsi="Arial"/>
          <w:sz w:val="22"/>
        </w:rPr>
        <w:t>结果填写规则：</w:t>
      </w:r>
    </w:p>
    <w:p>
      <w:pPr>
        <w:numPr>
          <w:numId w:val="85"/>
        </w:numPr>
        <w:spacing w:before="120" w:after="120" w:line="288" w:lineRule="auto"/>
        <w:ind w:left="453"/>
        <w:jc w:val="left"/>
      </w:pPr>
      <w:r>
        <w:rPr>
          <w:rFonts w:eastAsia="等线" w:ascii="Arial" w:cs="Arial" w:hAnsi="Arial"/>
          <w:sz w:val="22"/>
        </w:rPr>
        <w:t>针对每行的变更，从“技术新颖性，影响范围，失效严重度，变更复杂度，历史问题”5个维度填写对应的列，填写内容只能是“是/否/空白”；</w:t>
      </w:r>
    </w:p>
    <w:p>
      <w:pPr>
        <w:numPr>
          <w:numId w:val="86"/>
        </w:numPr>
        <w:spacing w:before="120" w:after="120" w:line="288" w:lineRule="auto"/>
        <w:ind w:left="0"/>
        <w:jc w:val="left"/>
      </w:pPr>
      <w:r>
        <w:rPr>
          <w:rFonts w:eastAsia="等线" w:ascii="Arial" w:cs="Arial" w:hAnsi="Arial"/>
          <w:sz w:val="22"/>
        </w:rPr>
        <w:t>注意事项：</w:t>
      </w:r>
    </w:p>
    <w:p>
      <w:pPr>
        <w:numPr>
          <w:numId w:val="87"/>
        </w:numPr>
        <w:spacing w:before="120" w:after="120" w:line="288" w:lineRule="auto"/>
        <w:ind w:left="453"/>
        <w:jc w:val="left"/>
      </w:pPr>
      <w:r>
        <w:rPr>
          <w:rFonts w:eastAsia="等线" w:ascii="Arial" w:cs="Arial" w:hAnsi="Arial"/>
          <w:sz w:val="22"/>
        </w:rPr>
        <w:t>每个维度均需完成评估；</w:t>
      </w:r>
    </w:p>
    <w:p>
      <w:pPr>
        <w:numPr>
          <w:numId w:val="88"/>
        </w:numPr>
        <w:spacing w:before="120" w:after="120" w:line="288" w:lineRule="auto"/>
        <w:ind w:left="453"/>
        <w:jc w:val="left"/>
      </w:pPr>
      <w:r>
        <w:rPr>
          <w:rFonts w:eastAsia="等线" w:ascii="Arial" w:cs="Arial" w:hAnsi="Arial"/>
          <w:sz w:val="22"/>
        </w:rPr>
        <w:t>原则上每个维度的风险等级只能是高或中或低；</w:t>
      </w:r>
    </w:p>
    <w:p>
      <w:pPr>
        <w:spacing w:before="120" w:after="120" w:line="288" w:lineRule="auto"/>
        <w:ind w:left="0"/>
        <w:jc w:val="left"/>
      </w:pPr>
    </w:p>
    <w:p>
      <w:pPr>
        <w:numPr>
          <w:numId w:val="89"/>
        </w:numPr>
        <w:spacing w:before="120" w:after="120" w:line="288" w:lineRule="auto"/>
        <w:ind w:left="0"/>
        <w:jc w:val="left"/>
      </w:pPr>
      <w:r>
        <w:rPr>
          <w:rFonts w:eastAsia="等线" w:ascii="Arial" w:cs="Arial" w:hAnsi="Arial"/>
          <w:b w:val="true"/>
          <w:sz w:val="22"/>
        </w:rPr>
        <w:t>公司实际样例</w:t>
      </w:r>
      <w:r>
        <w:rPr>
          <w:rFonts w:eastAsia="等线" w:ascii="Arial" w:cs="Arial" w:hAnsi="Arial"/>
          <w:sz w:val="22"/>
        </w:rPr>
        <w:t>（模板稍有不同），训练AI基于描述的5个维度风险评估</w:t>
      </w:r>
    </w:p>
    <w:p>
      <w:pPr>
        <w:spacing w:before="120" w:after="120" w:line="288" w:lineRule="auto"/>
        <w:ind w:left="453"/>
        <w:jc w:val="left"/>
      </w:pPr>
      <w:r>
        <w:rPr>
          <w:rFonts w:eastAsia="等线" w:ascii="Arial" w:cs="Arial" w:hAnsi="Arial"/>
          <w:sz w:val="22"/>
        </w:rPr>
        <w:t>MAC端口速率变更DRBFM触发评估：</w:t>
      </w:r>
    </w:p>
    <w:p>
      <w:pPr>
        <w:spacing w:before="120" w:after="120" w:line="288" w:lineRule="auto"/>
        <w:ind w:left="453"/>
      </w:pPr>
      <w:r>
        <w:object>
          <v:shape id="_x0000_i1027" style="width:414pt;height:197pt;mso-width-percent:0;mso-height-percent:0;mso-width-percent:0;mso-height-percent:0" type="#_x0000_t75" o:ole="">
            <v:imagedata r:id="rId32" o:title=""/>
          </v:shape>
          <o:OLEObject DrawAspect="Icon" ObjectID="_1718471221" ProgID="Excel.Sheet.12" ShapeID="_x0000_i1027" Type="Embed" r:id="rId31"/>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改善散热效果的变更DRBFM触发评估：</w:t>
      </w:r>
    </w:p>
    <w:p>
      <w:pPr>
        <w:spacing w:before="120" w:after="120" w:line="288" w:lineRule="auto"/>
        <w:ind w:left="453"/>
      </w:pPr>
      <w:r>
        <w:object>
          <v:shape id="_x0000_i1028" style="width:414pt;height:197pt;mso-width-percent:0;mso-height-percent:0;mso-width-percent:0;mso-height-percent:0" type="#_x0000_t75" o:ole="">
            <v:imagedata r:id="rId34" o:title=""/>
          </v:shape>
          <o:OLEObject DrawAspect="Icon" ObjectID="_1718471222" ProgID="Excel.Sheet.12" ShapeID="_x0000_i1028" Type="Embed" r:id="rId33"/>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1T降本项目DRBFM触发评估：</w:t>
      </w:r>
    </w:p>
    <w:p>
      <w:pPr>
        <w:spacing w:before="120" w:after="120" w:line="288" w:lineRule="auto"/>
        <w:ind w:left="453"/>
      </w:pPr>
      <w:r>
        <w:object>
          <v:shape id="_x0000_i1029" style="width:414pt;height:197pt;mso-width-percent:0;mso-height-percent:0;mso-width-percent:0;mso-height-percent:0" type="#_x0000_t75" o:ole="">
            <v:imagedata r:id="rId36" o:title=""/>
          </v:shape>
          <o:OLEObject DrawAspect="Icon" ObjectID="_1718471223" ProgID="Excel.Sheet.12" ShapeID="_x0000_i1029" Type="Embed" r:id="rId35"/>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3.2.2 </w:t>
      </w:r>
      <w:r>
        <w:rPr>
          <w:rFonts w:eastAsia="等线" w:ascii="Arial" w:cs="Arial" w:hAnsi="Arial"/>
          <w:b w:val="true"/>
          <w:sz w:val="30"/>
        </w:rPr>
        <w:t>风险综合评分及DRBFM建议规则（IT计算+AI）：</w:t>
      </w:r>
      <w:bookmarkEnd w:id="19"/>
    </w:p>
    <w:p>
      <w:pPr>
        <w:numPr>
          <w:numId w:val="90"/>
        </w:numPr>
        <w:spacing w:before="120" w:after="120" w:line="288" w:lineRule="auto"/>
        <w:ind w:left="0"/>
        <w:jc w:val="left"/>
      </w:pPr>
      <w:r>
        <w:rPr>
          <w:rFonts w:eastAsia="等线" w:ascii="Arial" w:cs="Arial" w:hAnsi="Arial"/>
          <w:sz w:val="22"/>
        </w:rPr>
        <w:t>IT计算：</w:t>
      </w:r>
    </w:p>
    <w:p>
      <w:pPr>
        <w:numPr>
          <w:numId w:val="91"/>
        </w:numPr>
        <w:spacing w:before="120" w:after="120" w:line="288" w:lineRule="auto"/>
        <w:ind w:left="453"/>
        <w:jc w:val="left"/>
      </w:pPr>
      <w:r>
        <w:rPr>
          <w:rFonts w:eastAsia="等线" w:ascii="Arial" w:cs="Arial" w:hAnsi="Arial"/>
          <w:sz w:val="22"/>
        </w:rPr>
        <w:t>风险综合评分=技术新颖性*15%+影响范围*30%+失效严重度*30%+变更复杂度*20%+历史问题*5%；</w:t>
      </w:r>
    </w:p>
    <w:p>
      <w:pPr>
        <w:numPr>
          <w:numId w:val="92"/>
        </w:numPr>
        <w:spacing w:before="120" w:after="120" w:line="288" w:lineRule="auto"/>
        <w:ind w:left="453"/>
        <w:jc w:val="left"/>
      </w:pPr>
      <w:r>
        <w:rPr>
          <w:rFonts w:eastAsia="等线" w:ascii="Arial" w:cs="Arial" w:hAnsi="Arial"/>
          <w:sz w:val="22"/>
        </w:rPr>
        <w:t>风险综合评分≥8分（H）：必须进行DRBFM分析；5-8分（M）：建议进行DRBFM分析；＜5分（L）：可以不进行DRBFM分析；</w:t>
      </w:r>
    </w:p>
    <w:p>
      <w:pPr>
        <w:spacing w:before="120" w:after="120" w:line="288" w:lineRule="auto"/>
        <w:ind w:left="0"/>
        <w:jc w:val="left"/>
      </w:pPr>
    </w:p>
    <w:p>
      <w:pPr>
        <w:numPr>
          <w:numId w:val="93"/>
        </w:numPr>
        <w:spacing w:before="120" w:after="120" w:line="288" w:lineRule="auto"/>
        <w:ind w:left="0"/>
        <w:jc w:val="left"/>
      </w:pPr>
      <w:r>
        <w:rPr>
          <w:rFonts w:eastAsia="等线" w:ascii="Arial" w:cs="Arial" w:hAnsi="Arial"/>
          <w:sz w:val="22"/>
        </w:rPr>
        <w:t>AI生成DRBFM建议，并给出理由和分析要点；选择该层级作为DRBFM分析对象的判定依据：</w:t>
      </w:r>
    </w:p>
    <w:p>
      <w:pPr>
        <w:numPr>
          <w:numId w:val="94"/>
        </w:numPr>
        <w:spacing w:before="120" w:after="120" w:line="288" w:lineRule="auto"/>
        <w:ind w:left="453"/>
        <w:jc w:val="left"/>
      </w:pPr>
      <w:r>
        <w:rPr>
          <w:rFonts w:eastAsia="等线" w:ascii="Arial" w:cs="Arial" w:hAnsi="Arial"/>
          <w:sz w:val="22"/>
        </w:rPr>
        <w:t>根据本层级结构“变更点描述”的评估建议满足必须进行DRBFM分析/建议进行DRBFM分析；</w:t>
      </w:r>
    </w:p>
    <w:p>
      <w:pPr>
        <w:numPr>
          <w:numId w:val="95"/>
        </w:numPr>
        <w:spacing w:before="120" w:after="120" w:line="288" w:lineRule="auto"/>
        <w:ind w:left="453"/>
        <w:jc w:val="left"/>
      </w:pPr>
      <w:r>
        <w:rPr>
          <w:rFonts w:eastAsia="等线" w:ascii="Arial" w:cs="Arial" w:hAnsi="Arial"/>
          <w:sz w:val="22"/>
        </w:rPr>
        <w:t>根据下一层级结构间可能的交互风险评估，如存在下一层级结构间变更点较多且风险较高，DRBFM必要性就越高；</w:t>
      </w:r>
    </w:p>
    <w:p>
      <w:pPr>
        <w:numPr>
          <w:numId w:val="96"/>
        </w:numPr>
        <w:spacing w:before="120" w:after="120" w:line="288" w:lineRule="auto"/>
        <w:ind w:left="453"/>
        <w:jc w:val="left"/>
      </w:pPr>
      <w:r>
        <w:rPr>
          <w:rFonts w:eastAsia="等线" w:ascii="Arial" w:cs="Arial" w:hAnsi="Arial"/>
          <w:sz w:val="22"/>
        </w:rPr>
        <w:t>开发类别：当前层级为联合开发或自主开发（特殊情况：当前层级为供应商开发，如有资源拉通供应商进行也可以选择）</w:t>
      </w: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3.3 </w:t>
      </w:r>
      <w:r>
        <w:rPr>
          <w:rFonts w:eastAsia="等线" w:ascii="Arial" w:cs="Arial" w:hAnsi="Arial"/>
          <w:b w:val="true"/>
          <w:sz w:val="32"/>
        </w:rPr>
        <w:t>模型3：框图转换规则</w:t>
      </w:r>
      <w:bookmarkEnd w:id="20"/>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3.3.1 </w:t>
      </w:r>
      <w:r>
        <w:rPr>
          <w:rFonts w:eastAsia="等线" w:ascii="Arial" w:cs="Arial" w:hAnsi="Arial"/>
          <w:b w:val="true"/>
          <w:sz w:val="30"/>
        </w:rPr>
        <w:t>从“DRBFM触发评估表”转换成系统框图内部组成（IT工具实现）</w:t>
      </w:r>
      <w:bookmarkEnd w:id="21"/>
    </w:p>
    <w:p>
      <w:pPr>
        <w:spacing w:before="120" w:after="120" w:line="288" w:lineRule="auto"/>
        <w:ind w:left="0"/>
        <w:jc w:val="center"/>
      </w:pPr>
      <w:r>
        <w:drawing>
          <wp:inline distT="0" distR="0" distB="0" distL="0">
            <wp:extent cx="5257800" cy="30194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7"/>
                    <a:stretch>
                      <a:fillRect/>
                    </a:stretch>
                  </pic:blipFill>
                  <pic:spPr>
                    <a:xfrm>
                      <a:off x="0" y="0"/>
                      <a:ext cx="5257800" cy="3019425"/>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3.3.2 </w:t>
      </w:r>
      <w:r>
        <w:rPr>
          <w:rFonts w:eastAsia="等线" w:ascii="Arial" w:cs="Arial" w:hAnsi="Arial"/>
          <w:b w:val="true"/>
          <w:sz w:val="30"/>
        </w:rPr>
        <w:t>连接关系解析</w:t>
      </w:r>
      <w:bookmarkEnd w:id="22"/>
    </w:p>
    <w:p>
      <w:pPr>
        <w:spacing w:before="120" w:after="120" w:line="288" w:lineRule="auto"/>
        <w:ind w:left="0"/>
        <w:jc w:val="left"/>
      </w:pPr>
      <w:r>
        <w:rPr>
          <w:rFonts w:eastAsia="等线" w:ascii="Arial" w:cs="Arial" w:hAnsi="Arial"/>
          <w:sz w:val="22"/>
        </w:rPr>
        <w:t>如“网表”中，子部件1与子部件2有连接关系，</w:t>
      </w:r>
    </w:p>
    <w:p>
      <w:pPr>
        <w:spacing w:before="120" w:after="120" w:line="288" w:lineRule="auto"/>
        <w:ind w:left="0"/>
        <w:jc w:val="left"/>
      </w:pPr>
      <w:r>
        <w:rPr>
          <w:rFonts w:eastAsia="等线" w:ascii="Arial" w:cs="Arial" w:hAnsi="Arial"/>
          <w:sz w:val="22"/>
        </w:rPr>
        <w:t>用直线连接；</w:t>
      </w:r>
    </w:p>
    <w:p>
      <w:pPr>
        <w:spacing w:before="120" w:after="120" w:line="288" w:lineRule="auto"/>
        <w:ind w:left="0"/>
        <w:jc w:val="left"/>
      </w:pPr>
      <w:r>
        <w:rPr>
          <w:rFonts w:eastAsia="等线" w:ascii="Arial" w:cs="Arial" w:hAnsi="Arial"/>
          <w:sz w:val="22"/>
        </w:rPr>
        <w:t>如是单向显示箭头，如是双向或无流向，不显示箭头；</w:t>
      </w:r>
    </w:p>
    <w:p>
      <w:pPr>
        <w:spacing w:before="120" w:after="120" w:line="288" w:lineRule="auto"/>
        <w:ind w:left="0"/>
        <w:jc w:val="left"/>
      </w:pPr>
      <w:r>
        <w:rPr>
          <w:rFonts w:eastAsia="等线" w:ascii="Arial" w:cs="Arial" w:hAnsi="Arial"/>
          <w:sz w:val="22"/>
        </w:rPr>
        <w:t>线型颜色定义如下：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560"/>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接口类型</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线型颜色</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黑色</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物质</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蓝色</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能量</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紫色</w:t>
            </w:r>
          </w:p>
        </w:tc>
      </w:tr>
    </w:tbl>
    <w:p>
      <w:pPr>
        <w:pStyle w:val="2"/>
        <w:spacing w:before="320" w:after="120" w:line="288" w:lineRule="auto"/>
        <w:ind w:left="0"/>
        <w:jc w:val="left"/>
        <w:outlineLvl w:val="1"/>
      </w:pPr>
      <w:bookmarkStart w:name="heading_23" w:id="23"/>
      <w:r>
        <w:rPr>
          <w:rFonts w:eastAsia="等线" w:ascii="Arial" w:cs="Arial" w:hAnsi="Arial"/>
          <w:color w:val="3370ff"/>
          <w:sz w:val="32"/>
        </w:rPr>
        <w:t xml:space="preserve">3.4 </w:t>
      </w:r>
      <w:r>
        <w:rPr>
          <w:rFonts w:eastAsia="等线" w:ascii="Arial" w:cs="Arial" w:hAnsi="Arial"/>
          <w:b w:val="true"/>
          <w:sz w:val="32"/>
        </w:rPr>
        <w:t>模型4：接口模型</w:t>
      </w:r>
      <w:bookmarkEnd w:id="23"/>
    </w:p>
    <w:p>
      <w:pPr>
        <w:spacing w:before="120" w:after="120" w:line="288" w:lineRule="auto"/>
        <w:ind w:left="0"/>
        <w:jc w:val="left"/>
      </w:pPr>
      <w:r>
        <w:rPr>
          <w:rFonts w:eastAsia="等线" w:ascii="Arial" w:cs="Arial" w:hAnsi="Arial"/>
          <w:sz w:val="22"/>
        </w:rPr>
        <w:t>依据4大类接口进行线型颜色标记</w:t>
      </w:r>
    </w:p>
    <w:p>
      <w:pPr>
        <w:spacing w:before="120" w:after="120" w:line="288" w:lineRule="auto"/>
        <w:ind w:left="0"/>
        <w:jc w:val="left"/>
      </w:pPr>
      <w:hyperlink r:id="rId38">
        <w:r>
          <w:rPr>
            <w:rFonts w:eastAsia="等线" w:ascii="Arial" w:cs="Arial" w:hAnsi="Arial"/>
            <w:color w:val="3370ff"/>
            <w:sz w:val="22"/>
          </w:rPr>
          <w:t>模型4：接口模型</w:t>
        </w:r>
      </w:hyperlink>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3.5 </w:t>
      </w:r>
      <w:r>
        <w:rPr>
          <w:rFonts w:eastAsia="等线" w:ascii="Arial" w:cs="Arial" w:hAnsi="Arial"/>
          <w:b w:val="true"/>
          <w:sz w:val="32"/>
        </w:rPr>
        <w:t>模型5：功能分析（AI模型+检索）</w:t>
      </w:r>
      <w:bookmarkEnd w:id="24"/>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3.5.1 </w:t>
      </w:r>
      <w:r>
        <w:rPr>
          <w:rFonts w:eastAsia="等线" w:ascii="Arial" w:cs="Arial" w:hAnsi="Arial"/>
          <w:b w:val="true"/>
          <w:sz w:val="30"/>
        </w:rPr>
        <w:t>结构框图到功能的转换（IT工具实现）</w:t>
      </w:r>
      <w:bookmarkEnd w:id="25"/>
    </w:p>
    <w:p>
      <w:pPr>
        <w:numPr>
          <w:numId w:val="97"/>
        </w:numPr>
        <w:spacing w:before="120" w:after="120" w:line="288" w:lineRule="auto"/>
        <w:ind w:left="0"/>
        <w:jc w:val="left"/>
      </w:pPr>
      <w:r>
        <w:rPr>
          <w:rFonts w:eastAsia="等线" w:ascii="Arial" w:cs="Arial" w:hAnsi="Arial"/>
          <w:sz w:val="22"/>
        </w:rPr>
        <w:t>逻辑：结构框图的每一个连接关系和模块，都生成在功能矩阵右列；边界图以外的模块不生成（见图中灰色模块），但灰色模块与内部组件的连接关系需要生成。</w:t>
      </w:r>
    </w:p>
    <w:p>
      <w:pPr>
        <w:numPr>
          <w:numId w:val="98"/>
        </w:num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80"/>
        <w:gridCol w:w="5100"/>
      </w:tblGrid>
      <w:tr>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系统框图</w:t>
            </w:r>
          </w:p>
        </w:tc>
        <w:tc>
          <w:tcPr>
            <w:tcW w:w="5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功能矩阵</w:t>
            </w:r>
          </w:p>
        </w:tc>
      </w:tr>
      <w:tr>
        <w:tc>
          <w:tcPr>
            <w:tcW w:w="3180" w:type="dxa"/>
            <w:tcMar>
              <w:top w:type="dxa" w:w="60"/>
              <w:left w:type="dxa" w:w="120"/>
              <w:bottom w:type="dxa" w:w="30"/>
              <w:right w:type="dxa" w:w="120"/>
            </w:tcMar>
          </w:tcPr>
          <w:p>
            <w:pPr>
              <w:spacing w:before="120" w:after="120" w:line="288" w:lineRule="auto"/>
              <w:ind w:left="0"/>
              <w:jc w:val="center"/>
            </w:pPr>
            <w:r>
              <w:drawing>
                <wp:inline distT="0" distR="0" distB="0" distL="0">
                  <wp:extent cx="1866900" cy="9429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9"/>
                          <a:stretch>
                            <a:fillRect/>
                          </a:stretch>
                        </pic:blipFill>
                        <pic:spPr>
                          <a:xfrm>
                            <a:off x="0" y="0"/>
                            <a:ext cx="1866900" cy="942975"/>
                          </a:xfrm>
                          <a:prstGeom prst="rect">
                            <a:avLst/>
                          </a:prstGeom>
                        </pic:spPr>
                      </pic:pic>
                    </a:graphicData>
                  </a:graphic>
                </wp:inline>
              </w:drawing>
            </w:r>
          </w:p>
        </w:tc>
        <w:tc>
          <w:tcPr>
            <w:tcW w:w="5100" w:type="dxa"/>
            <w:tcMar>
              <w:top w:type="dxa" w:w="60"/>
              <w:left w:type="dxa" w:w="120"/>
              <w:bottom w:type="dxa" w:w="30"/>
              <w:right w:type="dxa" w:w="120"/>
            </w:tcMar>
          </w:tcPr>
          <w:p>
            <w:pPr>
              <w:spacing w:before="120" w:after="120" w:line="288" w:lineRule="auto"/>
              <w:ind w:left="0"/>
              <w:jc w:val="center"/>
            </w:pPr>
            <w:r>
              <w:drawing>
                <wp:inline distT="0" distR="0" distB="0" distL="0">
                  <wp:extent cx="3086100" cy="8382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40"/>
                          <a:stretch>
                            <a:fillRect/>
                          </a:stretch>
                        </pic:blipFill>
                        <pic:spPr>
                          <a:xfrm>
                            <a:off x="0" y="0"/>
                            <a:ext cx="3086100" cy="838200"/>
                          </a:xfrm>
                          <a:prstGeom prst="rect">
                            <a:avLst/>
                          </a:prstGeom>
                        </pic:spPr>
                      </pic:pic>
                    </a:graphicData>
                  </a:graphic>
                </wp:inline>
              </w:drawing>
            </w:r>
          </w:p>
        </w:tc>
      </w:tr>
    </w:tbl>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3.5.2 </w:t>
      </w:r>
      <w:r>
        <w:rPr>
          <w:rFonts w:eastAsia="等线" w:ascii="Arial" w:cs="Arial" w:hAnsi="Arial"/>
          <w:b w:val="true"/>
          <w:sz w:val="30"/>
        </w:rPr>
        <w:t>功能描述</w:t>
      </w:r>
      <w:bookmarkEnd w:id="26"/>
    </w:p>
    <w:p>
      <w:pPr>
        <w:spacing w:before="120" w:after="120" w:line="288" w:lineRule="auto"/>
        <w:ind w:left="0"/>
        <w:jc w:val="left"/>
      </w:pPr>
      <w:r>
        <w:rPr>
          <w:rFonts w:eastAsia="等线" w:ascii="Arial" w:cs="Arial" w:hAnsi="Arial"/>
          <w:b w:val="true"/>
          <w:sz w:val="22"/>
        </w:rPr>
        <w:t>“功能”描述了系统期望做什么：</w:t>
      </w:r>
    </w:p>
    <w:p>
      <w:pPr>
        <w:numPr>
          <w:numId w:val="99"/>
        </w:numPr>
        <w:spacing w:before="120" w:after="120" w:line="288" w:lineRule="auto"/>
        <w:ind w:left="0"/>
        <w:jc w:val="left"/>
      </w:pPr>
      <w:r>
        <w:rPr>
          <w:rFonts w:eastAsia="等线" w:ascii="Arial" w:cs="Arial" w:hAnsi="Arial"/>
          <w:sz w:val="22"/>
        </w:rPr>
        <w:t>描述了系统在执行任务时输入和输出之间的关系；</w:t>
      </w:r>
    </w:p>
    <w:p>
      <w:pPr>
        <w:numPr>
          <w:numId w:val="100"/>
        </w:numPr>
        <w:spacing w:before="120" w:after="120" w:line="288" w:lineRule="auto"/>
        <w:ind w:left="0"/>
        <w:jc w:val="left"/>
      </w:pPr>
      <w:r>
        <w:rPr>
          <w:rFonts w:eastAsia="等线" w:ascii="Arial" w:cs="Arial" w:hAnsi="Arial"/>
          <w:sz w:val="22"/>
        </w:rPr>
        <w:t>功能分解到系统元素，一个系统元素可以有多个功能；</w:t>
      </w:r>
    </w:p>
    <w:p>
      <w:pPr>
        <w:numPr>
          <w:numId w:val="101"/>
        </w:numPr>
        <w:spacing w:before="120" w:after="120" w:line="288" w:lineRule="auto"/>
        <w:ind w:left="0"/>
        <w:jc w:val="left"/>
      </w:pPr>
      <w:r>
        <w:rPr>
          <w:rFonts w:eastAsia="等线" w:ascii="Arial" w:cs="Arial" w:hAnsi="Arial"/>
          <w:sz w:val="22"/>
        </w:rPr>
        <w:t>功能描述必须清楚；</w:t>
      </w:r>
    </w:p>
    <w:p>
      <w:pPr>
        <w:numPr>
          <w:numId w:val="102"/>
        </w:numPr>
        <w:spacing w:before="120" w:after="120" w:line="288" w:lineRule="auto"/>
        <w:ind w:left="0"/>
        <w:jc w:val="left"/>
      </w:pPr>
      <w:r>
        <w:rPr>
          <w:rFonts w:eastAsia="等线" w:ascii="Arial" w:cs="Arial" w:hAnsi="Arial"/>
          <w:sz w:val="22"/>
        </w:rPr>
        <w:t>功能之间无重叠冲突；</w:t>
      </w:r>
    </w:p>
    <w:p>
      <w:pPr>
        <w:numPr>
          <w:numId w:val="103"/>
        </w:numPr>
        <w:spacing w:before="120" w:after="120" w:line="288" w:lineRule="auto"/>
        <w:ind w:left="0"/>
        <w:jc w:val="left"/>
      </w:pPr>
      <w:r>
        <w:rPr>
          <w:rFonts w:eastAsia="等线" w:ascii="Arial" w:cs="Arial" w:hAnsi="Arial"/>
          <w:sz w:val="22"/>
        </w:rPr>
        <w:t>功能描述：动词+名称（量词或状语）；</w:t>
      </w:r>
    </w:p>
    <w:p>
      <w:pPr>
        <w:numPr>
          <w:numId w:val="104"/>
        </w:numPr>
        <w:spacing w:before="120" w:after="120" w:line="288" w:lineRule="auto"/>
        <w:ind w:left="0"/>
        <w:jc w:val="left"/>
      </w:pPr>
      <w:r>
        <w:rPr>
          <w:rFonts w:eastAsia="等线" w:ascii="Arial" w:cs="Arial" w:hAnsi="Arial"/>
          <w:sz w:val="22"/>
        </w:rPr>
        <w:t>技术要求描述：XX性能+量词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30"/>
      </w:tblGrid>
      <w:tr>
        <w:tc>
          <w:tcPr>
            <w:tcW w:w="51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功能描述参考示例</w:t>
            </w:r>
          </w:p>
        </w:tc>
      </w:tr>
      <w:tr>
        <w:tc>
          <w:tcPr>
            <w:tcW w:w="5130" w:type="dxa"/>
            <w:tcMar>
              <w:top w:type="dxa" w:w="60"/>
              <w:left w:type="dxa" w:w="120"/>
              <w:bottom w:type="dxa" w:w="30"/>
              <w:right w:type="dxa" w:w="120"/>
            </w:tcMar>
          </w:tcPr>
          <w:p>
            <w:pPr>
              <w:spacing w:before="120" w:after="120" w:line="288" w:lineRule="auto"/>
              <w:ind w:left="0"/>
              <w:jc w:val="center"/>
            </w:pPr>
            <w:r>
              <w:drawing>
                <wp:inline distT="0" distR="0" distB="0" distL="0">
                  <wp:extent cx="3105150" cy="25241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41"/>
                          <a:stretch>
                            <a:fillRect/>
                          </a:stretch>
                        </pic:blipFill>
                        <pic:spPr>
                          <a:xfrm>
                            <a:off x="0" y="0"/>
                            <a:ext cx="3105150" cy="2524125"/>
                          </a:xfrm>
                          <a:prstGeom prst="rect">
                            <a:avLst/>
                          </a:prstGeom>
                        </pic:spPr>
                      </pic:pic>
                    </a:graphicData>
                  </a:graphic>
                </wp:inline>
              </w:drawing>
            </w:r>
          </w:p>
        </w:tc>
      </w:tr>
    </w:tbl>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3.5.3 </w:t>
      </w:r>
      <w:r>
        <w:rPr>
          <w:rFonts w:eastAsia="等线" w:ascii="Arial" w:cs="Arial" w:hAnsi="Arial"/>
          <w:b w:val="true"/>
          <w:sz w:val="30"/>
        </w:rPr>
        <w:t>功能库建立（</w:t>
      </w:r>
      <w:r>
        <w:rPr>
          <w:rFonts w:eastAsia="等线" w:ascii="Arial" w:cs="Arial" w:hAnsi="Arial"/>
          <w:b w:val="true"/>
          <w:color w:val="d83931"/>
          <w:sz w:val="30"/>
        </w:rPr>
        <w:t>9/30前：专业域配置历史功能库</w:t>
      </w:r>
      <w:r>
        <w:rPr>
          <w:rFonts w:eastAsia="等线" w:ascii="Arial" w:cs="Arial" w:hAnsi="Arial"/>
          <w:b w:val="true"/>
          <w:sz w:val="30"/>
        </w:rPr>
        <w:t>）</w:t>
      </w:r>
      <w:bookmarkEnd w:id="27"/>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3.6 </w:t>
      </w:r>
      <w:r>
        <w:rPr>
          <w:rFonts w:eastAsia="等线" w:ascii="Arial" w:cs="Arial" w:hAnsi="Arial"/>
          <w:b w:val="true"/>
          <w:sz w:val="32"/>
        </w:rPr>
        <w:t>模型6：功能矩阵（AI模型+检索）</w:t>
      </w:r>
      <w:bookmarkEnd w:id="28"/>
    </w:p>
    <w:p>
      <w:pPr>
        <w:numPr>
          <w:numId w:val="105"/>
        </w:numPr>
        <w:spacing w:before="120" w:after="120" w:line="288" w:lineRule="auto"/>
        <w:ind w:left="0"/>
        <w:jc w:val="left"/>
      </w:pPr>
      <w:r>
        <w:rPr>
          <w:rFonts w:eastAsia="等线" w:ascii="Arial" w:cs="Arial" w:hAnsi="Arial"/>
          <w:b w:val="true"/>
          <w:sz w:val="22"/>
        </w:rPr>
        <w:t>逻辑</w:t>
      </w:r>
      <w:r>
        <w:rPr>
          <w:rFonts w:eastAsia="等线" w:ascii="Arial" w:cs="Arial" w:hAnsi="Arial"/>
          <w:sz w:val="22"/>
        </w:rPr>
        <w:t>：系统功能与部件功能的传递与承接关系；</w:t>
      </w:r>
    </w:p>
    <w:p>
      <w:pPr>
        <w:numPr>
          <w:numId w:val="106"/>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：功能矩阵表，含关联关系</w:t>
      </w:r>
    </w:p>
    <w:p>
      <w:pPr>
        <w:spacing w:before="120" w:after="120" w:line="288" w:lineRule="auto"/>
        <w:ind w:left="0"/>
        <w:jc w:val="center"/>
      </w:pPr>
      <w:r>
        <w:drawing>
          <wp:inline distT="0" distR="0" distB="0" distL="0">
            <wp:extent cx="5257800" cy="11144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42"/>
                    <a:stretch>
                      <a:fillRect/>
                    </a:stretch>
                  </pic:blipFill>
                  <pic:spPr>
                    <a:xfrm>
                      <a:off x="0" y="0"/>
                      <a:ext cx="5257800" cy="1114425"/>
                    </a:xfrm>
                    <a:prstGeom prst="rect">
                      <a:avLst/>
                    </a:prstGeom>
                  </pic:spPr>
                </pic:pic>
              </a:graphicData>
            </a:graphic>
          </wp:inline>
        </w:drawing>
      </w:r>
    </w:p>
    <w:p>
      <w:pPr>
        <w:numPr>
          <w:numId w:val="107"/>
        </w:numPr>
        <w:spacing w:before="120" w:after="120" w:line="288" w:lineRule="auto"/>
        <w:ind w:left="0"/>
        <w:jc w:val="left"/>
      </w:pPr>
      <w:r>
        <w:rPr>
          <w:rFonts w:eastAsia="等线" w:ascii="Arial" w:cs="Arial" w:hAnsi="Arial"/>
          <w:sz w:val="22"/>
        </w:rPr>
        <w:t>对应的功能网示例（系统功能1）：与功能矩阵表可以互转；</w:t>
      </w:r>
    </w:p>
    <w:p>
      <w:pPr>
        <w:spacing w:before="120" w:after="120" w:line="288" w:lineRule="auto"/>
        <w:ind w:left="0"/>
        <w:jc w:val="center"/>
      </w:pPr>
      <w:r>
        <w:drawing>
          <wp:inline distT="0" distR="0" distB="0" distL="0">
            <wp:extent cx="5257800" cy="15240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3"/>
                    <a:stretch>
                      <a:fillRect/>
                    </a:stretch>
                  </pic:blipFill>
                  <pic:spPr>
                    <a:xfrm>
                      <a:off x="0" y="0"/>
                      <a:ext cx="5257800" cy="1524000"/>
                    </a:xfrm>
                    <a:prstGeom prst="rect">
                      <a:avLst/>
                    </a:prstGeom>
                  </pic:spPr>
                </pic:pic>
              </a:graphicData>
            </a:graphic>
          </wp:inline>
        </w:drawing>
      </w:r>
    </w:p>
    <w:p>
      <w:pPr>
        <w:numPr>
          <w:numId w:val="108"/>
        </w:numPr>
        <w:spacing w:before="120" w:after="120" w:line="288" w:lineRule="auto"/>
        <w:ind w:left="0"/>
        <w:jc w:val="left"/>
      </w:pPr>
      <w:r>
        <w:rPr>
          <w:rFonts w:eastAsia="等线" w:ascii="Arial" w:cs="Arial" w:hAnsi="Arial"/>
          <w:b w:val="true"/>
          <w:sz w:val="22"/>
        </w:rPr>
        <w:t>公司实际样例：</w:t>
      </w:r>
      <w:r>
        <w:rPr>
          <w:rFonts w:eastAsia="等线" w:ascii="Arial" w:cs="Arial" w:hAnsi="Arial"/>
          <w:b w:val="true"/>
          <w:color w:val="245bdb"/>
          <w:sz w:val="22"/>
        </w:rPr>
        <w:t>包含功能描述及功能矩阵关联关系建立</w:t>
      </w:r>
    </w:p>
    <w:p>
      <w:pPr>
        <w:spacing w:before="120" w:after="120" w:line="288" w:lineRule="auto"/>
        <w:ind w:left="453"/>
        <w:jc w:val="left"/>
      </w:pPr>
      <w:r>
        <w:rPr>
          <w:rFonts w:eastAsia="等线" w:ascii="Arial" w:cs="Arial" w:hAnsi="Arial"/>
          <w:sz w:val="22"/>
        </w:rPr>
        <w:t>SMI桥：</w:t>
      </w:r>
    </w:p>
    <w:p>
      <w:pPr>
        <w:spacing w:before="120" w:after="120" w:line="288" w:lineRule="auto"/>
        <w:ind w:left="453"/>
      </w:pPr>
      <w:r>
        <w:object>
          <v:shape id="_x0000_i1030" style="width:414pt;height:131pt;mso-width-percent:0;mso-height-percent:0;mso-width-percent:0;mso-height-percent:0" type="#_x0000_t75" o:ole="">
            <v:imagedata r:id="rId45" o:title=""/>
          </v:shape>
          <o:OLEObject DrawAspect="Icon" ObjectID="_1718471224" ProgID="Excel.Sheet.12" ShapeID="_x0000_i1030" Type="Embed" r:id="rId44"/>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时钟：</w:t>
      </w:r>
    </w:p>
    <w:p>
      <w:pPr>
        <w:spacing w:before="120" w:after="120" w:line="288" w:lineRule="auto"/>
        <w:ind w:left="453"/>
      </w:pPr>
      <w:r>
        <w:object>
          <v:shape id="_x0000_i1031" style="width:414pt;height:197pt;mso-width-percent:0;mso-height-percent:0;mso-width-percent:0;mso-height-percent:0" type="#_x0000_t75" o:ole="">
            <v:imagedata r:id="rId47" o:title=""/>
          </v:shape>
          <o:OLEObject DrawAspect="Icon" ObjectID="_1718471225" ProgID="Excel.Sheet.12" ShapeID="_x0000_i1031" Type="Embed" r:id="rId46"/>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数据交换电路：</w:t>
      </w:r>
    </w:p>
    <w:p>
      <w:pPr>
        <w:spacing w:before="120" w:after="120" w:line="288" w:lineRule="auto"/>
        <w:ind w:left="453"/>
      </w:pPr>
      <w:r>
        <w:object>
          <v:shape id="_x0000_i1032" style="width:414pt;height:197pt;mso-width-percent:0;mso-height-percent:0;mso-width-percent:0;mso-height-percent:0" type="#_x0000_t75" o:ole="">
            <v:imagedata r:id="rId49" o:title=""/>
          </v:shape>
          <o:OLEObject DrawAspect="Icon" ObjectID="_1718471226" ProgID="Excel.Sheet.12" ShapeID="_x0000_i1032" Type="Embed" r:id="rId48"/>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MAC端口速率变更：</w:t>
      </w:r>
    </w:p>
    <w:p>
      <w:pPr>
        <w:spacing w:before="120" w:after="120" w:line="288" w:lineRule="auto"/>
        <w:ind w:left="453"/>
      </w:pPr>
      <w:r>
        <w:object>
          <v:shape id="_x0000_i1033" style="width:414pt;height:197pt;mso-width-percent:0;mso-height-percent:0;mso-width-percent:0;mso-height-percent:0" type="#_x0000_t75" o:ole="">
            <v:imagedata r:id="rId51" o:title=""/>
          </v:shape>
          <o:OLEObject DrawAspect="Icon" ObjectID="_1718471227" ProgID="Excel.Sheet.12" ShapeID="_x0000_i1033" Type="Embed" r:id="rId50"/>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3.6.1 </w:t>
      </w:r>
      <w:r>
        <w:rPr>
          <w:rFonts w:eastAsia="等线" w:ascii="Arial" w:cs="Arial" w:hAnsi="Arial"/>
          <w:b w:val="true"/>
          <w:sz w:val="30"/>
        </w:rPr>
        <w:t>从功能矩阵到DRBFM表单（用IT工具实现）</w:t>
      </w:r>
      <w:bookmarkEnd w:id="29"/>
    </w:p>
    <w:p>
      <w:pPr>
        <w:spacing w:before="120" w:after="120" w:line="288" w:lineRule="auto"/>
        <w:ind w:left="0"/>
        <w:jc w:val="left"/>
      </w:pPr>
      <w:r>
        <w:rPr>
          <w:rFonts w:eastAsia="等线" w:ascii="Arial" w:cs="Arial" w:hAnsi="Arial"/>
          <w:b w:val="true"/>
          <w:sz w:val="22"/>
        </w:rPr>
        <w:t>输入</w:t>
      </w:r>
      <w:r>
        <w:rPr>
          <w:rFonts w:eastAsia="等线" w:ascii="Arial" w:cs="Arial" w:hAnsi="Arial"/>
          <w:sz w:val="22"/>
        </w:rPr>
        <w:t>：功能矩阵；</w:t>
      </w:r>
    </w:p>
    <w:p>
      <w:pPr>
        <w:spacing w:before="120" w:after="120" w:line="288" w:lineRule="auto"/>
        <w:ind w:left="0"/>
        <w:jc w:val="left"/>
      </w:pPr>
      <w:r>
        <w:rPr>
          <w:rFonts w:eastAsia="等线" w:ascii="Arial" w:cs="Arial" w:hAnsi="Arial"/>
          <w:b w:val="true"/>
          <w:sz w:val="22"/>
        </w:rPr>
        <w:t>输出</w:t>
      </w:r>
      <w:r>
        <w:rPr>
          <w:rFonts w:eastAsia="等线" w:ascii="Arial" w:cs="Arial" w:hAnsi="Arial"/>
          <w:sz w:val="22"/>
        </w:rPr>
        <w:t>：DRBFM表单/DFMEA表单“项目/功能”列；</w:t>
      </w:r>
    </w:p>
    <w:p>
      <w:pPr>
        <w:spacing w:before="120" w:after="120" w:line="288" w:lineRule="auto"/>
        <w:ind w:left="0"/>
        <w:jc w:val="left"/>
      </w:pPr>
      <w:r>
        <w:rPr>
          <w:rFonts w:eastAsia="等线" w:ascii="Arial" w:cs="Arial" w:hAnsi="Arial"/>
          <w:sz w:val="22"/>
        </w:rPr>
        <w:t>横轴与纵轴组合成DRBFM表单“项目/功能”列，示例如下：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510"/>
        <w:gridCol w:w="1770"/>
      </w:tblGrid>
      <w:tr>
        <w:tc>
          <w:tcPr>
            <w:tcW w:w="65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功能矩阵</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DRBFM表单</w:t>
            </w:r>
          </w:p>
        </w:tc>
      </w:tr>
      <w:tr>
        <w:tc>
          <w:tcPr>
            <w:tcW w:w="6510" w:type="dxa"/>
            <w:tcMar>
              <w:top w:type="dxa" w:w="60"/>
              <w:left w:type="dxa" w:w="120"/>
              <w:bottom w:type="dxa" w:w="30"/>
              <w:right w:type="dxa" w:w="120"/>
            </w:tcMar>
          </w:tcPr>
          <w:p>
            <w:pPr>
              <w:spacing w:before="120" w:after="120" w:line="288" w:lineRule="auto"/>
              <w:ind w:left="0"/>
              <w:jc w:val="center"/>
            </w:pPr>
            <w:r>
              <w:drawing>
                <wp:inline distT="0" distR="0" distB="0" distL="0">
                  <wp:extent cx="3981450" cy="10763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40"/>
                          <a:stretch>
                            <a:fillRect/>
                          </a:stretch>
                        </pic:blipFill>
                        <pic:spPr>
                          <a:xfrm>
                            <a:off x="0" y="0"/>
                            <a:ext cx="3981450" cy="1076325"/>
                          </a:xfrm>
                          <a:prstGeom prst="rect">
                            <a:avLst/>
                          </a:prstGeom>
                        </pic:spPr>
                      </pic:pic>
                    </a:graphicData>
                  </a:graphic>
                </wp:inline>
              </w:drawing>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center"/>
            </w:pPr>
            <w:r>
              <w:drawing>
                <wp:inline distT="0" distR="0" distB="0" distL="0">
                  <wp:extent cx="971550" cy="30003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52"/>
                          <a:stretch>
                            <a:fillRect/>
                          </a:stretch>
                        </pic:blipFill>
                        <pic:spPr>
                          <a:xfrm>
                            <a:off x="0" y="0"/>
                            <a:ext cx="971550" cy="3000375"/>
                          </a:xfrm>
                          <a:prstGeom prst="rect">
                            <a:avLst/>
                          </a:prstGeom>
                        </pic:spPr>
                      </pic:pic>
                    </a:graphicData>
                  </a:graphic>
                </wp:inline>
              </w:drawing>
            </w:r>
          </w:p>
        </w:tc>
      </w:tr>
    </w:tbl>
    <w:p>
      <w:pPr>
        <w:pStyle w:val="2"/>
        <w:spacing w:before="320" w:after="120" w:line="288" w:lineRule="auto"/>
        <w:ind w:left="0"/>
        <w:jc w:val="left"/>
        <w:outlineLvl w:val="1"/>
      </w:pPr>
      <w:bookmarkStart w:name="heading_30" w:id="30"/>
      <w:r>
        <w:rPr>
          <w:rFonts w:eastAsia="等线" w:ascii="Arial" w:cs="Arial" w:hAnsi="Arial"/>
          <w:color w:val="3370ff"/>
          <w:sz w:val="32"/>
        </w:rPr>
        <w:t xml:space="preserve">3.7 </w:t>
      </w:r>
      <w:r>
        <w:rPr>
          <w:rFonts w:eastAsia="等线" w:ascii="Arial" w:cs="Arial" w:hAnsi="Arial"/>
          <w:b w:val="true"/>
          <w:sz w:val="32"/>
        </w:rPr>
        <w:t>模型7：失效模式模型（AI模型+检索）</w:t>
      </w:r>
      <w:bookmarkEnd w:id="30"/>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3.7.1 </w:t>
      </w:r>
      <w:r>
        <w:rPr>
          <w:rFonts w:eastAsia="等线" w:ascii="Arial" w:cs="Arial" w:hAnsi="Arial"/>
          <w:b w:val="true"/>
          <w:sz w:val="30"/>
        </w:rPr>
        <w:t>失效模式输出逻辑</w:t>
      </w:r>
      <w:bookmarkEnd w:id="31"/>
    </w:p>
    <w:p>
      <w:pPr>
        <w:spacing w:before="120" w:after="120" w:line="288" w:lineRule="auto"/>
        <w:ind w:left="0"/>
        <w:jc w:val="left"/>
      </w:pPr>
      <w:r>
        <w:rPr>
          <w:rFonts w:eastAsia="等线" w:ascii="Arial" w:cs="Arial" w:hAnsi="Arial"/>
          <w:b w:val="true"/>
          <w:sz w:val="22"/>
        </w:rPr>
        <w:t>失效模式</w:t>
      </w:r>
      <w:r>
        <w:rPr>
          <w:rFonts w:eastAsia="等线" w:ascii="Arial" w:cs="Arial" w:hAnsi="Arial"/>
          <w:sz w:val="22"/>
        </w:rPr>
        <w:t>：</w:t>
      </w:r>
      <w:r>
        <w:rPr>
          <w:rFonts w:eastAsia="等线" w:ascii="Arial" w:cs="Arial" w:hAnsi="Arial"/>
          <w:b w:val="true"/>
          <w:sz w:val="22"/>
        </w:rPr>
        <w:t>不满足功能</w:t>
      </w:r>
      <w:r>
        <w:rPr>
          <w:rFonts w:eastAsia="等线" w:ascii="Arial" w:cs="Arial" w:hAnsi="Arial"/>
          <w:sz w:val="22"/>
        </w:rPr>
        <w:t>的表现形式，需要全面考虑基于功能的偏差“异常，相逆，伴随，过量，减量，部分，空白”；也需关注变更点（关联关键结构/接口）可能带来的典型失效模式，不同失效模式需</w:t>
      </w:r>
      <w:r>
        <w:rPr>
          <w:rFonts w:eastAsia="等线" w:ascii="Arial" w:cs="Arial" w:hAnsi="Arial"/>
          <w:b w:val="true"/>
          <w:color w:val="d83931"/>
          <w:sz w:val="22"/>
        </w:rPr>
        <w:t>分行列</w:t>
      </w:r>
      <w:r>
        <w:rPr>
          <w:rFonts w:eastAsia="等线" w:ascii="Arial" w:cs="Arial" w:hAnsi="Arial"/>
          <w:sz w:val="22"/>
        </w:rPr>
        <w:t>出（除非所有失效原因完全相同）；</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3.7.2 </w:t>
      </w:r>
      <w:r>
        <w:rPr>
          <w:rFonts w:eastAsia="等线" w:ascii="Arial" w:cs="Arial" w:hAnsi="Arial"/>
          <w:b w:val="true"/>
          <w:sz w:val="30"/>
        </w:rPr>
        <w:t>示例</w:t>
      </w:r>
      <w:bookmarkEnd w:id="32"/>
    </w:p>
    <w:p>
      <w:pPr>
        <w:numPr>
          <w:numId w:val="109"/>
        </w:numPr>
        <w:spacing w:before="120" w:after="120" w:line="288" w:lineRule="auto"/>
        <w:ind w:left="0"/>
        <w:jc w:val="left"/>
      </w:pPr>
      <w:r>
        <w:rPr>
          <w:rFonts w:eastAsia="等线" w:ascii="Arial" w:cs="Arial" w:hAnsi="Arial"/>
          <w:b w:val="true"/>
          <w:sz w:val="22"/>
        </w:rPr>
        <w:t>功能</w:t>
      </w:r>
      <w:r>
        <w:rPr>
          <w:rFonts w:eastAsia="等线" w:ascii="Arial" w:cs="Arial" w:hAnsi="Arial"/>
          <w:sz w:val="22"/>
        </w:rPr>
        <w:t>：在高温或腐蚀性冷却液环境下，长期稳定输送冷却剂；</w:t>
      </w:r>
    </w:p>
    <w:p>
      <w:pPr>
        <w:numPr>
          <w:numId w:val="110"/>
        </w:numPr>
        <w:spacing w:before="120" w:after="120" w:line="288" w:lineRule="auto"/>
        <w:ind w:left="0"/>
        <w:jc w:val="left"/>
      </w:pPr>
      <w:r>
        <w:rPr>
          <w:rFonts w:eastAsia="等线" w:ascii="Arial" w:cs="Arial" w:hAnsi="Arial"/>
          <w:sz w:val="22"/>
        </w:rPr>
        <w:t>对应潜在失效模式输出如下：基于功能的7种偏差类型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110"/>
        <w:gridCol w:w="628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失效模式类型</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潜在失效模式示例</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异常</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功能执行错误</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输送过程出现异常，如流量、压力或温度</w:t>
            </w:r>
            <w:r>
              <w:rPr>
                <w:rFonts w:eastAsia="等线" w:ascii="Arial" w:cs="Arial" w:hAnsi="Arial"/>
                <w:b w:val="true"/>
                <w:sz w:val="22"/>
              </w:rPr>
              <w:t>不稳定</w:t>
            </w:r>
            <w:r>
              <w:rPr>
                <w:rFonts w:eastAsia="等线" w:ascii="Arial" w:cs="Arial" w:hAnsi="Arial"/>
                <w:sz w:val="22"/>
              </w:rPr>
              <w:t>，</w:t>
            </w:r>
            <w:r>
              <w:rPr>
                <w:rFonts w:eastAsia="等线" w:ascii="Arial" w:cs="Arial" w:hAnsi="Arial"/>
                <w:b w:val="true"/>
                <w:sz w:val="22"/>
              </w:rPr>
              <w:t>时断时续</w:t>
            </w:r>
            <w:r>
              <w:rPr>
                <w:rFonts w:eastAsia="等线" w:ascii="Arial" w:cs="Arial" w:hAnsi="Arial"/>
                <w:sz w:val="22"/>
              </w:rPr>
              <w:t>，或伴有</w:t>
            </w:r>
            <w:r>
              <w:rPr>
                <w:rFonts w:eastAsia="等线" w:ascii="Arial" w:cs="Arial" w:hAnsi="Arial"/>
                <w:b w:val="true"/>
                <w:sz w:val="22"/>
              </w:rPr>
              <w:t>异常振动、噪声</w:t>
            </w:r>
            <w:r>
              <w:rPr>
                <w:rFonts w:eastAsia="等线" w:ascii="Arial" w:cs="Arial" w:hAnsi="Arial"/>
                <w:sz w:val="22"/>
              </w:rPr>
              <w:t>等，无法保持</w:t>
            </w:r>
            <w:r>
              <w:rPr>
                <w:rFonts w:eastAsia="等线" w:ascii="Arial" w:cs="Arial" w:hAnsi="Arial"/>
                <w:b w:val="true"/>
                <w:sz w:val="22"/>
              </w:rPr>
              <w:t>稳定</w:t>
            </w:r>
            <w:r>
              <w:rPr>
                <w:rFonts w:eastAsia="等线" w:ascii="Arial" w:cs="Arial" w:hAnsi="Arial"/>
                <w:sz w:val="22"/>
              </w:rPr>
              <w:t>状态。</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相逆</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功能反向执行</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冷却剂反向流动（倒流），或铜管因高温变形导致冷却剂被加热而非冷却，与预期冷却作用相反。</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伴随</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伴随不需要功能</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在输送冷却剂的同时，</w:t>
            </w:r>
            <w:r>
              <w:rPr>
                <w:rFonts w:eastAsia="等线" w:ascii="Arial" w:cs="Arial" w:hAnsi="Arial"/>
                <w:b w:val="true"/>
                <w:sz w:val="22"/>
              </w:rPr>
              <w:t>伴随</w:t>
            </w:r>
            <w:r>
              <w:rPr>
                <w:rFonts w:eastAsia="等线" w:ascii="Arial" w:cs="Arial" w:hAnsi="Arial"/>
                <w:sz w:val="22"/>
              </w:rPr>
              <w:t>发生</w:t>
            </w:r>
            <w:r>
              <w:rPr>
                <w:rFonts w:eastAsia="等线" w:ascii="Arial" w:cs="Arial" w:hAnsi="Arial"/>
                <w:b w:val="true"/>
                <w:sz w:val="22"/>
              </w:rPr>
              <w:t>泄漏、污染或杂质混入</w:t>
            </w:r>
            <w:r>
              <w:rPr>
                <w:rFonts w:eastAsia="等线" w:ascii="Arial" w:cs="Arial" w:hAnsi="Arial"/>
                <w:sz w:val="22"/>
              </w:rPr>
              <w:t>，如铜管腐蚀产物进入冷却剂，或外部腐蚀性介质渗入管道</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过量</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输出超出范围</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输送冷却剂的</w:t>
            </w:r>
            <w:r>
              <w:rPr>
                <w:rFonts w:eastAsia="等线" w:ascii="Arial" w:cs="Arial" w:hAnsi="Arial"/>
                <w:b w:val="true"/>
                <w:sz w:val="22"/>
              </w:rPr>
              <w:t>流量或压力</w:t>
            </w:r>
            <w:r>
              <w:rPr>
                <w:rFonts w:eastAsia="等线" w:ascii="Arial" w:cs="Arial" w:hAnsi="Arial"/>
                <w:sz w:val="22"/>
              </w:rPr>
              <w:t>超过系统设计要求，导致冷却过度、系统压力过高或能源浪费，影响系统稳定性</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减量</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输出不足</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输送冷却剂的</w:t>
            </w:r>
            <w:r>
              <w:rPr>
                <w:rFonts w:eastAsia="等线" w:ascii="Arial" w:cs="Arial" w:hAnsi="Arial"/>
                <w:b w:val="true"/>
                <w:sz w:val="22"/>
              </w:rPr>
              <w:t>流量或压力</w:t>
            </w:r>
            <w:r>
              <w:rPr>
                <w:rFonts w:eastAsia="等线" w:ascii="Arial" w:cs="Arial" w:hAnsi="Arial"/>
                <w:sz w:val="22"/>
              </w:rPr>
              <w:t>低于设计要求，导致冷却不足，设备过热，无法满足散热需求。</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部分</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功能部分缺失</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铜管</w:t>
            </w:r>
            <w:r>
              <w:rPr>
                <w:rFonts w:eastAsia="等线" w:ascii="Arial" w:cs="Arial" w:hAnsi="Arial"/>
                <w:b w:val="true"/>
                <w:sz w:val="22"/>
              </w:rPr>
              <w:t>局部</w:t>
            </w:r>
            <w:r>
              <w:rPr>
                <w:rFonts w:eastAsia="等线" w:ascii="Arial" w:cs="Arial" w:hAnsi="Arial"/>
                <w:sz w:val="22"/>
              </w:rPr>
              <w:t>堵塞或损坏，仅</w:t>
            </w:r>
            <w:r>
              <w:rPr>
                <w:rFonts w:eastAsia="等线" w:ascii="Arial" w:cs="Arial" w:hAnsi="Arial"/>
                <w:b w:val="true"/>
                <w:sz w:val="22"/>
              </w:rPr>
              <w:t>部分区段</w:t>
            </w:r>
            <w:r>
              <w:rPr>
                <w:rFonts w:eastAsia="等线" w:ascii="Arial" w:cs="Arial" w:hAnsi="Arial"/>
                <w:sz w:val="22"/>
              </w:rPr>
              <w:t>能正常输送；或仅在</w:t>
            </w:r>
            <w:r>
              <w:rPr>
                <w:rFonts w:eastAsia="等线" w:ascii="Arial" w:cs="Arial" w:hAnsi="Arial"/>
                <w:b w:val="true"/>
                <w:sz w:val="22"/>
              </w:rPr>
              <w:t>部分时间</w:t>
            </w:r>
            <w:r>
              <w:rPr>
                <w:rFonts w:eastAsia="等线" w:ascii="Arial" w:cs="Arial" w:hAnsi="Arial"/>
                <w:sz w:val="22"/>
              </w:rPr>
              <w:t>内正常工作，无法持续稳定运行</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空白</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功能完全缺失</w:t>
            </w:r>
          </w:p>
        </w:tc>
        <w:tc>
          <w:tcPr>
            <w:tcW w:w="6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铜管</w:t>
            </w:r>
            <w:r>
              <w:rPr>
                <w:rFonts w:eastAsia="等线" w:ascii="Arial" w:cs="Arial" w:hAnsi="Arial"/>
                <w:b w:val="true"/>
                <w:sz w:val="22"/>
              </w:rPr>
              <w:t>完全</w:t>
            </w:r>
            <w:r>
              <w:rPr>
                <w:rFonts w:eastAsia="等线" w:ascii="Arial" w:cs="Arial" w:hAnsi="Arial"/>
                <w:sz w:val="22"/>
              </w:rPr>
              <w:t>堵塞、破裂或严重变形，导致冷却剂无法输送，冷却作用完全中断</w:t>
            </w:r>
          </w:p>
        </w:tc>
      </w:tr>
    </w:tbl>
    <w:p>
      <w:pPr>
        <w:pStyle w:val="3"/>
        <w:spacing w:before="300" w:after="120" w:line="288" w:lineRule="auto"/>
        <w:ind w:left="0"/>
        <w:jc w:val="left"/>
        <w:outlineLvl w:val="2"/>
      </w:pPr>
      <w:bookmarkStart w:name="heading_33" w:id="33"/>
      <w:r>
        <w:rPr>
          <w:rFonts w:eastAsia="等线" w:ascii="Arial" w:cs="Arial" w:hAnsi="Arial"/>
          <w:color w:val="3370ff"/>
          <w:sz w:val="30"/>
        </w:rPr>
        <w:t xml:space="preserve">3.7.3 </w:t>
      </w:r>
      <w:r>
        <w:rPr>
          <w:rFonts w:eastAsia="等线" w:ascii="Arial" w:cs="Arial" w:hAnsi="Arial"/>
          <w:b w:val="true"/>
          <w:sz w:val="30"/>
        </w:rPr>
        <w:t>公司实际样例（1个功能为1例）：</w:t>
      </w:r>
      <w:bookmarkEnd w:id="33"/>
    </w:p>
    <w:p>
      <w:pPr>
        <w:spacing w:before="120" w:after="120" w:line="288" w:lineRule="auto"/>
        <w:ind w:left="0"/>
        <w:jc w:val="left"/>
      </w:pPr>
      <w:r>
        <w:rPr>
          <w:rFonts w:eastAsia="等线" w:ascii="Arial" w:cs="Arial" w:hAnsi="Arial"/>
          <w:b w:val="true"/>
          <w:sz w:val="22"/>
        </w:rPr>
        <w:t>输入</w:t>
      </w:r>
      <w:r>
        <w:rPr>
          <w:rFonts w:eastAsia="等线" w:ascii="Arial" w:cs="Arial" w:hAnsi="Arial"/>
          <w:sz w:val="22"/>
        </w:rPr>
        <w:t>：功能描述；</w:t>
      </w:r>
    </w:p>
    <w:p>
      <w:pPr>
        <w:spacing w:before="120" w:after="120" w:line="288" w:lineRule="auto"/>
        <w:ind w:left="0"/>
        <w:jc w:val="left"/>
      </w:pPr>
      <w:r>
        <w:rPr>
          <w:rFonts w:eastAsia="等线" w:ascii="Arial" w:cs="Arial" w:hAnsi="Arial"/>
          <w:b w:val="true"/>
          <w:sz w:val="22"/>
        </w:rPr>
        <w:t>输出</w:t>
      </w:r>
      <w:r>
        <w:rPr>
          <w:rFonts w:eastAsia="等线" w:ascii="Arial" w:cs="Arial" w:hAnsi="Arial"/>
          <w:sz w:val="22"/>
        </w:rPr>
        <w:t>：潜在失效模式；</w:t>
      </w:r>
    </w:p>
    <w:p>
      <w:pPr>
        <w:spacing w:before="120" w:after="120" w:line="288" w:lineRule="auto"/>
        <w:ind w:left="0"/>
        <w:jc w:val="left"/>
      </w:pPr>
      <w:r>
        <w:rPr>
          <w:rFonts w:eastAsia="等线" w:ascii="Arial" w:cs="Arial" w:hAnsi="Arial"/>
          <w:b w:val="true"/>
          <w:sz w:val="22"/>
        </w:rPr>
        <w:t>特别说明</w:t>
      </w:r>
      <w:r>
        <w:rPr>
          <w:rFonts w:eastAsia="等线" w:ascii="Arial" w:cs="Arial" w:hAnsi="Arial"/>
          <w:sz w:val="22"/>
        </w:rPr>
        <w:t>：黑色字体部分是功能描述，上面的代表和该功能相关的接口或结构，失效模式需与该接口或结构相关，是该接口或结构失效可能带来的功能的失效。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25"/>
        <w:gridCol w:w="3045"/>
        <w:gridCol w:w="2010"/>
      </w:tblGrid>
      <w:tr>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功能描述</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潜在失效模式</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部品</w:t>
            </w:r>
          </w:p>
        </w:tc>
      </w:tr>
      <w:tr>
        <w:tc>
          <w:tcPr>
            <w:tcW w:w="32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L2/L4:-映射表/-SMI选通逻辑</w:t>
              <w:br/>
            </w:r>
            <w:r>
              <w:rPr>
                <w:rFonts w:eastAsia="等线" w:ascii="Arial" w:cs="Arial" w:hAnsi="Arial"/>
                <w:b w:val="true"/>
                <w:sz w:val="22"/>
              </w:rPr>
              <w:t>4组SMI接口可以灵活的访问8个槽位</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无法访问目标槽位</w:t>
            </w:r>
          </w:p>
        </w:tc>
        <w:tc>
          <w:tcPr>
            <w:tcW w:w="20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SMI桥</w:t>
            </w: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访问数据错乱</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非目标槽位的数据被篡改</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L2/L18:MAC芯片/OSFP 800G端口</w:t>
              <w:br/>
            </w:r>
            <w:r>
              <w:rPr>
                <w:rFonts w:eastAsia="等线" w:ascii="Arial" w:cs="Arial" w:hAnsi="Arial"/>
                <w:sz w:val="22"/>
              </w:rPr>
              <w:t xml:space="preserve">     </w:t>
            </w:r>
            <w:r>
              <w:rPr>
                <w:rFonts w:eastAsia="等线" w:ascii="Arial" w:cs="Arial" w:hAnsi="Arial"/>
                <w:b w:val="true"/>
                <w:sz w:val="22"/>
              </w:rPr>
              <w:t>支持64 x OSFP800</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端口不稳定，出现闪断</w:t>
            </w:r>
          </w:p>
        </w:tc>
        <w:tc>
          <w:tcPr>
            <w:tcW w:w="20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w:t>
            </w: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端口传输速率不足800G，降带宽丢包</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部分或所有端口不up</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L43/L46:-RF switch/-6G+5GH ant</w:t>
              <w:br/>
            </w:r>
            <w:r>
              <w:rPr>
                <w:rFonts w:eastAsia="等线" w:ascii="Arial" w:cs="Arial" w:hAnsi="Arial"/>
                <w:b w:val="true"/>
                <w:sz w:val="22"/>
              </w:rPr>
              <w:t>传递射频信号</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无法传递射频信号</w:t>
            </w:r>
          </w:p>
        </w:tc>
        <w:tc>
          <w:tcPr>
            <w:tcW w:w="20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w:t>
            </w: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传递的射频信号不满足要求</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L27/L1:pcb/-MAC</w:t>
              <w:br/>
            </w:r>
            <w:r>
              <w:rPr>
                <w:rFonts w:eastAsia="等线" w:ascii="Arial" w:cs="Arial" w:hAnsi="Arial"/>
                <w:b w:val="true"/>
                <w:sz w:val="22"/>
              </w:rPr>
              <w:t>-10~45℃环境数据无误码传输</w:t>
            </w:r>
          </w:p>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物理层-完全无信号（所有端口）</w:t>
            </w:r>
          </w:p>
        </w:tc>
        <w:tc>
          <w:tcPr>
            <w:tcW w:w="20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w:t>
            </w: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物理层-完全无信号（部分端口）</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物理层-误码率过高</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w:t>
            </w:r>
          </w:p>
          <w:p>
            <w:pPr>
              <w:spacing w:before="120" w:after="120" w:line="288" w:lineRule="auto"/>
              <w:ind w:left="0"/>
              <w:jc w:val="left"/>
            </w:pPr>
            <w:r>
              <w:rPr>
                <w:rFonts w:eastAsia="等线" w:ascii="Arial" w:cs="Arial" w:hAnsi="Arial"/>
                <w:b w:val="true"/>
                <w:sz w:val="22"/>
              </w:rPr>
              <w:t>实现服务器节点在带压状态下与Manifold分液歧管进行快速连接与断开，不泄漏,给冷板提供相应流量工质确保冷板散热</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快接头公母配合插拔不匹配，无法插入</w:t>
            </w:r>
          </w:p>
        </w:tc>
        <w:tc>
          <w:tcPr>
            <w:tcW w:w="20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冷板-快接头</w:t>
            </w: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快接头公母配合插入一半或者2/3，无法完全插入到位</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快接头公母配合插入到位，但是通流流量不满足要求</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快接头插拔过程中产生了泄漏</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快接头扣合不到位无法通流</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快接头紧固产生了微裂纹导致长时间泄漏</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快接头螺纹部分松动导致泄漏</w:t>
            </w:r>
          </w:p>
        </w:tc>
        <w:tc>
          <w:tcPr>
            <w:tcW w:w="2010" w:type="dxa"/>
            <w:vMerge w:val="continue"/>
            <w:tcMar>
              <w:top w:type="dxa" w:w="60"/>
              <w:left w:type="dxa" w:w="120"/>
              <w:bottom w:type="dxa" w:w="30"/>
              <w:right w:type="dxa" w:w="120"/>
            </w:tcMar>
          </w:tcPr>
          <w:p>
            <w:pPr>
              <w:spacing w:before="120" w:after="120" w:line="288" w:lineRule="auto"/>
              <w:ind w:left="0"/>
              <w:jc w:val="left"/>
            </w:pPr>
          </w:p>
        </w:tc>
      </w:tr>
      <w:tr>
        <w:tc>
          <w:tcPr>
            <w:tcW w:w="3225" w:type="dxa"/>
            <w:vMerge w:val="continue"/>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快接头插拔工质温度高，人手插拔烫手</w:t>
            </w:r>
          </w:p>
        </w:tc>
        <w:tc>
          <w:tcPr>
            <w:tcW w:w="2010" w:type="dxa"/>
            <w:v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3.7.4 </w:t>
      </w:r>
      <w:r>
        <w:rPr>
          <w:rFonts w:eastAsia="等线" w:ascii="Arial" w:cs="Arial" w:hAnsi="Arial"/>
          <w:b w:val="true"/>
          <w:sz w:val="30"/>
        </w:rPr>
        <w:t>失效模式的聚类（</w:t>
      </w:r>
      <w:r>
        <w:rPr>
          <w:rFonts w:eastAsia="等线" w:ascii="Arial" w:cs="Arial" w:hAnsi="Arial"/>
          <w:b w:val="true"/>
          <w:color w:val="245bdb"/>
          <w:sz w:val="30"/>
        </w:rPr>
        <w:t>0730或0830考虑，建立标准化失效模式</w:t>
      </w:r>
      <w:r>
        <w:rPr>
          <w:rFonts w:eastAsia="等线" w:ascii="Arial" w:cs="Arial" w:hAnsi="Arial"/>
          <w:b w:val="true"/>
          <w:sz w:val="30"/>
        </w:rPr>
        <w:t>）</w:t>
      </w:r>
      <w:bookmarkEnd w:id="34"/>
    </w:p>
    <w:p>
      <w:pPr>
        <w:spacing w:before="120" w:after="120" w:line="288" w:lineRule="auto"/>
        <w:ind w:left="0"/>
        <w:jc w:val="left"/>
      </w:pPr>
      <w:r>
        <w:rPr>
          <w:rFonts w:eastAsia="等线" w:ascii="Arial" w:cs="Arial" w:hAnsi="Arial"/>
          <w:sz w:val="22"/>
        </w:rPr>
        <w:t>参考：CBG&amp;公共平台已有基线库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70"/>
        <w:gridCol w:w="5910"/>
      </w:tblGrid>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基线</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链接</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FMEA基线库（系统）</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https://km.ruijie.com.cn/kms/multidoc/kms_multidoc_knowledge/kmsMultidocKnowledge.do?method=view&amp;fdId=1956f9aee23a427501f76de4797a6ef0</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FMEA基线库（模拟组）</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https://km.ruijie.com.cn/kms/multidoc/kms_multidoc_knowledge/kmsMultidocKnowledge.do?method=view&amp;fdId=195ef2f156610a272c68ef847cd91372</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FMEA基线库（模块）</w:t>
            </w:r>
          </w:p>
          <w:p>
            <w:pPr>
              <w:spacing w:before="120" w:after="120" w:line="288" w:lineRule="auto"/>
              <w:ind w:left="0"/>
              <w:jc w:val="left"/>
            </w:pPr>
            <w:r>
              <w:rPr>
                <w:rFonts w:eastAsia="等线" w:ascii="Arial" w:cs="Arial" w:hAnsi="Arial"/>
                <w:sz w:val="22"/>
              </w:rPr>
              <w:t>-----开关电源、风扇、光模块</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https://km.ruijie.com.cn/kms/multidoc/kms_multidoc_knowledge/kmsMultidocKnowledge.do?method=view&amp;fdId=195ef2a4d345a8e3840941e4e32ad257</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FMEA基线库（逻辑）</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https://km.ruijie.com.cn/kms/multidoc/kms_multidoc_knowledge/kmsMultidocKnowledge.do?method=view&amp;fdId=195ef3a5b5b828923e522f84be59602b</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FMEA基线库（MAC+PHY）</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https://km.ruijie.com.cn/kms/multidoc/kms_multidoc_knowledge/kmsMultidocKnowledge.do?method=view&amp;fdId=195ef343065a426400c61db4a5b8fe59</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FMEA基线库（CPU子系统）</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https://km.ruijie.com.cn/kms/multidoc/kms_multidoc_knowledge/kmsMultidocKnowledge.do?method=view&amp;fdId=195ef3721fe4d10597661fa481b83aff</w:t>
            </w:r>
          </w:p>
        </w:tc>
      </w:tr>
    </w:tbl>
    <w:p>
      <w:pPr>
        <w:pStyle w:val="2"/>
        <w:spacing w:before="320" w:after="120" w:line="288" w:lineRule="auto"/>
        <w:ind w:left="0"/>
        <w:jc w:val="left"/>
        <w:outlineLvl w:val="1"/>
      </w:pPr>
      <w:bookmarkStart w:name="heading_35" w:id="35"/>
      <w:r>
        <w:rPr>
          <w:rFonts w:eastAsia="等线" w:ascii="Arial" w:cs="Arial" w:hAnsi="Arial"/>
          <w:color w:val="3370ff"/>
          <w:sz w:val="32"/>
        </w:rPr>
        <w:t xml:space="preserve">3.8 </w:t>
      </w:r>
      <w:r>
        <w:rPr>
          <w:rFonts w:eastAsia="等线" w:ascii="Arial" w:cs="Arial" w:hAnsi="Arial"/>
          <w:b w:val="true"/>
          <w:sz w:val="32"/>
        </w:rPr>
        <w:t>模型8：失效原因模型（AI模型+检索）</w:t>
      </w:r>
      <w:bookmarkEnd w:id="35"/>
    </w:p>
    <w:p>
      <w:pPr>
        <w:numPr>
          <w:numId w:val="111"/>
        </w:numPr>
        <w:spacing w:before="120" w:after="120" w:line="288" w:lineRule="auto"/>
        <w:ind w:left="0"/>
        <w:jc w:val="left"/>
      </w:pPr>
      <w:r>
        <w:rPr>
          <w:rFonts w:eastAsia="等线" w:ascii="Arial" w:cs="Arial" w:hAnsi="Arial"/>
          <w:b w:val="true"/>
          <w:sz w:val="22"/>
        </w:rPr>
        <w:t>失效原因识别逻辑</w:t>
      </w:r>
      <w:r>
        <w:rPr>
          <w:rFonts w:eastAsia="等线" w:ascii="Arial" w:cs="Arial" w:hAnsi="Arial"/>
          <w:sz w:val="22"/>
        </w:rPr>
        <w:t>：失效模式的原因，需要尽可能识别每种失效模式的所有潜在失效原因；尽可能简明扼要、完整地列出失效原因，以便对失效原因采取相应措施，不同失效原因</w:t>
      </w:r>
      <w:r>
        <w:rPr>
          <w:rFonts w:eastAsia="等线" w:ascii="Arial" w:cs="Arial" w:hAnsi="Arial"/>
          <w:b w:val="true"/>
          <w:sz w:val="22"/>
        </w:rPr>
        <w:t>分行列出</w:t>
      </w:r>
      <w:r>
        <w:rPr>
          <w:rFonts w:eastAsia="等线" w:ascii="Arial" w:cs="Arial" w:hAnsi="Arial"/>
          <w:sz w:val="22"/>
        </w:rPr>
        <w:t>；失效原因的</w:t>
      </w:r>
      <w:r>
        <w:rPr>
          <w:rFonts w:eastAsia="等线" w:ascii="Arial" w:cs="Arial" w:hAnsi="Arial"/>
          <w:b w:val="true"/>
          <w:sz w:val="22"/>
        </w:rPr>
        <w:t>分析对象</w:t>
      </w:r>
      <w:r>
        <w:rPr>
          <w:rFonts w:eastAsia="等线" w:ascii="Arial" w:cs="Arial" w:hAnsi="Arial"/>
          <w:sz w:val="22"/>
        </w:rPr>
        <w:t>是该功能的“关联结构/接口”，失效原因分析的维度从6个维度展开（</w:t>
      </w:r>
      <w:r>
        <w:rPr>
          <w:rFonts w:eastAsia="等线" w:ascii="Arial" w:cs="Arial" w:hAnsi="Arial"/>
          <w:b w:val="true"/>
          <w:sz w:val="22"/>
        </w:rPr>
        <w:t>固有设计缺陷，制造/装配问题，应力诱发失效，耗损与老化，交互性/系统性失效，综合应力作用）</w:t>
      </w:r>
      <w:r>
        <w:rPr>
          <w:rFonts w:eastAsia="等线" w:ascii="Arial" w:cs="Arial" w:hAnsi="Arial"/>
          <w:sz w:val="22"/>
        </w:rPr>
        <w:t>，但需结合变更点具象化，</w:t>
      </w:r>
      <w:r>
        <w:rPr>
          <w:rFonts w:eastAsia="等线" w:ascii="Arial" w:cs="Arial" w:hAnsi="Arial"/>
          <w:b w:val="true"/>
          <w:sz w:val="22"/>
        </w:rPr>
        <w:t>基于维度结合变更点</w:t>
      </w:r>
      <w:r>
        <w:rPr>
          <w:rFonts w:eastAsia="等线" w:ascii="Arial" w:cs="Arial" w:hAnsi="Arial"/>
          <w:sz w:val="22"/>
        </w:rPr>
        <w:t>，check设计薄弱点。</w:t>
      </w:r>
    </w:p>
    <w:p>
      <w:pPr>
        <w:numPr>
          <w:numId w:val="112"/>
        </w:numPr>
        <w:spacing w:before="120" w:after="120" w:line="288" w:lineRule="auto"/>
        <w:ind w:left="0"/>
        <w:jc w:val="left"/>
      </w:pPr>
      <w:r>
        <w:rPr>
          <w:rFonts w:eastAsia="等线" w:ascii="Arial" w:cs="Arial" w:hAnsi="Arial"/>
          <w:b w:val="true"/>
          <w:sz w:val="22"/>
        </w:rPr>
        <w:t>特别说明</w:t>
      </w:r>
      <w:r>
        <w:rPr>
          <w:rFonts w:eastAsia="等线" w:ascii="Arial" w:cs="Arial" w:hAnsi="Arial"/>
          <w:sz w:val="22"/>
        </w:rPr>
        <w:t>：</w:t>
      </w:r>
    </w:p>
    <w:p>
      <w:pPr>
        <w:spacing w:before="120" w:after="120" w:line="288" w:lineRule="auto"/>
        <w:ind w:left="0"/>
        <w:jc w:val="left"/>
      </w:pPr>
      <w:r>
        <w:rPr>
          <w:rFonts w:eastAsia="等线" w:ascii="Arial" w:cs="Arial" w:hAnsi="Arial"/>
          <w:sz w:val="22"/>
        </w:rPr>
        <w:t>①失效原因</w:t>
      </w:r>
      <w:r>
        <w:rPr>
          <w:rFonts w:eastAsia="等线" w:ascii="Arial" w:cs="Arial" w:hAnsi="Arial"/>
          <w:b w:val="true"/>
          <w:sz w:val="22"/>
        </w:rPr>
        <w:t>拆解深度</w:t>
      </w:r>
      <w:r>
        <w:rPr>
          <w:rFonts w:eastAsia="等线" w:ascii="Arial" w:cs="Arial" w:hAnsi="Arial"/>
          <w:sz w:val="22"/>
        </w:rPr>
        <w:t>：控制方法成熟的失效原因不用展开，比如“接触不良”，不用拆解什么原因导致的接触不良；而“误码率高”就需要拆解，哪些更下层的原因导致误码率高；</w:t>
      </w:r>
    </w:p>
    <w:p>
      <w:pPr>
        <w:spacing w:before="120" w:after="120" w:line="288" w:lineRule="auto"/>
        <w:ind w:left="0"/>
        <w:jc w:val="left"/>
      </w:pPr>
      <w:r>
        <w:rPr>
          <w:rFonts w:eastAsia="等线" w:ascii="Arial" w:cs="Arial" w:hAnsi="Arial"/>
          <w:sz w:val="22"/>
        </w:rPr>
        <w:t>②</w:t>
      </w:r>
      <w:r>
        <w:rPr>
          <w:rFonts w:eastAsia="等线" w:ascii="Arial" w:cs="Arial" w:hAnsi="Arial"/>
          <w:b w:val="true"/>
          <w:sz w:val="22"/>
        </w:rPr>
        <w:t>其他系统的失效</w:t>
      </w:r>
      <w:r>
        <w:rPr>
          <w:rFonts w:eastAsia="等线" w:ascii="Arial" w:cs="Arial" w:hAnsi="Arial"/>
          <w:sz w:val="22"/>
        </w:rPr>
        <w:t>是否要作为失效原因分析的边界定义：如其他系统失效，自身设计无法强化或增加保护措施等，自身也无法检测，就不用分析；</w:t>
      </w:r>
    </w:p>
    <w:p>
      <w:pPr>
        <w:spacing w:before="120" w:after="120" w:line="288" w:lineRule="auto"/>
        <w:ind w:left="0"/>
        <w:jc w:val="left"/>
      </w:pPr>
      <w:r>
        <w:rPr>
          <w:rFonts w:eastAsia="等线" w:ascii="Arial" w:cs="Arial" w:hAnsi="Arial"/>
          <w:sz w:val="22"/>
        </w:rPr>
        <w:t>③</w:t>
      </w:r>
      <w:r>
        <w:rPr>
          <w:rFonts w:eastAsia="等线" w:ascii="Arial" w:cs="Arial" w:hAnsi="Arial"/>
          <w:b w:val="true"/>
          <w:sz w:val="22"/>
        </w:rPr>
        <w:t>以最大可能的预防失效为原则</w:t>
      </w:r>
      <w:r>
        <w:rPr>
          <w:rFonts w:eastAsia="等线" w:ascii="Arial" w:cs="Arial" w:hAnsi="Arial"/>
          <w:sz w:val="22"/>
        </w:rPr>
        <w:t>，可突出能识别的异常/极端/多应力综合作用场景(此为间接原因，但对于识别市场失效尤其重要），利于加强设计，识别设计裕量；</w:t>
      </w:r>
    </w:p>
    <w:p>
      <w:pPr>
        <w:spacing w:before="120" w:after="120" w:line="288" w:lineRule="auto"/>
        <w:ind w:left="0"/>
        <w:jc w:val="left"/>
      </w:pPr>
      <w:r>
        <w:rPr>
          <w:rFonts w:eastAsia="等线" w:ascii="Arial" w:cs="Arial" w:hAnsi="Arial"/>
          <w:sz w:val="22"/>
        </w:rPr>
        <w:t>④属于</w:t>
      </w:r>
      <w:r>
        <w:rPr>
          <w:rFonts w:eastAsia="等线" w:ascii="Arial" w:cs="Arial" w:hAnsi="Arial"/>
          <w:b w:val="true"/>
          <w:sz w:val="22"/>
        </w:rPr>
        <w:t>工艺的内容</w:t>
      </w:r>
      <w:r>
        <w:rPr>
          <w:rFonts w:eastAsia="等线" w:ascii="Arial" w:cs="Arial" w:hAnsi="Arial"/>
          <w:sz w:val="22"/>
        </w:rPr>
        <w:t>哪些需要在DFMEA中进行分析：</w:t>
      </w:r>
    </w:p>
    <w:p>
      <w:pPr>
        <w:spacing w:before="120" w:after="120" w:line="288" w:lineRule="auto"/>
        <w:ind w:left="0"/>
        <w:jc w:val="left"/>
      </w:pPr>
      <w:r>
        <w:rPr>
          <w:rFonts w:eastAsia="等线" w:ascii="Arial" w:cs="Arial" w:hAnsi="Arial"/>
          <w:sz w:val="22"/>
        </w:rPr>
        <w:t>A.由于工艺的客观控制水平，很容易出现问题，通过设计控制可以解决或缓解；</w:t>
      </w:r>
    </w:p>
    <w:p>
      <w:pPr>
        <w:spacing w:before="120" w:after="120" w:line="288" w:lineRule="auto"/>
        <w:ind w:left="0"/>
        <w:jc w:val="left"/>
      </w:pPr>
      <w:r>
        <w:rPr>
          <w:rFonts w:eastAsia="等线" w:ascii="Arial" w:cs="Arial" w:hAnsi="Arial"/>
          <w:sz w:val="22"/>
        </w:rPr>
        <w:t>B.由研发基于产品特性，给出的必须或建议采取的工艺方案；</w:t>
      </w:r>
    </w:p>
    <w:p>
      <w:pPr>
        <w:spacing w:before="120" w:after="120" w:line="288" w:lineRule="auto"/>
        <w:ind w:left="0"/>
        <w:jc w:val="left"/>
      </w:pPr>
      <w:r>
        <w:rPr>
          <w:rFonts w:eastAsia="等线" w:ascii="Arial" w:cs="Arial" w:hAnsi="Arial"/>
          <w:sz w:val="22"/>
        </w:rPr>
        <w:t>C.研发基于过程会导致的潜在产品特性失效，给出的需要工艺/过程重点控制的产品特性</w:t>
      </w:r>
    </w:p>
    <w:p>
      <w:pPr>
        <w:spacing w:before="120" w:after="120" w:line="288" w:lineRule="auto"/>
        <w:ind w:left="0"/>
        <w:jc w:val="left"/>
      </w:pPr>
    </w:p>
    <w:p>
      <w:pPr>
        <w:numPr>
          <w:numId w:val="113"/>
        </w:numPr>
        <w:spacing w:before="120" w:after="120" w:line="288" w:lineRule="auto"/>
        <w:ind w:left="0"/>
        <w:jc w:val="left"/>
      </w:pPr>
      <w:r>
        <w:rPr>
          <w:rFonts w:eastAsia="等线" w:ascii="Arial" w:cs="Arial" w:hAnsi="Arial"/>
          <w:b w:val="true"/>
          <w:sz w:val="22"/>
        </w:rPr>
        <w:t>公司实际样例（每一行为一例）：</w:t>
      </w:r>
    </w:p>
    <w:p>
      <w:pPr>
        <w:spacing w:before="120" w:after="120" w:line="288" w:lineRule="auto"/>
        <w:ind w:left="0"/>
        <w:jc w:val="left"/>
      </w:pPr>
      <w:r>
        <w:rPr>
          <w:rFonts w:eastAsia="等线" w:ascii="Arial" w:cs="Arial" w:hAnsi="Arial"/>
          <w:sz w:val="22"/>
        </w:rPr>
        <w:t>输入：潜在失效模式；</w:t>
      </w:r>
    </w:p>
    <w:p>
      <w:pPr>
        <w:spacing w:before="120" w:after="120" w:line="288" w:lineRule="auto"/>
        <w:ind w:left="0"/>
        <w:jc w:val="left"/>
      </w:pPr>
      <w:r>
        <w:rPr>
          <w:rFonts w:eastAsia="等线" w:ascii="Arial" w:cs="Arial" w:hAnsi="Arial"/>
          <w:sz w:val="22"/>
        </w:rPr>
        <w:t>输出：失效潜在原因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70"/>
        <w:gridCol w:w="4485"/>
        <w:gridCol w:w="1410"/>
      </w:tblGrid>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潜在失效模式</w:t>
            </w:r>
          </w:p>
        </w:tc>
        <w:tc>
          <w:tcPr>
            <w:tcW w:w="4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失效潜在原因</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部品</w:t>
            </w:r>
          </w:p>
        </w:tc>
      </w:tr>
      <w:tr>
        <w:tc>
          <w:tcPr>
            <w:tcW w:w="2370" w:type="dxa"/>
            <w:tcMar>
              <w:top w:type="dxa" w:w="60"/>
              <w:left w:type="dxa" w:w="120"/>
              <w:bottom w:type="dxa" w:w="30"/>
              <w:right w:type="dxa" w:w="120"/>
            </w:tcMar>
          </w:tcPr>
          <w:p>
            <w:pPr>
              <w:spacing w:before="120" w:after="120" w:line="288" w:lineRule="auto"/>
              <w:ind w:left="0"/>
              <w:jc w:val="left"/>
            </w:pPr>
          </w:p>
        </w:tc>
        <w:tc>
          <w:tcPr>
            <w:tcW w:w="4485"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left"/>
            </w:pPr>
          </w:p>
        </w:tc>
        <w:tc>
          <w:tcPr>
            <w:tcW w:w="4485"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left"/>
            </w:pPr>
          </w:p>
        </w:tc>
        <w:tc>
          <w:tcPr>
            <w:tcW w:w="4485"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left"/>
            </w:pPr>
          </w:p>
        </w:tc>
        <w:tc>
          <w:tcPr>
            <w:tcW w:w="4485"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left"/>
            </w:pPr>
          </w:p>
        </w:tc>
        <w:tc>
          <w:tcPr>
            <w:tcW w:w="4485"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3.9 </w:t>
      </w:r>
      <w:r>
        <w:rPr>
          <w:rFonts w:eastAsia="等线" w:ascii="Arial" w:cs="Arial" w:hAnsi="Arial"/>
          <w:b w:val="true"/>
          <w:sz w:val="32"/>
        </w:rPr>
        <w:t>模型9：失效影响的模型（AI模型+检索）</w:t>
      </w:r>
      <w:bookmarkEnd w:id="36"/>
    </w:p>
    <w:p>
      <w:pPr>
        <w:numPr>
          <w:numId w:val="114"/>
        </w:numPr>
        <w:spacing w:before="120" w:after="120" w:line="288" w:lineRule="auto"/>
        <w:ind w:left="0"/>
        <w:jc w:val="left"/>
      </w:pPr>
      <w:r>
        <w:rPr>
          <w:rFonts w:eastAsia="等线" w:ascii="Arial" w:cs="Arial" w:hAnsi="Arial"/>
          <w:b w:val="true"/>
          <w:sz w:val="22"/>
        </w:rPr>
        <w:t>失效影响输出逻辑</w:t>
      </w:r>
      <w:r>
        <w:rPr>
          <w:rFonts w:eastAsia="等线" w:ascii="Arial" w:cs="Arial" w:hAnsi="Arial"/>
          <w:sz w:val="22"/>
        </w:rPr>
        <w:t>：</w:t>
      </w:r>
      <w:r>
        <w:rPr>
          <w:rFonts w:eastAsia="等线" w:ascii="Arial" w:cs="Arial" w:hAnsi="Arial"/>
          <w:b w:val="true"/>
          <w:sz w:val="22"/>
        </w:rPr>
        <w:t>失效模式的后果</w:t>
      </w:r>
      <w:r>
        <w:rPr>
          <w:rFonts w:eastAsia="等线" w:ascii="Arial" w:cs="Arial" w:hAnsi="Arial"/>
          <w:sz w:val="22"/>
        </w:rPr>
        <w:t>，需要逐层识别上级/整机/客户级影响，并分别列出；需具体描述影响什么功能，什么性能；如有多个，需</w:t>
      </w:r>
      <w:r>
        <w:rPr>
          <w:rFonts w:eastAsia="等线" w:ascii="Arial" w:cs="Arial" w:hAnsi="Arial"/>
          <w:b w:val="true"/>
          <w:sz w:val="22"/>
        </w:rPr>
        <w:t>列在一行</w:t>
      </w:r>
      <w:r>
        <w:rPr>
          <w:rFonts w:eastAsia="等线" w:ascii="Arial" w:cs="Arial" w:hAnsi="Arial"/>
          <w:sz w:val="22"/>
        </w:rPr>
        <w:t>中，无需分行列出；如不同失效影响是一样的，需保证描述一致；</w:t>
      </w:r>
    </w:p>
    <w:p>
      <w:pPr>
        <w:numPr>
          <w:numId w:val="115"/>
        </w:numPr>
        <w:spacing w:before="120" w:after="120" w:line="288" w:lineRule="auto"/>
        <w:ind w:left="0"/>
        <w:jc w:val="left"/>
      </w:pPr>
      <w:r>
        <w:rPr>
          <w:rFonts w:eastAsia="等线" w:ascii="Arial" w:cs="Arial" w:hAnsi="Arial"/>
          <w:b w:val="true"/>
          <w:sz w:val="22"/>
        </w:rPr>
        <w:t>公司实际样例（每一行为一例）：</w:t>
      </w:r>
    </w:p>
    <w:p>
      <w:pPr>
        <w:spacing w:before="120" w:after="120" w:line="288" w:lineRule="auto"/>
        <w:ind w:left="0"/>
        <w:jc w:val="left"/>
      </w:pPr>
      <w:r>
        <w:rPr>
          <w:rFonts w:eastAsia="等线" w:ascii="Arial" w:cs="Arial" w:hAnsi="Arial"/>
          <w:sz w:val="22"/>
        </w:rPr>
        <w:t>输入：潜在失效模式；</w:t>
      </w:r>
    </w:p>
    <w:p>
      <w:pPr>
        <w:spacing w:before="120" w:after="120" w:line="288" w:lineRule="auto"/>
        <w:ind w:left="0"/>
        <w:jc w:val="left"/>
      </w:pPr>
      <w:r>
        <w:rPr>
          <w:rFonts w:eastAsia="等线" w:ascii="Arial" w:cs="Arial" w:hAnsi="Arial"/>
          <w:sz w:val="22"/>
        </w:rPr>
        <w:t>输出：潜在失效影响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70"/>
        <w:gridCol w:w="4485"/>
        <w:gridCol w:w="1410"/>
      </w:tblGrid>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潜在失效模式</w:t>
            </w:r>
          </w:p>
        </w:tc>
        <w:tc>
          <w:tcPr>
            <w:tcW w:w="4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潜在失效影响</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部品</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无法访问目标槽位</w:t>
            </w:r>
          </w:p>
        </w:tc>
        <w:tc>
          <w:tcPr>
            <w:tcW w:w="4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对主控：无法完成对该目标槽位线卡的初始化</w:t>
              <w:br/>
              <w:t>对交换机：该目标槽位的线卡无法使用</w:t>
              <w:br/>
            </w:r>
            <w:r>
              <w:rPr>
                <w:rFonts w:eastAsia="等线" w:ascii="Arial" w:cs="Arial" w:hAnsi="Arial"/>
                <w:sz w:val="22"/>
              </w:rPr>
              <w:t>对客户：该目标槽位的业务无法使用。</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SMI桥</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无法提供4个DPLL</w:t>
            </w:r>
          </w:p>
        </w:tc>
        <w:tc>
          <w:tcPr>
            <w:tcW w:w="4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对单板：无法满足输出频率域的需求，或者输出时钟频率存在偏差，影响单板启动</w:t>
              <w:br/>
              <w:t>对交换机：影响整机业务开通及启动</w:t>
              <w:br/>
              <w:t>对客户：影响正常使用</w:t>
              <w:br/>
            </w:r>
            <w:r>
              <w:rPr>
                <w:rFonts w:eastAsia="等线" w:ascii="Arial" w:cs="Arial" w:hAnsi="Arial"/>
                <w:sz w:val="22"/>
              </w:rPr>
              <w:t>对下游：无法对接下游设备，业务无法开通</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时钟</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无法过滤带外信号</w:t>
            </w:r>
          </w:p>
        </w:tc>
        <w:tc>
          <w:tcPr>
            <w:tcW w:w="4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带外干扰信号进入到fem，影响CPU的接受灵敏度。</w:t>
              <w:br/>
            </w:r>
            <w:r>
              <w:rPr>
                <w:rFonts w:eastAsia="等线" w:ascii="Arial" w:cs="Arial" w:hAnsi="Arial"/>
                <w:sz w:val="22"/>
              </w:rPr>
              <w:t>AP的抗干扰性能下降；对周围相邻频率设备造成干扰。</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DSP和金手指之间不能维持信号完整性</w:t>
            </w:r>
          </w:p>
        </w:tc>
        <w:tc>
          <w:tcPr>
            <w:tcW w:w="4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光模块不工作；</w:t>
              <w:br/>
              <w:t>交换机通信链路中断；</w:t>
              <w:br/>
            </w:r>
            <w:r>
              <w:rPr>
                <w:rFonts w:eastAsia="等线" w:ascii="Arial" w:cs="Arial" w:hAnsi="Arial"/>
                <w:sz w:val="22"/>
              </w:rPr>
              <w:t>客户核心功能失效（如骨干链路中断）</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光模块</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读访问数据不正确</w:t>
            </w:r>
          </w:p>
        </w:tc>
        <w:tc>
          <w:tcPr>
            <w:tcW w:w="4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对主控：对某个槽位的状态会误判，会触发告警。</w:t>
              <w:br/>
              <w:t>对交换机：线卡的工作状态会不正常。</w:t>
              <w:br/>
            </w:r>
            <w:r>
              <w:rPr>
                <w:rFonts w:eastAsia="等线" w:ascii="Arial" w:cs="Arial" w:hAnsi="Arial"/>
                <w:sz w:val="22"/>
              </w:rPr>
              <w:t>对客户：业务会受影响，会时断时续。</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SMI桥</w:t>
            </w:r>
          </w:p>
        </w:tc>
      </w:tr>
    </w:tbl>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3.10 </w:t>
      </w:r>
      <w:r>
        <w:rPr>
          <w:rFonts w:eastAsia="等线" w:ascii="Arial" w:cs="Arial" w:hAnsi="Arial"/>
          <w:b w:val="true"/>
          <w:sz w:val="32"/>
        </w:rPr>
        <w:t>模型10：预防措施模型（AI模型+检索）</w:t>
      </w:r>
      <w:bookmarkEnd w:id="37"/>
    </w:p>
    <w:p>
      <w:pPr>
        <w:numPr>
          <w:numId w:val="116"/>
        </w:numPr>
        <w:spacing w:before="120" w:after="120" w:line="288" w:lineRule="auto"/>
        <w:ind w:left="0"/>
        <w:jc w:val="left"/>
      </w:pPr>
      <w:r>
        <w:rPr>
          <w:rFonts w:eastAsia="等线" w:ascii="Arial" w:cs="Arial" w:hAnsi="Arial"/>
          <w:b w:val="true"/>
          <w:sz w:val="22"/>
        </w:rPr>
        <w:t>现行预防控制输出逻辑</w:t>
      </w:r>
      <w:r>
        <w:rPr>
          <w:rFonts w:eastAsia="等线" w:ascii="Arial" w:cs="Arial" w:hAnsi="Arial"/>
          <w:sz w:val="22"/>
        </w:rPr>
        <w:t>：</w:t>
      </w:r>
    </w:p>
    <w:p>
      <w:pPr>
        <w:spacing w:before="120" w:after="120" w:line="288" w:lineRule="auto"/>
        <w:ind w:left="0"/>
        <w:jc w:val="left"/>
      </w:pPr>
      <w:r>
        <w:rPr>
          <w:rFonts w:eastAsia="等线" w:ascii="Arial" w:cs="Arial" w:hAnsi="Arial"/>
          <w:sz w:val="22"/>
        </w:rPr>
        <w:t>描述如何使用已有的和/或计划中的活动</w:t>
      </w:r>
      <w:r>
        <w:rPr>
          <w:rFonts w:eastAsia="等线" w:ascii="Arial" w:cs="Arial" w:hAnsi="Arial"/>
          <w:b w:val="true"/>
          <w:sz w:val="22"/>
        </w:rPr>
        <w:t>减轻潜在原因</w:t>
      </w:r>
      <w:r>
        <w:rPr>
          <w:rFonts w:eastAsia="等线" w:ascii="Arial" w:cs="Arial" w:hAnsi="Arial"/>
          <w:sz w:val="22"/>
        </w:rPr>
        <w:t>导致的失效模式；预防措施与性能要求相关；现行的预防控制措施的描述必须是清楚的、完整的，如有必要，应引用参考文献/标准；还应该将设计的</w:t>
      </w:r>
      <w:r>
        <w:rPr>
          <w:rFonts w:eastAsia="等线" w:ascii="Arial" w:cs="Arial" w:hAnsi="Arial"/>
          <w:b w:val="true"/>
          <w:sz w:val="22"/>
        </w:rPr>
        <w:t>安全边际</w:t>
      </w:r>
      <w:r>
        <w:rPr>
          <w:rFonts w:eastAsia="等线" w:ascii="Arial" w:cs="Arial" w:hAnsi="Arial"/>
          <w:sz w:val="22"/>
        </w:rPr>
        <w:t>作为预防措施来考虑；</w:t>
      </w:r>
      <w:r>
        <w:rPr>
          <w:rFonts w:eastAsia="等线" w:ascii="Arial" w:cs="Arial" w:hAnsi="Arial"/>
          <w:b w:val="true"/>
          <w:sz w:val="22"/>
        </w:rPr>
        <w:t>需要评审是否可以预防或减少原因的发生</w:t>
      </w:r>
      <w:r>
        <w:rPr>
          <w:rFonts w:eastAsia="等线" w:ascii="Arial" w:cs="Arial" w:hAnsi="Arial"/>
          <w:sz w:val="22"/>
        </w:rPr>
        <w:t xml:space="preserve"> (例：考虑环境差异，历史问题) ；针对某个失效原因的所有预防措施</w:t>
      </w:r>
      <w:r>
        <w:rPr>
          <w:rFonts w:eastAsia="等线" w:ascii="Arial" w:cs="Arial" w:hAnsi="Arial"/>
          <w:b w:val="true"/>
          <w:color w:val="d83931"/>
          <w:sz w:val="22"/>
        </w:rPr>
        <w:t>写在一行</w:t>
      </w:r>
      <w:r>
        <w:rPr>
          <w:rFonts w:eastAsia="等线" w:ascii="Arial" w:cs="Arial" w:hAnsi="Arial"/>
          <w:sz w:val="22"/>
        </w:rPr>
        <w:t>；</w:t>
      </w:r>
    </w:p>
    <w:p>
      <w:pPr>
        <w:spacing w:before="120" w:after="120" w:line="288" w:lineRule="auto"/>
        <w:ind w:left="0"/>
        <w:jc w:val="left"/>
      </w:pPr>
      <w:r>
        <w:rPr>
          <w:rFonts w:eastAsia="等线" w:ascii="Arial" w:cs="Arial" w:hAnsi="Arial"/>
          <w:sz w:val="22"/>
        </w:rPr>
        <w:t>预防类型及优先原则：设计固有可靠性 &gt; 过程控制 &gt; 状态监控。在设计阶段投入,消除失效根本原因,是最经济有效的策略；</w:t>
      </w:r>
    </w:p>
    <w:p>
      <w:pPr>
        <w:spacing w:before="120" w:after="120" w:line="288" w:lineRule="auto"/>
        <w:ind w:left="0"/>
        <w:jc w:val="center"/>
      </w:pPr>
      <w:r>
        <w:drawing>
          <wp:inline distT="0" distR="0" distB="0" distL="0">
            <wp:extent cx="5257800" cy="20288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53"/>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numPr>
          <w:numId w:val="117"/>
        </w:numPr>
        <w:spacing w:before="120" w:after="120" w:line="288" w:lineRule="auto"/>
        <w:ind w:left="0"/>
        <w:jc w:val="left"/>
      </w:pPr>
      <w:r>
        <w:rPr>
          <w:rFonts w:eastAsia="等线" w:ascii="Arial" w:cs="Arial" w:hAnsi="Arial"/>
          <w:b w:val="true"/>
          <w:sz w:val="22"/>
        </w:rPr>
        <w:t>描述示例</w:t>
      </w:r>
      <w:r>
        <w:rPr>
          <w:rFonts w:eastAsia="等线" w:ascii="Arial" w:cs="Arial" w:hAnsi="Arial"/>
          <w:sz w:val="22"/>
        </w:rPr>
        <w:t>：按照仿真模拟、公差计算(GD&amp;T)和VA17.11进行系统设计；遵照图号ZN1.239.976选择公差带；采用不对称结构防止A与B装反；</w:t>
      </w:r>
    </w:p>
    <w:p>
      <w:pPr>
        <w:numPr>
          <w:numId w:val="118"/>
        </w:numPr>
        <w:spacing w:before="120" w:after="120" w:line="288" w:lineRule="auto"/>
        <w:ind w:left="0"/>
        <w:jc w:val="left"/>
      </w:pPr>
      <w:r>
        <w:rPr>
          <w:rFonts w:eastAsia="等线" w:ascii="Arial" w:cs="Arial" w:hAnsi="Arial"/>
          <w:b w:val="true"/>
          <w:color w:val="d83931"/>
          <w:sz w:val="22"/>
        </w:rPr>
        <w:t>常见错误</w:t>
      </w:r>
      <w:r>
        <w:rPr>
          <w:rFonts w:eastAsia="等线" w:ascii="Arial" w:cs="Arial" w:hAnsi="Arial"/>
          <w:sz w:val="22"/>
        </w:rPr>
        <w:t>：类似于“经过验证的材料”这种</w:t>
      </w:r>
      <w:r>
        <w:rPr>
          <w:rFonts w:eastAsia="等线" w:ascii="Arial" w:cs="Arial" w:hAnsi="Arial"/>
          <w:b w:val="true"/>
          <w:color w:val="d83931"/>
          <w:sz w:val="22"/>
        </w:rPr>
        <w:t>含糊</w:t>
      </w:r>
      <w:r>
        <w:rPr>
          <w:rFonts w:eastAsia="等线" w:ascii="Arial" w:cs="Arial" w:hAnsi="Arial"/>
          <w:sz w:val="22"/>
        </w:rPr>
        <w:t>的措辞应予以避免；</w:t>
      </w:r>
    </w:p>
    <w:p>
      <w:pPr>
        <w:numPr>
          <w:numId w:val="119"/>
        </w:numPr>
        <w:spacing w:before="120" w:after="120" w:line="288" w:lineRule="auto"/>
        <w:ind w:left="0"/>
        <w:jc w:val="left"/>
      </w:pPr>
      <w:r>
        <w:rPr>
          <w:rFonts w:eastAsia="等线" w:ascii="Arial" w:cs="Arial" w:hAnsi="Arial"/>
          <w:b w:val="true"/>
          <w:sz w:val="22"/>
        </w:rPr>
        <w:t>公司实际样例（每一行为一例）：</w:t>
      </w:r>
    </w:p>
    <w:p>
      <w:pPr>
        <w:spacing w:before="120" w:after="120" w:line="288" w:lineRule="auto"/>
        <w:ind w:left="0"/>
        <w:jc w:val="left"/>
      </w:pPr>
      <w:r>
        <w:rPr>
          <w:rFonts w:eastAsia="等线" w:ascii="Arial" w:cs="Arial" w:hAnsi="Arial"/>
          <w:sz w:val="22"/>
        </w:rPr>
        <w:t>输入：失效原因；</w:t>
      </w:r>
    </w:p>
    <w:p>
      <w:pPr>
        <w:spacing w:before="120" w:after="120" w:line="288" w:lineRule="auto"/>
        <w:ind w:left="0"/>
        <w:jc w:val="left"/>
      </w:pPr>
      <w:r>
        <w:rPr>
          <w:rFonts w:eastAsia="等线" w:ascii="Arial" w:cs="Arial" w:hAnsi="Arial"/>
          <w:sz w:val="22"/>
        </w:rPr>
        <w:t>输出：现行预防措施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70"/>
        <w:gridCol w:w="3795"/>
        <w:gridCol w:w="930"/>
        <w:gridCol w:w="1185"/>
      </w:tblGrid>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失效原因</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现行预防措施</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预防措施类型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部品</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滤波器对带外频率的抑制不够</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滤波器选型要进行详细设计，带外抑制指标要35db以上，根据指标进行选型。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设计固有可靠性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MAC自身：芯片功耗过大，芯片传给导热垫之间的热量过大</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设计阶段：</w:t>
              <w:br/>
              <w:t>1、提升散热器等级，铝基散热器升级为热管散热器</w:t>
              <w:br/>
              <w:t>2、提升风扇散热能力，提升风扇规格从404028风扇-&gt;404056风扇</w:t>
              <w:br/>
              <w:t>3、按照环境温度55度高温，用电流测试仪器测试MAC最大负载电流电压和功耗，给芯片散热仿真提供数据依据。</w:t>
              <w:br/>
              <w:t>4、优化风道，把MAC芯片放置在风阻最小的地方。</w:t>
              <w:br/>
              <w:t>调试阶段：</w:t>
              <w:br/>
            </w:r>
            <w:r>
              <w:rPr>
                <w:rFonts w:eastAsia="等线" w:ascii="Arial" w:cs="Arial" w:hAnsi="Arial"/>
                <w:sz w:val="22"/>
              </w:rPr>
              <w:t>5、修改风扇调速策略，根据实际芯片温度PID调节风扇转速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设计固有可靠性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系统的相互作用：MAC电源电容之间连锡发生短路</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原理图设计阶段：选型小0.05公差电容</w:t>
              <w:br/>
              <w:t>PCB布局布线阶段：布局上优化调整,避免超高容宽度方向相邻方向并行和间距拉大0.325mm</w:t>
              <w:br/>
            </w:r>
            <w:r>
              <w:rPr>
                <w:rFonts w:eastAsia="等线" w:ascii="Arial" w:cs="Arial" w:hAnsi="Arial"/>
                <w:sz w:val="22"/>
              </w:rPr>
              <w:t>钢网制作阶段：减薄钢网0.1mm和单边缩小开口0.05mm</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设计固有可靠性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外部环境：潮湿PCB分层，链路断开</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传递厂家要求：发货前进行密封，放置潮敏卡；</w:t>
              <w:br/>
              <w:t>传递公司加工要求：若拆开低温烘烤90~110 48小时；</w:t>
              <w:br/>
            </w:r>
            <w:r>
              <w:rPr>
                <w:rFonts w:eastAsia="等线" w:ascii="Arial" w:cs="Arial" w:hAnsi="Arial"/>
                <w:sz w:val="22"/>
              </w:rPr>
              <w:t>传递库存存储环境要求：库房的环境，20度，潮湿不超过60%</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过程控制</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访问数据错乱（映射表的EN位内容错误，1和0错乱）</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（1）在映射表中增加奇偶校验位</w:t>
              <w:br/>
            </w:r>
            <w:r>
              <w:rPr>
                <w:rFonts w:eastAsia="等线" w:ascii="Arial" w:cs="Arial" w:hAnsi="Arial"/>
                <w:sz w:val="22"/>
              </w:rPr>
              <w:t>（2）连续读3次后错误，要会刷表项</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状态监控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SMI桥</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长时间的返回数据异常</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选通模块在异常情况下，需要有退出机制，并针对机制进行评审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状态监控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SMI桥</w:t>
            </w:r>
          </w:p>
        </w:tc>
      </w:tr>
    </w:tbl>
    <w:p>
      <w:pPr>
        <w:pStyle w:val="2"/>
        <w:spacing w:before="320" w:after="120" w:line="288" w:lineRule="auto"/>
        <w:ind w:left="0"/>
        <w:jc w:val="left"/>
        <w:outlineLvl w:val="1"/>
      </w:pPr>
      <w:bookmarkStart w:name="heading_38" w:id="38"/>
      <w:r>
        <w:rPr>
          <w:rFonts w:eastAsia="等线" w:ascii="Arial" w:cs="Arial" w:hAnsi="Arial"/>
          <w:color w:val="3370ff"/>
          <w:sz w:val="32"/>
        </w:rPr>
        <w:t xml:space="preserve">3.11 </w:t>
      </w:r>
      <w:r>
        <w:rPr>
          <w:rFonts w:eastAsia="等线" w:ascii="Arial" w:cs="Arial" w:hAnsi="Arial"/>
          <w:b w:val="true"/>
          <w:sz w:val="32"/>
        </w:rPr>
        <w:t>模型11：探测措施模型（AI模型+检索）</w:t>
      </w:r>
      <w:bookmarkEnd w:id="38"/>
    </w:p>
    <w:p>
      <w:pPr>
        <w:numPr>
          <w:numId w:val="120"/>
        </w:numPr>
        <w:spacing w:before="120" w:after="120" w:line="288" w:lineRule="auto"/>
        <w:ind w:left="0"/>
        <w:jc w:val="left"/>
      </w:pPr>
      <w:r>
        <w:rPr>
          <w:rFonts w:eastAsia="等线" w:ascii="Arial" w:cs="Arial" w:hAnsi="Arial"/>
          <w:b w:val="true"/>
          <w:sz w:val="22"/>
        </w:rPr>
        <w:t>现行探测控制输出逻辑</w:t>
      </w:r>
      <w:r>
        <w:rPr>
          <w:rFonts w:eastAsia="等线" w:ascii="Arial" w:cs="Arial" w:hAnsi="Arial"/>
          <w:sz w:val="22"/>
        </w:rPr>
        <w:t>：</w:t>
      </w:r>
    </w:p>
    <w:p>
      <w:pPr>
        <w:spacing w:before="120" w:after="120" w:line="288" w:lineRule="auto"/>
        <w:ind w:left="0"/>
        <w:jc w:val="left"/>
      </w:pPr>
      <w:r>
        <w:rPr>
          <w:rFonts w:eastAsia="等线" w:ascii="Arial" w:cs="Arial" w:hAnsi="Arial"/>
          <w:sz w:val="22"/>
        </w:rPr>
        <w:t>考虑到有</w:t>
      </w:r>
      <w:r>
        <w:rPr>
          <w:rFonts w:eastAsia="等线" w:ascii="Arial" w:cs="Arial" w:hAnsi="Arial"/>
          <w:b w:val="true"/>
          <w:sz w:val="22"/>
        </w:rPr>
        <w:t>多大可能、在何时、在何处</w:t>
      </w:r>
      <w:r>
        <w:rPr>
          <w:rFonts w:eastAsia="等线" w:ascii="Arial" w:cs="Arial" w:hAnsi="Arial"/>
          <w:sz w:val="22"/>
        </w:rPr>
        <w:t>识别出（例如：通过评审/分析/模拟/试验等方式来识别）设计缺陷。</w:t>
      </w:r>
    </w:p>
    <w:p>
      <w:pPr>
        <w:spacing w:before="120" w:after="120" w:line="288" w:lineRule="auto"/>
        <w:ind w:left="0"/>
        <w:jc w:val="left"/>
      </w:pPr>
      <w:r>
        <w:rPr>
          <w:rFonts w:eastAsia="等线" w:ascii="Arial" w:cs="Arial" w:hAnsi="Arial"/>
          <w:sz w:val="22"/>
        </w:rPr>
        <w:t>表示计划的活动（或已完成的活动），而不是不会进行的潜在活动；必须</w:t>
      </w:r>
      <w:r>
        <w:rPr>
          <w:rFonts w:eastAsia="等线" w:ascii="Arial" w:cs="Arial" w:hAnsi="Arial"/>
          <w:b w:val="true"/>
          <w:sz w:val="22"/>
        </w:rPr>
        <w:t>清楚而全面地描述</w:t>
      </w:r>
      <w:r>
        <w:rPr>
          <w:rFonts w:eastAsia="等线" w:ascii="Arial" w:cs="Arial" w:hAnsi="Arial"/>
          <w:sz w:val="22"/>
        </w:rPr>
        <w:t>，应填写具体的测试方案；能够探测失效原因、失效模式的探测措施都应填写在探测措施列（不同探测措施</w:t>
      </w:r>
      <w:r>
        <w:rPr>
          <w:rFonts w:eastAsia="等线" w:ascii="Arial" w:cs="Arial" w:hAnsi="Arial"/>
          <w:b w:val="true"/>
          <w:color w:val="d83931"/>
          <w:sz w:val="22"/>
        </w:rPr>
        <w:t>写在一行，优先考虑探测失效原因</w:t>
      </w:r>
      <w:r>
        <w:rPr>
          <w:rFonts w:eastAsia="等线" w:ascii="Arial" w:cs="Arial" w:hAnsi="Arial"/>
          <w:sz w:val="22"/>
        </w:rPr>
        <w:t>）;需要评审是否可以检测原因的发生 (例：考虑环境差异，历史问题）；探测度反应的是探测措施逼近真实失效机理的程度；如单个探测措施有效性不够，可以考虑</w:t>
      </w:r>
      <w:r>
        <w:rPr>
          <w:rFonts w:eastAsia="等线" w:ascii="Arial" w:cs="Arial" w:hAnsi="Arial"/>
          <w:b w:val="true"/>
          <w:sz w:val="22"/>
        </w:rPr>
        <w:t>不同对象不同时机不同方法</w:t>
      </w:r>
      <w:r>
        <w:rPr>
          <w:rFonts w:eastAsia="等线" w:ascii="Arial" w:cs="Arial" w:hAnsi="Arial"/>
          <w:sz w:val="22"/>
        </w:rPr>
        <w:t>的探测措施结合；</w:t>
      </w:r>
    </w:p>
    <w:p>
      <w:pPr>
        <w:spacing w:before="120" w:after="120" w:line="288" w:lineRule="auto"/>
        <w:ind w:left="0"/>
        <w:jc w:val="left"/>
      </w:pPr>
      <w:r>
        <w:rPr>
          <w:rFonts w:eastAsia="等线" w:ascii="Arial" w:cs="Arial" w:hAnsi="Arial"/>
          <w:b w:val="true"/>
          <w:color w:val="245bdb"/>
          <w:sz w:val="22"/>
        </w:rPr>
        <w:t>要点</w:t>
      </w:r>
      <w:r>
        <w:rPr>
          <w:rFonts w:eastAsia="等线" w:ascii="Arial" w:cs="Arial" w:hAnsi="Arial"/>
          <w:sz w:val="22"/>
        </w:rPr>
        <w:t>：探测措施三要素描述全面“探测阶段+探测对象+探测方法”；探测措施是否能在上市前有效的检测出失效原因/失效模式。</w:t>
      </w:r>
    </w:p>
    <w:p>
      <w:pPr>
        <w:spacing w:before="120" w:after="120" w:line="288" w:lineRule="auto"/>
        <w:ind w:left="0"/>
        <w:jc w:val="left"/>
      </w:pPr>
      <w:r>
        <w:rPr>
          <w:rFonts w:eastAsia="等线" w:ascii="Arial" w:cs="Arial" w:hAnsi="Arial"/>
          <w:b w:val="true"/>
          <w:sz w:val="22"/>
        </w:rPr>
        <w:t>探测措施类型及阶段</w:t>
      </w:r>
    </w:p>
    <w:p>
      <w:pPr>
        <w:spacing w:before="120" w:after="120" w:line="288" w:lineRule="auto"/>
        <w:ind w:left="0"/>
        <w:jc w:val="center"/>
      </w:pPr>
      <w:r>
        <w:drawing>
          <wp:inline distT="0" distR="0" distB="0" distL="0">
            <wp:extent cx="5257800" cy="16097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54"/>
                    <a:stretch>
                      <a:fillRect/>
                    </a:stretch>
                  </pic:blipFill>
                  <pic:spPr>
                    <a:xfrm>
                      <a:off x="0" y="0"/>
                      <a:ext cx="5257800" cy="1609725"/>
                    </a:xfrm>
                    <a:prstGeom prst="rect">
                      <a:avLst/>
                    </a:prstGeom>
                  </pic:spPr>
                </pic:pic>
              </a:graphicData>
            </a:graphic>
          </wp:inline>
        </w:drawing>
      </w:r>
    </w:p>
    <w:p>
      <w:pPr>
        <w:numPr>
          <w:numId w:val="121"/>
        </w:numPr>
        <w:spacing w:before="120" w:after="120" w:line="288" w:lineRule="auto"/>
        <w:ind w:left="0"/>
        <w:jc w:val="left"/>
      </w:pPr>
      <w:r>
        <w:rPr>
          <w:rFonts w:eastAsia="等线" w:ascii="Arial" w:cs="Arial" w:hAnsi="Arial"/>
          <w:b w:val="true"/>
          <w:sz w:val="22"/>
        </w:rPr>
        <w:t>公司实际样例（每一行为一例）：</w:t>
      </w:r>
    </w:p>
    <w:p>
      <w:pPr>
        <w:spacing w:before="120" w:after="120" w:line="288" w:lineRule="auto"/>
        <w:ind w:left="0"/>
        <w:jc w:val="left"/>
      </w:pPr>
      <w:r>
        <w:rPr>
          <w:rFonts w:eastAsia="等线" w:ascii="Arial" w:cs="Arial" w:hAnsi="Arial"/>
          <w:b w:val="true"/>
          <w:sz w:val="22"/>
        </w:rPr>
        <w:t>输入</w:t>
      </w:r>
      <w:r>
        <w:rPr>
          <w:rFonts w:eastAsia="等线" w:ascii="Arial" w:cs="Arial" w:hAnsi="Arial"/>
          <w:sz w:val="22"/>
        </w:rPr>
        <w:t>：潜在失效模式，失效潜在原因，现行预防措施；</w:t>
      </w:r>
    </w:p>
    <w:p>
      <w:pPr>
        <w:spacing w:before="120" w:after="120" w:line="288" w:lineRule="auto"/>
        <w:ind w:left="0"/>
        <w:jc w:val="left"/>
      </w:pPr>
      <w:r>
        <w:rPr>
          <w:rFonts w:eastAsia="等线" w:ascii="Arial" w:cs="Arial" w:hAnsi="Arial"/>
          <w:b w:val="true"/>
          <w:sz w:val="22"/>
        </w:rPr>
        <w:t>输出</w:t>
      </w:r>
      <w:r>
        <w:rPr>
          <w:rFonts w:eastAsia="等线" w:ascii="Arial" w:cs="Arial" w:hAnsi="Arial"/>
          <w:sz w:val="22"/>
        </w:rPr>
        <w:t>：现行探测措施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1725"/>
        <w:gridCol w:w="2175"/>
        <w:gridCol w:w="1605"/>
        <w:gridCol w:w="1050"/>
      </w:tblGrid>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潜在失效模式</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失效潜在原因</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现行预防措施</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现行探测措施</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部品</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输出jitter超出1ps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1、DPLL供电噪声过大</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1、原理图设计指导进行电源滤波</w:t>
            </w:r>
          </w:p>
          <w:p>
            <w:pPr>
              <w:spacing w:before="120" w:after="120" w:line="288" w:lineRule="auto"/>
              <w:ind w:left="0"/>
              <w:jc w:val="left"/>
            </w:pPr>
            <w:r>
              <w:rPr>
                <w:rFonts w:eastAsia="等线" w:ascii="Arial" w:cs="Arial" w:hAnsi="Arial"/>
                <w:sz w:val="22"/>
              </w:rPr>
              <w:t>2、PCB布局原理干扰源</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时钟信号测试-抖动测试</w:t>
            </w:r>
          </w:p>
          <w:p>
            <w:pPr>
              <w:spacing w:before="120" w:after="120" w:line="288" w:lineRule="auto"/>
              <w:ind w:left="0"/>
              <w:jc w:val="left"/>
            </w:pPr>
            <w:r>
              <w:rPr>
                <w:rFonts w:eastAsia="等线" w:ascii="Arial" w:cs="Arial" w:hAnsi="Arial"/>
                <w:sz w:val="22"/>
              </w:rPr>
              <w:t>模拟信号测试—电源纹波噪声测试</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时钟</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非目标槽位的数据被篡改（映射表的EN位内容错误，一个槽位被挂到多个SMI总线上）</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映射表设计缺陷-映射表未考虑热插拔场景，槽位动态变化时逻辑未同步更新</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产品设计中增加约束不支持热拔插的说明，在硬件安装手册中说明</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alarm告警，log记录</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SMI桥</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读访问数据错乱（解析的PHY地址错误，导致选择的通道数据错误）</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SMI接口的滤抖设计不正确</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（1）针对“SMI接口的滤抖设计”逻辑做时序分析并评审</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（1）静态代码分析</w:t>
              <w:br/>
              <w:t>（2）仿真和真机的覆盖率测试</w:t>
              <w:br/>
            </w:r>
            <w:r>
              <w:rPr>
                <w:rFonts w:eastAsia="等线" w:ascii="Arial" w:cs="Arial" w:hAnsi="Arial"/>
                <w:sz w:val="22"/>
              </w:rPr>
              <w:t>（3）加压测试（MDC的时钟频率提高20%）</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SMI桥</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 swith不工作，射频信号传递错误或无法传递，导致无线性能整体下降</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电解电容寿命衰退（DCDC本身）</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整机热仿真时，结合仿真温度，对电解电容寿命进行提前计算。若有温度过高的风险，提前预留散热措施或选用耐高温的电解电容</w:t>
              <w:br/>
            </w:r>
            <w:r>
              <w:rPr>
                <w:rFonts w:eastAsia="等线" w:ascii="Arial" w:cs="Arial" w:hAnsi="Arial"/>
                <w:sz w:val="22"/>
              </w:rPr>
              <w:t>容值、ESR降额使用。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设计阶段，进行热仿真，提前计算电解电容寿命。</w:t>
              <w:br/>
            </w:r>
            <w:r>
              <w:rPr>
                <w:rFonts w:eastAsia="等线" w:ascii="Arial" w:cs="Arial" w:hAnsi="Arial"/>
                <w:sz w:val="22"/>
              </w:rPr>
              <w:t>SIT测试阶段，整机进行可靠性测试验收（长期稳定性测试），模拟测试阶段测试电解电容的纹波</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 swith不工作，射频信号传递错误或无法传递，导致无线性能整体下降</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电压精度不满足要求</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DCDC使用CBB设计，上下拉电阻按照CBB使用说明推荐。电平的误差范围要在射频开关的推荐工作电压范围内</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SDV测试阶段测试射频开关电压电平</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w:t>
            </w:r>
          </w:p>
        </w:tc>
      </w:tr>
    </w:tbl>
    <w:p>
      <w:pPr>
        <w:pStyle w:val="2"/>
        <w:spacing w:before="320" w:after="120" w:line="288" w:lineRule="auto"/>
        <w:ind w:left="0"/>
        <w:jc w:val="left"/>
        <w:outlineLvl w:val="1"/>
      </w:pPr>
      <w:bookmarkStart w:name="heading_39" w:id="39"/>
      <w:r>
        <w:rPr>
          <w:rFonts w:eastAsia="等线" w:ascii="Arial" w:cs="Arial" w:hAnsi="Arial"/>
          <w:color w:val="3370ff"/>
          <w:sz w:val="32"/>
        </w:rPr>
        <w:t xml:space="preserve">3.12 </w:t>
      </w:r>
      <w:r>
        <w:rPr>
          <w:rFonts w:eastAsia="等线" w:ascii="Arial" w:cs="Arial" w:hAnsi="Arial"/>
          <w:b w:val="true"/>
          <w:sz w:val="32"/>
        </w:rPr>
        <w:t>模型12：SOD评价模型（AI模型+检索）</w:t>
      </w:r>
      <w:bookmarkEnd w:id="39"/>
    </w:p>
    <w:p>
      <w:pPr>
        <w:spacing w:before="120" w:after="120" w:line="288" w:lineRule="auto"/>
        <w:ind w:left="0"/>
        <w:jc w:val="left"/>
      </w:pPr>
      <w:r>
        <w:rPr>
          <w:rFonts w:eastAsia="等线" w:ascii="Arial" w:cs="Arial" w:hAnsi="Arial"/>
          <w:b w:val="true"/>
          <w:color w:val="245bdb"/>
          <w:sz w:val="22"/>
        </w:rPr>
        <w:t>逻辑</w:t>
      </w:r>
      <w:r>
        <w:rPr>
          <w:rFonts w:eastAsia="等线" w:ascii="Arial" w:cs="Arial" w:hAnsi="Arial"/>
          <w:sz w:val="22"/>
        </w:rPr>
        <w:t>：</w:t>
      </w:r>
      <w:r>
        <w:rPr>
          <w:rFonts w:eastAsia="等线" w:ascii="Arial" w:cs="Arial" w:hAnsi="Arial"/>
          <w:b w:val="true"/>
          <w:sz w:val="22"/>
        </w:rPr>
        <w:t>SOD评级标准可根据通用标准进行适配调整，可增加特定产品的示例；FMEA项目组应对评估标准和评估系统达成一致意见，表示在FMEA范围内的相对等级，且SOD彼此独立；</w:t>
      </w:r>
    </w:p>
    <w:p>
      <w:pPr>
        <w:spacing w:before="120" w:after="120" w:line="288" w:lineRule="auto"/>
        <w:ind w:left="0"/>
        <w:jc w:val="left"/>
      </w:pPr>
      <w:r>
        <w:rPr>
          <w:rFonts w:eastAsia="等线" w:ascii="Arial" w:cs="Arial" w:hAnsi="Arial"/>
          <w:b w:val="true"/>
          <w:sz w:val="22"/>
        </w:rPr>
        <w:t>严重度</w:t>
      </w:r>
      <w:r>
        <w:rPr>
          <w:rFonts w:eastAsia="等线" w:ascii="Arial" w:cs="Arial" w:hAnsi="Arial"/>
          <w:sz w:val="22"/>
        </w:rPr>
        <w:t>：评价功能失效模式导致的最严重影响的度量，严重度评估应由顾客根据需要转移给供应商；示例为通用标准，供参考；</w:t>
      </w:r>
    </w:p>
    <w:p>
      <w:pPr>
        <w:spacing w:before="120" w:after="120" w:line="288" w:lineRule="auto"/>
        <w:ind w:left="0"/>
        <w:jc w:val="left"/>
      </w:pPr>
      <w:r>
        <w:rPr>
          <w:rFonts w:eastAsia="等线" w:ascii="Arial" w:cs="Arial" w:hAnsi="Arial"/>
          <w:b w:val="true"/>
          <w:sz w:val="22"/>
        </w:rPr>
        <w:t>模式2-发生度（频度）</w:t>
      </w:r>
      <w:r>
        <w:rPr>
          <w:rFonts w:eastAsia="等线" w:ascii="Arial" w:cs="Arial" w:hAnsi="Arial"/>
          <w:sz w:val="22"/>
        </w:rPr>
        <w:t>：</w:t>
      </w:r>
      <w:r>
        <w:rPr>
          <w:rFonts w:eastAsia="等线" w:ascii="Arial" w:cs="Arial" w:hAnsi="Arial"/>
          <w:b w:val="true"/>
          <w:sz w:val="22"/>
        </w:rPr>
        <w:t>衡量预防措施有效性的指标</w:t>
      </w:r>
      <w:r>
        <w:rPr>
          <w:rFonts w:eastAsia="等线" w:ascii="Arial" w:cs="Arial" w:hAnsi="Arial"/>
          <w:sz w:val="22"/>
        </w:rPr>
        <w:t>；发生等级是在FMEA范围内的</w:t>
      </w:r>
      <w:r>
        <w:rPr>
          <w:rFonts w:eastAsia="等线" w:ascii="Arial" w:cs="Arial" w:hAnsi="Arial"/>
          <w:b w:val="true"/>
          <w:sz w:val="22"/>
        </w:rPr>
        <w:t>相对等级，</w:t>
      </w:r>
      <w:r>
        <w:rPr>
          <w:rFonts w:eastAsia="等线" w:ascii="Arial" w:cs="Arial" w:hAnsi="Arial"/>
          <w:sz w:val="22"/>
        </w:rPr>
        <w:t>并不能反映实际发生的情况；发生等级描述了在顾客使用中发生潜在失效的可能性；根据评级表，</w:t>
      </w:r>
      <w:r>
        <w:rPr>
          <w:rFonts w:eastAsia="等线" w:ascii="Arial" w:cs="Arial" w:hAnsi="Arial"/>
          <w:b w:val="true"/>
          <w:sz w:val="22"/>
        </w:rPr>
        <w:t>考虑已经完成的探测措施的控制结果</w:t>
      </w:r>
      <w:r>
        <w:rPr>
          <w:rFonts w:eastAsia="等线" w:ascii="Arial" w:cs="Arial" w:hAnsi="Arial"/>
          <w:sz w:val="22"/>
        </w:rPr>
        <w:t>。当失效原因被评定为发生时，应考虑当前预防措施有效性，评级的准确性取决于预防措施的描述，示例为通用标准，供参考；</w:t>
      </w:r>
    </w:p>
    <w:p>
      <w:pPr>
        <w:spacing w:before="120" w:after="120" w:line="288" w:lineRule="auto"/>
        <w:ind w:left="0"/>
        <w:jc w:val="left"/>
      </w:pPr>
      <w:r>
        <w:rPr>
          <w:rFonts w:eastAsia="等线" w:ascii="Arial" w:cs="Arial" w:hAnsi="Arial"/>
          <w:b w:val="true"/>
          <w:sz w:val="22"/>
        </w:rPr>
        <w:t>探测度</w:t>
      </w:r>
      <w:r>
        <w:rPr>
          <w:rFonts w:eastAsia="等线" w:ascii="Arial" w:cs="Arial" w:hAnsi="Arial"/>
          <w:sz w:val="22"/>
        </w:rPr>
        <w:t>：表示在项目批准生产前对失效原因或失效模式探测有效性的估计量度；探测等级是依据最有效的探测措施进行评估；示例提供三种方案，供参考。</w:t>
      </w:r>
    </w:p>
    <w:p>
      <w:pPr>
        <w:spacing w:before="120" w:after="120" w:line="288" w:lineRule="auto"/>
        <w:ind w:left="0"/>
        <w:jc w:val="left"/>
      </w:pPr>
      <w:r>
        <w:rPr>
          <w:rFonts w:eastAsia="等线" w:ascii="Arial" w:cs="Arial" w:hAnsi="Arial"/>
          <w:b w:val="true"/>
          <w:sz w:val="22"/>
        </w:rPr>
        <w:t>探测度评价标准适配关键点</w:t>
      </w:r>
      <w:r>
        <w:rPr>
          <w:rFonts w:eastAsia="等线" w:ascii="Arial" w:cs="Arial" w:hAnsi="Arial"/>
          <w:sz w:val="22"/>
        </w:rPr>
        <w:t>：</w:t>
      </w:r>
    </w:p>
    <w:p>
      <w:pPr>
        <w:spacing w:before="120" w:after="120" w:line="288" w:lineRule="auto"/>
        <w:ind w:left="0"/>
        <w:jc w:val="left"/>
      </w:pPr>
      <w:r>
        <w:rPr>
          <w:rFonts w:eastAsia="等线" w:ascii="Arial" w:cs="Arial" w:hAnsi="Arial"/>
          <w:sz w:val="22"/>
        </w:rPr>
        <w:t>①探测方法：</w:t>
      </w:r>
    </w:p>
    <w:p>
      <w:pPr>
        <w:spacing w:before="120" w:after="120" w:line="288" w:lineRule="auto"/>
        <w:ind w:left="0"/>
        <w:jc w:val="left"/>
      </w:pPr>
      <w:r>
        <w:rPr>
          <w:rFonts w:eastAsia="等线" w:ascii="Arial" w:cs="Arial" w:hAnsi="Arial"/>
          <w:sz w:val="22"/>
        </w:rPr>
        <w:t>A.边界试验的探测度＜常规条件的性能/功能试验的探测度；</w:t>
      </w:r>
    </w:p>
    <w:p>
      <w:pPr>
        <w:spacing w:before="120" w:after="120" w:line="288" w:lineRule="auto"/>
        <w:ind w:left="0"/>
        <w:jc w:val="left"/>
      </w:pPr>
      <w:r>
        <w:rPr>
          <w:rFonts w:eastAsia="等线" w:ascii="Arial" w:cs="Arial" w:hAnsi="Arial"/>
          <w:sz w:val="22"/>
        </w:rPr>
        <w:t>B.综合应力/多场景的探测度＜单一应力/场景的探测度；</w:t>
      </w:r>
    </w:p>
    <w:p>
      <w:pPr>
        <w:spacing w:before="120" w:after="120" w:line="288" w:lineRule="auto"/>
        <w:ind w:left="0"/>
        <w:jc w:val="left"/>
      </w:pPr>
      <w:r>
        <w:rPr>
          <w:rFonts w:eastAsia="等线" w:ascii="Arial" w:cs="Arial" w:hAnsi="Arial"/>
          <w:sz w:val="22"/>
        </w:rPr>
        <w:t>C.监控参数变化的探测度＜判定性能/功能是否满足要求的探测度</w:t>
      </w:r>
    </w:p>
    <w:p>
      <w:pPr>
        <w:spacing w:before="120" w:after="120" w:line="288" w:lineRule="auto"/>
        <w:ind w:left="0"/>
        <w:jc w:val="left"/>
      </w:pPr>
      <w:r>
        <w:rPr>
          <w:rFonts w:eastAsia="等线" w:ascii="Arial" w:cs="Arial" w:hAnsi="Arial"/>
          <w:sz w:val="22"/>
        </w:rPr>
        <w:t>②探测时机：早期探测优于后期探测（但取决于早期探测样件或工艺的成熟度）</w:t>
      </w:r>
    </w:p>
    <w:p>
      <w:pPr>
        <w:spacing w:before="120" w:after="120" w:line="288" w:lineRule="auto"/>
        <w:ind w:left="0"/>
        <w:jc w:val="left"/>
      </w:pPr>
      <w:r>
        <w:rPr>
          <w:rFonts w:eastAsia="等线" w:ascii="Arial" w:cs="Arial" w:hAnsi="Arial"/>
          <w:sz w:val="22"/>
        </w:rPr>
        <w:t>③探测对象：</w:t>
      </w:r>
    </w:p>
    <w:p>
      <w:pPr>
        <w:spacing w:before="120" w:after="120" w:line="288" w:lineRule="auto"/>
        <w:ind w:left="0"/>
        <w:jc w:val="left"/>
      </w:pPr>
      <w:r>
        <w:rPr>
          <w:rFonts w:eastAsia="等线" w:ascii="Arial" w:cs="Arial" w:hAnsi="Arial"/>
          <w:sz w:val="22"/>
        </w:rPr>
        <w:t>A.针对模块/部品的探测度＜针对系统/整机的探测度；</w:t>
      </w:r>
    </w:p>
    <w:p>
      <w:pPr>
        <w:spacing w:before="120" w:after="120" w:line="288" w:lineRule="auto"/>
        <w:ind w:left="0"/>
        <w:jc w:val="left"/>
      </w:pPr>
      <w:r>
        <w:rPr>
          <w:rFonts w:eastAsia="等线" w:ascii="Arial" w:cs="Arial" w:hAnsi="Arial"/>
          <w:sz w:val="22"/>
        </w:rPr>
        <w:t>B.针对失效原因的探测度＜针对失效模式的探测度；</w:t>
      </w:r>
    </w:p>
    <w:p>
      <w:pPr>
        <w:spacing w:before="120" w:after="120" w:line="288" w:lineRule="auto"/>
        <w:ind w:left="0"/>
        <w:jc w:val="left"/>
      </w:pPr>
      <w:r>
        <w:rPr>
          <w:rFonts w:eastAsia="等线" w:ascii="Arial" w:cs="Arial" w:hAnsi="Arial"/>
          <w:sz w:val="22"/>
        </w:rPr>
        <w:t>④标准定期验证与更新：收集测试、生产、市场反馈中的逃逸问题，反向审视FMEA中对应失效的探测度评分和探测措施是否有效，动态更新评价标准和探测方法库。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公司实际样例（每一行为一例）：</w:t>
      </w:r>
    </w:p>
    <w:p>
      <w:pPr>
        <w:spacing w:before="120" w:after="120" w:line="288" w:lineRule="auto"/>
        <w:ind w:left="0"/>
        <w:jc w:val="left"/>
      </w:pPr>
      <w:r>
        <w:rPr>
          <w:rFonts w:eastAsia="等线" w:ascii="Arial" w:cs="Arial" w:hAnsi="Arial"/>
          <w:b w:val="true"/>
          <w:sz w:val="22"/>
        </w:rPr>
        <w:t>严重度</w:t>
      </w:r>
    </w:p>
    <w:p>
      <w:pPr>
        <w:spacing w:before="120" w:after="120" w:line="288" w:lineRule="auto"/>
        <w:ind w:left="0"/>
        <w:jc w:val="left"/>
      </w:pPr>
      <w:r>
        <w:rPr>
          <w:rFonts w:eastAsia="等线" w:ascii="Arial" w:cs="Arial" w:hAnsi="Arial"/>
          <w:sz w:val="22"/>
        </w:rPr>
        <w:t>输入：潜在失效影响</w:t>
      </w:r>
    </w:p>
    <w:p>
      <w:pPr>
        <w:spacing w:before="120" w:after="120" w:line="288" w:lineRule="auto"/>
        <w:ind w:left="0"/>
        <w:jc w:val="left"/>
      </w:pPr>
      <w:r>
        <w:rPr>
          <w:rFonts w:eastAsia="等线" w:ascii="Arial" w:cs="Arial" w:hAnsi="Arial"/>
          <w:sz w:val="22"/>
        </w:rPr>
        <w:t>输出：严重度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460"/>
        <w:gridCol w:w="1245"/>
        <w:gridCol w:w="1575"/>
      </w:tblGrid>
      <w:tr>
        <w:tc>
          <w:tcPr>
            <w:tcW w:w="5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潜在失效影响</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严重度</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部品</w:t>
            </w:r>
          </w:p>
        </w:tc>
      </w:tr>
      <w:tr>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对主控：无法完成对该目标槽位线卡的初始化</w:t>
              <w:br/>
              <w:t>对交换机：该目标槽位的线卡无法使用</w:t>
              <w:br/>
            </w:r>
            <w:r>
              <w:rPr>
                <w:rFonts w:eastAsia="等线" w:ascii="Arial" w:cs="Arial" w:hAnsi="Arial"/>
                <w:sz w:val="22"/>
              </w:rPr>
              <w:t>对客户：该目标槽位的业务无法使用。</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SMI桥</w:t>
            </w:r>
          </w:p>
        </w:tc>
      </w:tr>
      <w:tr>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对主控：对某个槽位的状态会误判，会触发告警。</w:t>
              <w:br/>
              <w:t>对交换机：线卡的工作状态会不正常。</w:t>
              <w:br/>
            </w:r>
            <w:r>
              <w:rPr>
                <w:rFonts w:eastAsia="等线" w:ascii="Arial" w:cs="Arial" w:hAnsi="Arial"/>
                <w:sz w:val="22"/>
              </w:rPr>
              <w:t>对客户：业务会受影响，会时断时续。</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SMI桥</w:t>
            </w:r>
          </w:p>
        </w:tc>
      </w:tr>
      <w:tr>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对单板：影响输出时钟频率/信号质量，导致后级芯片无法正常工作</w:t>
              <w:br/>
            </w:r>
            <w:r>
              <w:rPr>
                <w:rFonts w:eastAsia="等线" w:ascii="Arial" w:cs="Arial" w:hAnsi="Arial"/>
                <w:sz w:val="22"/>
              </w:rPr>
              <w:t>对整机：影响整机启动，及正常业务配置</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时钟</w:t>
            </w:r>
          </w:p>
        </w:tc>
      </w:tr>
      <w:tr>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对单板：锁相无法同步上游时钟输入，导致单板业务无法同步上游设备</w:t>
              <w:br/>
              <w:t>对整机：影响同步功能，不影响业务</w:t>
              <w:br/>
            </w:r>
            <w:r>
              <w:rPr>
                <w:rFonts w:eastAsia="等线" w:ascii="Arial" w:cs="Arial" w:hAnsi="Arial"/>
                <w:sz w:val="22"/>
              </w:rPr>
              <w:t>对客户：无法提供synce&amp;1588同步功能，使用场景受限</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时钟</w:t>
            </w:r>
          </w:p>
        </w:tc>
      </w:tr>
      <w:tr>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终端无法和AP进行数据交互，出现断关联。</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射频</w:t>
            </w:r>
          </w:p>
        </w:tc>
      </w:tr>
      <w:tr>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终端和AP数据交互出现延迟、卡顿，影响使用体验</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射频</w:t>
            </w:r>
          </w:p>
        </w:tc>
      </w:tr>
    </w:tbl>
    <w:p>
      <w:pPr>
        <w:spacing w:before="120" w:after="120" w:line="288" w:lineRule="auto"/>
        <w:ind w:left="0"/>
        <w:jc w:val="left"/>
      </w:pPr>
      <w:r>
        <w:rPr>
          <w:rFonts w:eastAsia="等线" w:ascii="Arial" w:cs="Arial" w:hAnsi="Arial"/>
          <w:b w:val="true"/>
          <w:sz w:val="22"/>
        </w:rPr>
        <w:t>发生度（频度）-模式2</w:t>
      </w:r>
    </w:p>
    <w:p>
      <w:pPr>
        <w:spacing w:before="120" w:after="120" w:line="288" w:lineRule="auto"/>
        <w:ind w:left="0"/>
        <w:jc w:val="left"/>
      </w:pPr>
      <w:r>
        <w:rPr>
          <w:rFonts w:eastAsia="等线" w:ascii="Arial" w:cs="Arial" w:hAnsi="Arial"/>
          <w:sz w:val="22"/>
        </w:rPr>
        <w:t>输入：失效潜在原因，预防措施；</w:t>
      </w:r>
    </w:p>
    <w:p>
      <w:pPr>
        <w:spacing w:before="120" w:after="120" w:line="288" w:lineRule="auto"/>
        <w:ind w:left="0"/>
        <w:jc w:val="left"/>
      </w:pPr>
      <w:r>
        <w:rPr>
          <w:rFonts w:eastAsia="等线" w:ascii="Arial" w:cs="Arial" w:hAnsi="Arial"/>
          <w:sz w:val="22"/>
        </w:rPr>
        <w:t>输出：发生度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95"/>
        <w:gridCol w:w="2205"/>
        <w:gridCol w:w="1470"/>
        <w:gridCol w:w="1110"/>
      </w:tblGrid>
      <w:tr>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失效潜在原因</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发生度</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预防措施</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部品</w:t>
            </w:r>
          </w:p>
        </w:tc>
      </w:tr>
      <w:tr>
        <w:tc>
          <w:tcPr>
            <w:tcW w:w="3495" w:type="dxa"/>
            <w:tcMar>
              <w:top w:type="dxa" w:w="60"/>
              <w:left w:type="dxa" w:w="120"/>
              <w:bottom w:type="dxa" w:w="30"/>
              <w:right w:type="dxa" w:w="120"/>
            </w:tcMar>
          </w:tcPr>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r>
      <w:tr>
        <w:tc>
          <w:tcPr>
            <w:tcW w:w="3495" w:type="dxa"/>
            <w:tcMar>
              <w:top w:type="dxa" w:w="60"/>
              <w:left w:type="dxa" w:w="120"/>
              <w:bottom w:type="dxa" w:w="30"/>
              <w:right w:type="dxa" w:w="120"/>
            </w:tcMar>
          </w:tcPr>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r>
      <w:tr>
        <w:tc>
          <w:tcPr>
            <w:tcW w:w="3495" w:type="dxa"/>
            <w:tcMar>
              <w:top w:type="dxa" w:w="60"/>
              <w:left w:type="dxa" w:w="120"/>
              <w:bottom w:type="dxa" w:w="30"/>
              <w:right w:type="dxa" w:w="120"/>
            </w:tcMar>
          </w:tcPr>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r>
      <w:tr>
        <w:tc>
          <w:tcPr>
            <w:tcW w:w="3495" w:type="dxa"/>
            <w:tcMar>
              <w:top w:type="dxa" w:w="60"/>
              <w:left w:type="dxa" w:w="120"/>
              <w:bottom w:type="dxa" w:w="30"/>
              <w:right w:type="dxa" w:w="120"/>
            </w:tcMar>
          </w:tcPr>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r>
      <w:tr>
        <w:tc>
          <w:tcPr>
            <w:tcW w:w="3495" w:type="dxa"/>
            <w:tcMar>
              <w:top w:type="dxa" w:w="60"/>
              <w:left w:type="dxa" w:w="120"/>
              <w:bottom w:type="dxa" w:w="30"/>
              <w:right w:type="dxa" w:w="120"/>
            </w:tcMar>
          </w:tcPr>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r>
      <w:tr>
        <w:tc>
          <w:tcPr>
            <w:tcW w:w="3495" w:type="dxa"/>
            <w:tcMar>
              <w:top w:type="dxa" w:w="60"/>
              <w:left w:type="dxa" w:w="120"/>
              <w:bottom w:type="dxa" w:w="30"/>
              <w:right w:type="dxa" w:w="120"/>
            </w:tcMar>
          </w:tcPr>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探测度</w:t>
      </w:r>
    </w:p>
    <w:p>
      <w:pPr>
        <w:spacing w:before="120" w:after="120" w:line="288" w:lineRule="auto"/>
        <w:ind w:left="0"/>
        <w:jc w:val="left"/>
      </w:pPr>
      <w:r>
        <w:rPr>
          <w:rFonts w:eastAsia="等线" w:ascii="Arial" w:cs="Arial" w:hAnsi="Arial"/>
          <w:sz w:val="22"/>
        </w:rPr>
        <w:t>输入：潜在失效模式，失效潜在原因，探测措施</w:t>
      </w:r>
    </w:p>
    <w:p>
      <w:pPr>
        <w:spacing w:before="120" w:after="120" w:line="288" w:lineRule="auto"/>
        <w:ind w:left="0"/>
        <w:jc w:val="left"/>
      </w:pPr>
      <w:r>
        <w:rPr>
          <w:rFonts w:eastAsia="等线" w:ascii="Arial" w:cs="Arial" w:hAnsi="Arial"/>
          <w:sz w:val="22"/>
        </w:rPr>
        <w:t>输出：探测度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0"/>
        <w:gridCol w:w="2130"/>
        <w:gridCol w:w="1425"/>
        <w:gridCol w:w="1080"/>
        <w:gridCol w:w="1080"/>
      </w:tblGrid>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潜在失效模式</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失效潜在原因</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探测措施</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探测度</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部品</w:t>
            </w:r>
          </w:p>
        </w:tc>
      </w:tr>
      <w:tr>
        <w:tc>
          <w:tcPr>
            <w:tcW w:w="2550" w:type="dxa"/>
            <w:tcMar>
              <w:top w:type="dxa" w:w="60"/>
              <w:left w:type="dxa" w:w="120"/>
              <w:bottom w:type="dxa" w:w="30"/>
              <w:right w:type="dxa" w:w="120"/>
            </w:tcMar>
          </w:tcPr>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0" w:id="40"/>
      <w:r>
        <w:rPr>
          <w:rFonts w:eastAsia="等线" w:ascii="Arial" w:cs="Arial" w:hAnsi="Arial"/>
          <w:color w:val="3370ff"/>
          <w:sz w:val="32"/>
        </w:rPr>
        <w:t xml:space="preserve">3.13 </w:t>
      </w:r>
      <w:r>
        <w:rPr>
          <w:rFonts w:eastAsia="等线" w:ascii="Arial" w:cs="Arial" w:hAnsi="Arial"/>
          <w:b w:val="true"/>
          <w:sz w:val="32"/>
        </w:rPr>
        <w:t>模型13：预评审模型（AI）</w:t>
      </w:r>
      <w:bookmarkEnd w:id="40"/>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3.13.1 </w:t>
      </w:r>
      <w:r>
        <w:rPr>
          <w:rFonts w:eastAsia="等线" w:ascii="Arial" w:cs="Arial" w:hAnsi="Arial"/>
          <w:b w:val="true"/>
          <w:sz w:val="30"/>
        </w:rPr>
        <w:t>目标</w:t>
      </w:r>
      <w:r>
        <w:rPr>
          <w:rFonts w:eastAsia="等线" w:ascii="Arial" w:cs="Arial" w:hAnsi="Arial"/>
          <w:b w:val="true"/>
          <w:sz w:val="30"/>
        </w:rPr>
        <w:t>：</w:t>
      </w:r>
      <w:bookmarkEnd w:id="41"/>
    </w:p>
    <w:p>
      <w:pPr>
        <w:numPr>
          <w:numId w:val="122"/>
        </w:numPr>
        <w:spacing w:before="120" w:after="120" w:line="288" w:lineRule="auto"/>
        <w:ind w:left="0"/>
        <w:jc w:val="left"/>
      </w:pPr>
      <w:r>
        <w:rPr>
          <w:rFonts w:eastAsia="等线" w:ascii="Arial" w:cs="Arial" w:hAnsi="Arial"/>
          <w:sz w:val="22"/>
        </w:rPr>
        <w:t>补全人工未识别的风险（特别是界面/接口/交互类、环境耦合类）；</w:t>
      </w:r>
    </w:p>
    <w:p>
      <w:pPr>
        <w:numPr>
          <w:numId w:val="123"/>
        </w:numPr>
        <w:spacing w:before="120" w:after="120" w:line="288" w:lineRule="auto"/>
        <w:ind w:left="0"/>
        <w:jc w:val="left"/>
      </w:pPr>
      <w:r>
        <w:rPr>
          <w:rFonts w:eastAsia="等线" w:ascii="Arial" w:cs="Arial" w:hAnsi="Arial"/>
          <w:sz w:val="22"/>
        </w:rPr>
        <w:t>检验FMEA分析的</w:t>
      </w:r>
      <w:r>
        <w:rPr>
          <w:rFonts w:eastAsia="等线" w:ascii="Arial" w:cs="Arial" w:hAnsi="Arial"/>
          <w:b w:val="true"/>
          <w:sz w:val="22"/>
        </w:rPr>
        <w:t>系统性完整性</w:t>
      </w:r>
      <w:r>
        <w:rPr>
          <w:rFonts w:eastAsia="等线" w:ascii="Arial" w:cs="Arial" w:hAnsi="Arial"/>
          <w:sz w:val="22"/>
        </w:rPr>
        <w:t>（结构-功能-失效-措施是否闭环）；</w:t>
      </w:r>
    </w:p>
    <w:p>
      <w:pPr>
        <w:numPr>
          <w:numId w:val="124"/>
        </w:numPr>
        <w:spacing w:before="120" w:after="120" w:line="288" w:lineRule="auto"/>
        <w:ind w:left="0"/>
        <w:jc w:val="left"/>
      </w:pPr>
      <w:r>
        <w:rPr>
          <w:rFonts w:eastAsia="等线" w:ascii="Arial" w:cs="Arial" w:hAnsi="Arial"/>
          <w:sz w:val="22"/>
        </w:rPr>
        <w:t>针对</w:t>
      </w:r>
      <w:r>
        <w:rPr>
          <w:rFonts w:eastAsia="等线" w:ascii="Arial" w:cs="Arial" w:hAnsi="Arial"/>
          <w:b w:val="true"/>
          <w:sz w:val="22"/>
        </w:rPr>
        <w:t>变更点</w:t>
      </w:r>
      <w:r>
        <w:rPr>
          <w:rFonts w:eastAsia="等线" w:ascii="Arial" w:cs="Arial" w:hAnsi="Arial"/>
          <w:sz w:val="22"/>
        </w:rPr>
        <w:t>，预测其涟漪影响（传播到非直接关联的部件/功能）</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3.13.2 </w:t>
      </w:r>
      <w:r>
        <w:rPr>
          <w:rFonts w:eastAsia="等线" w:ascii="Arial" w:cs="Arial" w:hAnsi="Arial"/>
          <w:b w:val="true"/>
          <w:sz w:val="30"/>
        </w:rPr>
        <w:t>输入</w:t>
      </w:r>
      <w:r>
        <w:rPr>
          <w:rFonts w:eastAsia="等线" w:ascii="Arial" w:cs="Arial" w:hAnsi="Arial"/>
          <w:b w:val="true"/>
          <w:sz w:val="30"/>
        </w:rPr>
        <w:t>（从FMEA IT系统自动抽取）：</w:t>
      </w:r>
      <w:bookmarkEnd w:id="42"/>
    </w:p>
    <w:p>
      <w:pPr>
        <w:numPr>
          <w:numId w:val="125"/>
        </w:numPr>
        <w:spacing w:before="120" w:after="120" w:line="288" w:lineRule="auto"/>
        <w:ind w:left="0"/>
        <w:jc w:val="left"/>
      </w:pPr>
      <w:r>
        <w:rPr>
          <w:rFonts w:eastAsia="等线" w:ascii="Arial" w:cs="Arial" w:hAnsi="Arial"/>
          <w:sz w:val="22"/>
        </w:rPr>
        <w:t>变更点清单（含变更前后描述、影响范围初步判断）及DRBFM触发评估表；</w:t>
      </w:r>
    </w:p>
    <w:p>
      <w:pPr>
        <w:numPr>
          <w:numId w:val="126"/>
        </w:numPr>
        <w:spacing w:before="120" w:after="120" w:line="288" w:lineRule="auto"/>
        <w:ind w:left="0"/>
        <w:jc w:val="left"/>
      </w:pPr>
      <w:r>
        <w:rPr>
          <w:rFonts w:eastAsia="等线" w:ascii="Arial" w:cs="Arial" w:hAnsi="Arial"/>
          <w:sz w:val="22"/>
        </w:rPr>
        <w:t>结构框图；</w:t>
      </w:r>
    </w:p>
    <w:p>
      <w:pPr>
        <w:numPr>
          <w:numId w:val="127"/>
        </w:numPr>
        <w:spacing w:before="120" w:after="120" w:line="288" w:lineRule="auto"/>
        <w:ind w:left="0"/>
        <w:jc w:val="left"/>
      </w:pPr>
      <w:r>
        <w:rPr>
          <w:rFonts w:eastAsia="等线" w:ascii="Arial" w:cs="Arial" w:hAnsi="Arial"/>
          <w:sz w:val="22"/>
        </w:rPr>
        <w:t>功能矩阵；</w:t>
      </w:r>
    </w:p>
    <w:p>
      <w:pPr>
        <w:numPr>
          <w:numId w:val="128"/>
        </w:numPr>
        <w:spacing w:before="120" w:after="120" w:line="288" w:lineRule="auto"/>
        <w:ind w:left="0"/>
        <w:jc w:val="left"/>
      </w:pPr>
      <w:r>
        <w:rPr>
          <w:rFonts w:eastAsia="等线" w:ascii="Arial" w:cs="Arial" w:hAnsi="Arial"/>
          <w:sz w:val="22"/>
        </w:rPr>
        <w:t>已完成的初版DRBFM（系统级与部品级，可能不完整）；</w:t>
      </w:r>
    </w:p>
    <w:p>
      <w:pPr>
        <w:numPr>
          <w:numId w:val="129"/>
        </w:numPr>
        <w:spacing w:before="120" w:after="120" w:line="288" w:lineRule="auto"/>
        <w:ind w:left="0"/>
        <w:jc w:val="left"/>
      </w:pPr>
      <w:r>
        <w:rPr>
          <w:rFonts w:eastAsia="等线" w:ascii="Arial" w:cs="Arial" w:hAnsi="Arial"/>
          <w:sz w:val="22"/>
        </w:rPr>
        <w:t>历史项目FMEA库（同产品族/平台）（</w:t>
      </w:r>
      <w:r>
        <w:rPr>
          <w:rFonts w:eastAsia="等线" w:ascii="Arial" w:cs="Arial" w:hAnsi="Arial"/>
          <w:b w:val="true"/>
          <w:sz w:val="22"/>
        </w:rPr>
        <w:t>如有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3.13.3 </w:t>
      </w:r>
      <w:r>
        <w:rPr>
          <w:rFonts w:eastAsia="等线" w:ascii="Arial" w:cs="Arial" w:hAnsi="Arial"/>
          <w:b w:val="true"/>
          <w:sz w:val="30"/>
        </w:rPr>
        <w:t>输出</w:t>
      </w:r>
      <w:r>
        <w:rPr>
          <w:rFonts w:eastAsia="等线" w:ascii="Arial" w:cs="Arial" w:hAnsi="Arial"/>
          <w:b w:val="true"/>
          <w:sz w:val="30"/>
        </w:rPr>
        <w:t>：</w:t>
      </w:r>
      <w:bookmarkEnd w:id="43"/>
    </w:p>
    <w:p>
      <w:pPr>
        <w:numPr>
          <w:numId w:val="130"/>
        </w:numPr>
        <w:spacing w:before="120" w:after="120" w:line="288" w:lineRule="auto"/>
        <w:ind w:left="0"/>
        <w:jc w:val="left"/>
      </w:pPr>
      <w:r>
        <w:rPr>
          <w:rFonts w:eastAsia="等线" w:ascii="Arial" w:cs="Arial" w:hAnsi="Arial"/>
          <w:sz w:val="22"/>
        </w:rPr>
        <w:t>风险遗漏清单（按严重度/发生度排序）；</w:t>
      </w:r>
    </w:p>
    <w:p>
      <w:pPr>
        <w:numPr>
          <w:numId w:val="131"/>
        </w:numPr>
        <w:spacing w:before="120" w:after="120" w:line="288" w:lineRule="auto"/>
        <w:ind w:left="0"/>
        <w:jc w:val="left"/>
      </w:pPr>
      <w:r>
        <w:rPr>
          <w:rFonts w:eastAsia="等线" w:ascii="Arial" w:cs="Arial" w:hAnsi="Arial"/>
          <w:sz w:val="22"/>
        </w:rPr>
        <w:t>系统性问题报告（结构断裂、功能孤岛、变更涟漪未覆盖）；</w:t>
      </w:r>
    </w:p>
    <w:p>
      <w:pPr>
        <w:numPr>
          <w:numId w:val="132"/>
        </w:numPr>
        <w:spacing w:before="120" w:after="120" w:line="288" w:lineRule="auto"/>
        <w:ind w:left="0"/>
        <w:jc w:val="left"/>
      </w:pPr>
      <w:r>
        <w:rPr>
          <w:rFonts w:eastAsia="等线" w:ascii="Arial" w:cs="Arial" w:hAnsi="Arial"/>
          <w:sz w:val="22"/>
        </w:rPr>
        <w:t>建议补充的分析项（如：需增加某项界面失效模式）</w:t>
      </w:r>
    </w:p>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3.13.4 </w:t>
      </w:r>
      <w:r>
        <w:rPr>
          <w:rFonts w:eastAsia="等线" w:ascii="Arial" w:cs="Arial" w:hAnsi="Arial"/>
          <w:b w:val="true"/>
          <w:sz w:val="30"/>
        </w:rPr>
        <w:t>模型内部设计（分四大引擎）</w:t>
      </w:r>
      <w:bookmarkEnd w:id="44"/>
    </w:p>
    <w:p>
      <w:pPr>
        <w:spacing w:before="120" w:after="120" w:line="288" w:lineRule="auto"/>
        <w:ind w:left="0"/>
        <w:jc w:val="left"/>
      </w:pPr>
      <w:r>
        <w:rPr>
          <w:rFonts w:eastAsia="等线" w:ascii="Arial" w:cs="Arial" w:hAnsi="Arial"/>
          <w:sz w:val="22"/>
        </w:rPr>
        <w:t>整个预评审模型由四个并行的AI引擎组成，每个引擎处理一类典型遗漏。</w:t>
      </w:r>
    </w:p>
    <w:p>
      <w:pPr>
        <w:numPr>
          <w:numId w:val="133"/>
        </w:numPr>
        <w:spacing w:before="120" w:after="120" w:line="288" w:lineRule="auto"/>
        <w:ind w:left="0"/>
        <w:jc w:val="left"/>
      </w:pPr>
      <w:r>
        <w:rPr>
          <w:rFonts w:eastAsia="等线" w:ascii="Arial" w:cs="Arial" w:hAnsi="Arial"/>
          <w:b w:val="true"/>
          <w:sz w:val="22"/>
        </w:rPr>
        <w:t>引擎1</w:t>
      </w:r>
      <w:r>
        <w:rPr>
          <w:rFonts w:eastAsia="等线" w:ascii="Arial" w:cs="Arial" w:hAnsi="Arial"/>
          <w:sz w:val="22"/>
        </w:rPr>
        <w:t>：</w:t>
      </w:r>
      <w:r>
        <w:rPr>
          <w:rFonts w:eastAsia="等线" w:ascii="Arial" w:cs="Arial" w:hAnsi="Arial"/>
          <w:b w:val="true"/>
          <w:sz w:val="22"/>
        </w:rPr>
        <w:t>变更涟漪分析引擎</w:t>
      </w:r>
    </w:p>
    <w:p>
      <w:pPr>
        <w:numPr>
          <w:numId w:val="134"/>
        </w:numPr>
        <w:spacing w:before="120" w:after="120" w:line="288" w:lineRule="auto"/>
        <w:ind w:left="453"/>
        <w:jc w:val="left"/>
      </w:pPr>
      <w:r>
        <w:rPr>
          <w:rFonts w:eastAsia="等线" w:ascii="Arial" w:cs="Arial" w:hAnsi="Arial"/>
          <w:b w:val="true"/>
          <w:sz w:val="22"/>
        </w:rPr>
        <w:t>原理</w:t>
      </w:r>
      <w:r>
        <w:rPr>
          <w:rFonts w:eastAsia="等线" w:ascii="Arial" w:cs="Arial" w:hAnsi="Arial"/>
          <w:sz w:val="22"/>
        </w:rPr>
        <w:t>：基于图神经网络（GNN）学习历史变更传播模式。构建产品结构图+功能依赖图，节点为部件/功能，边为“物理连接”“信号交互”“能量传递”“物质交换”等关系；</w:t>
      </w:r>
    </w:p>
    <w:p>
      <w:pPr>
        <w:numPr>
          <w:numId w:val="135"/>
        </w:numPr>
        <w:spacing w:before="120" w:after="120" w:line="288" w:lineRule="auto"/>
        <w:ind w:left="453"/>
        <w:jc w:val="left"/>
      </w:pPr>
      <w:r>
        <w:rPr>
          <w:rFonts w:eastAsia="等线" w:ascii="Arial" w:cs="Arial" w:hAnsi="Arial"/>
          <w:b w:val="true"/>
          <w:sz w:val="22"/>
        </w:rPr>
        <w:t>对输入的变更点清单</w:t>
      </w:r>
      <w:r>
        <w:rPr>
          <w:rFonts w:eastAsia="等线" w:ascii="Arial" w:cs="Arial" w:hAnsi="Arial"/>
          <w:sz w:val="22"/>
        </w:rPr>
        <w:t>：将每个变更点映射到图中对应节点，执行</w:t>
      </w:r>
      <w:r>
        <w:rPr>
          <w:rFonts w:eastAsia="等线" w:ascii="Arial" w:cs="Arial" w:hAnsi="Arial"/>
          <w:b w:val="true"/>
          <w:sz w:val="22"/>
        </w:rPr>
        <w:t>影响传播模拟</w:t>
      </w:r>
      <w:r>
        <w:rPr>
          <w:rFonts w:eastAsia="等线" w:ascii="Arial" w:cs="Arial" w:hAnsi="Arial"/>
          <w:sz w:val="22"/>
        </w:rPr>
        <w:t>（如PageRank变体，或基于Transformer的路径预测）；</w:t>
      </w:r>
    </w:p>
    <w:p>
      <w:pPr>
        <w:numPr>
          <w:numId w:val="136"/>
        </w:numPr>
        <w:spacing w:before="120" w:after="120" w:line="288" w:lineRule="auto"/>
        <w:ind w:left="453"/>
        <w:jc w:val="left"/>
      </w:pPr>
      <w:r>
        <w:rPr>
          <w:rFonts w:eastAsia="等线" w:ascii="Arial" w:cs="Arial" w:hAnsi="Arial"/>
          <w:b w:val="true"/>
          <w:sz w:val="22"/>
        </w:rPr>
        <w:t>输出遗漏风险</w:t>
      </w:r>
      <w:r>
        <w:rPr>
          <w:rFonts w:eastAsia="等线" w:ascii="Arial" w:cs="Arial" w:hAnsi="Arial"/>
          <w:sz w:val="22"/>
        </w:rPr>
        <w:t>：例如“变更A仅分析了直接关联的部件X、Y，但模型预测有68%概率影响到远程部件Z（通过散热气流路径），建议增加Z的失效模式分析”；</w:t>
      </w:r>
    </w:p>
    <w:p>
      <w:pPr>
        <w:numPr>
          <w:numId w:val="137"/>
        </w:numPr>
        <w:spacing w:before="120" w:after="120" w:line="288" w:lineRule="auto"/>
        <w:ind w:left="453"/>
        <w:jc w:val="left"/>
      </w:pPr>
      <w:r>
        <w:rPr>
          <w:rFonts w:eastAsia="等线" w:ascii="Arial" w:cs="Arial" w:hAnsi="Arial"/>
          <w:b w:val="true"/>
          <w:sz w:val="22"/>
        </w:rPr>
        <w:t>通讯行业特色</w:t>
      </w:r>
      <w:r>
        <w:rPr>
          <w:rFonts w:eastAsia="等线" w:ascii="Arial" w:cs="Arial" w:hAnsi="Arial"/>
          <w:sz w:val="22"/>
        </w:rPr>
        <w:t>：内置通讯特有关系，如射频干扰路径、协议栈依赖、热-电耦合。</w:t>
      </w:r>
    </w:p>
    <w:p>
      <w:pPr>
        <w:numPr>
          <w:numId w:val="138"/>
        </w:numPr>
        <w:spacing w:before="120" w:after="120" w:line="288" w:lineRule="auto"/>
        <w:ind w:left="0"/>
        <w:jc w:val="left"/>
      </w:pPr>
      <w:r>
        <w:rPr>
          <w:rFonts w:eastAsia="等线" w:ascii="Arial" w:cs="Arial" w:hAnsi="Arial"/>
          <w:b w:val="true"/>
          <w:sz w:val="22"/>
        </w:rPr>
        <w:t>引擎2</w:t>
      </w:r>
      <w:r>
        <w:rPr>
          <w:rFonts w:eastAsia="等线" w:ascii="Arial" w:cs="Arial" w:hAnsi="Arial"/>
          <w:sz w:val="22"/>
        </w:rPr>
        <w:t>：</w:t>
      </w:r>
      <w:r>
        <w:rPr>
          <w:rFonts w:eastAsia="等线" w:ascii="Arial" w:cs="Arial" w:hAnsi="Arial"/>
          <w:b w:val="true"/>
          <w:sz w:val="22"/>
        </w:rPr>
        <w:t>结构-功能闭环检验引擎</w:t>
      </w:r>
    </w:p>
    <w:p>
      <w:pPr>
        <w:numPr>
          <w:numId w:val="139"/>
        </w:numPr>
        <w:spacing w:before="120" w:after="120" w:line="288" w:lineRule="auto"/>
        <w:ind w:left="453"/>
        <w:jc w:val="left"/>
      </w:pPr>
      <w:r>
        <w:rPr>
          <w:rFonts w:eastAsia="等线" w:ascii="Arial" w:cs="Arial" w:hAnsi="Arial"/>
          <w:b w:val="true"/>
          <w:sz w:val="22"/>
        </w:rPr>
        <w:t>原理</w:t>
      </w:r>
      <w:r>
        <w:rPr>
          <w:rFonts w:eastAsia="等线" w:ascii="Arial" w:cs="Arial" w:hAnsi="Arial"/>
          <w:sz w:val="22"/>
        </w:rPr>
        <w:t>：将结构与功能进行</w:t>
      </w:r>
      <w:r>
        <w:rPr>
          <w:rFonts w:eastAsia="等线" w:ascii="Arial" w:cs="Arial" w:hAnsi="Arial"/>
          <w:b w:val="true"/>
          <w:sz w:val="22"/>
        </w:rPr>
        <w:t>严格的对齐匹配</w:t>
      </w:r>
      <w:r>
        <w:rPr>
          <w:rFonts w:eastAsia="等线" w:ascii="Arial" w:cs="Arial" w:hAnsi="Arial"/>
          <w:sz w:val="22"/>
        </w:rPr>
        <w:t>。使用NLP（如BERT微调）从功能描述中提取“隐含涉及部件”，并与结构框图对比。</w:t>
      </w:r>
    </w:p>
    <w:p>
      <w:pPr>
        <w:numPr>
          <w:numId w:val="140"/>
        </w:numPr>
        <w:spacing w:before="120" w:after="120" w:line="288" w:lineRule="auto"/>
        <w:ind w:left="453"/>
        <w:jc w:val="left"/>
      </w:pPr>
      <w:r>
        <w:rPr>
          <w:rFonts w:eastAsia="等线" w:ascii="Arial" w:cs="Arial" w:hAnsi="Arial"/>
          <w:b w:val="true"/>
          <w:sz w:val="22"/>
        </w:rPr>
        <w:t>检验系统性问题</w:t>
      </w:r>
      <w:r>
        <w:rPr>
          <w:rFonts w:eastAsia="等线" w:ascii="Arial" w:cs="Arial" w:hAnsi="Arial"/>
          <w:sz w:val="22"/>
        </w:rPr>
        <w:t>：是否存在“功能孤岛”（某功能未分配给任何部件）或“多余结构”（某部件不贡献任何功能）。人工常遗漏功能与结构的不匹配。</w:t>
      </w:r>
    </w:p>
    <w:p>
      <w:pPr>
        <w:numPr>
          <w:numId w:val="141"/>
        </w:numPr>
        <w:spacing w:before="120" w:after="120" w:line="288" w:lineRule="auto"/>
        <w:ind w:left="453"/>
        <w:jc w:val="left"/>
      </w:pPr>
      <w:r>
        <w:rPr>
          <w:rFonts w:eastAsia="等线" w:ascii="Arial" w:cs="Arial" w:hAnsi="Arial"/>
          <w:b w:val="true"/>
          <w:sz w:val="22"/>
        </w:rPr>
        <w:t>针对DRBFM</w:t>
      </w:r>
      <w:r>
        <w:rPr>
          <w:rFonts w:eastAsia="等线" w:ascii="Arial" w:cs="Arial" w:hAnsi="Arial"/>
          <w:sz w:val="22"/>
        </w:rPr>
        <w:t>：重点检查变更相关功能是否在变更后的结构中完整覆盖。例如：“基站散热功能依赖于风扇与散热齿，但变更仅修改了风扇，模型发现散热齿的边界条件未重新分析，建议补充。”</w:t>
      </w:r>
    </w:p>
    <w:p>
      <w:pPr>
        <w:numPr>
          <w:numId w:val="142"/>
        </w:numPr>
        <w:spacing w:before="120" w:after="120" w:line="288" w:lineRule="auto"/>
        <w:ind w:left="0"/>
        <w:jc w:val="left"/>
      </w:pPr>
      <w:r>
        <w:rPr>
          <w:rFonts w:eastAsia="等线" w:ascii="Arial" w:cs="Arial" w:hAnsi="Arial"/>
          <w:b w:val="true"/>
          <w:sz w:val="22"/>
        </w:rPr>
        <w:t>引擎3</w:t>
      </w:r>
      <w:r>
        <w:rPr>
          <w:rFonts w:eastAsia="等线" w:ascii="Arial" w:cs="Arial" w:hAnsi="Arial"/>
          <w:sz w:val="22"/>
        </w:rPr>
        <w:t>：</w:t>
      </w:r>
      <w:r>
        <w:rPr>
          <w:rFonts w:eastAsia="等线" w:ascii="Arial" w:cs="Arial" w:hAnsi="Arial"/>
          <w:b w:val="true"/>
          <w:sz w:val="22"/>
        </w:rPr>
        <w:t>接口与交互风险挖掘引擎</w:t>
      </w:r>
    </w:p>
    <w:p>
      <w:pPr>
        <w:numPr>
          <w:numId w:val="143"/>
        </w:numPr>
        <w:spacing w:before="120" w:after="120" w:line="288" w:lineRule="auto"/>
        <w:ind w:left="453"/>
        <w:jc w:val="left"/>
      </w:pPr>
      <w:r>
        <w:rPr>
          <w:rFonts w:eastAsia="等线" w:ascii="Arial" w:cs="Arial" w:hAnsi="Arial"/>
          <w:b w:val="true"/>
          <w:sz w:val="22"/>
        </w:rPr>
        <w:t>原理</w:t>
      </w:r>
      <w:r>
        <w:rPr>
          <w:rFonts w:eastAsia="等线" w:ascii="Arial" w:cs="Arial" w:hAnsi="Arial"/>
          <w:sz w:val="22"/>
        </w:rPr>
        <w:t>：使用</w:t>
      </w:r>
      <w:r>
        <w:rPr>
          <w:rFonts w:eastAsia="等线" w:ascii="Arial" w:cs="Arial" w:hAnsi="Arial"/>
          <w:b w:val="true"/>
          <w:sz w:val="22"/>
        </w:rPr>
        <w:t>基于知识图谱的关联规则挖掘</w:t>
      </w:r>
      <w:r>
        <w:rPr>
          <w:rFonts w:eastAsia="等线" w:ascii="Arial" w:cs="Arial" w:hAnsi="Arial"/>
          <w:sz w:val="22"/>
        </w:rPr>
        <w:t>。图谱中包含“失效模式-位置-接口类型”三元组，以及通讯行业典型接口失效库（如连接器微动腐蚀、屏蔽衬垫老化）。</w:t>
      </w:r>
    </w:p>
    <w:p>
      <w:pPr>
        <w:numPr>
          <w:numId w:val="144"/>
        </w:numPr>
        <w:spacing w:before="120" w:after="120" w:line="288" w:lineRule="auto"/>
        <w:ind w:left="453"/>
        <w:jc w:val="left"/>
      </w:pPr>
      <w:r>
        <w:rPr>
          <w:rFonts w:eastAsia="等线" w:ascii="Arial" w:cs="Arial" w:hAnsi="Arial"/>
          <w:b w:val="true"/>
          <w:sz w:val="22"/>
        </w:rPr>
        <w:t>对变更点</w:t>
      </w:r>
      <w:r>
        <w:rPr>
          <w:rFonts w:eastAsia="等线" w:ascii="Arial" w:cs="Arial" w:hAnsi="Arial"/>
          <w:sz w:val="22"/>
        </w:rPr>
        <w:t>：自动提取变更部件参与的接口（如板间连接器、线缆、冷板接触面）。然后检索历史项目中同类接口的高发失效模式，对比当前FMEA是否已涵盖。</w:t>
      </w:r>
    </w:p>
    <w:p>
      <w:pPr>
        <w:numPr>
          <w:numId w:val="145"/>
        </w:numPr>
        <w:spacing w:before="120" w:after="120" w:line="288" w:lineRule="auto"/>
        <w:ind w:left="453"/>
        <w:jc w:val="left"/>
      </w:pPr>
      <w:r>
        <w:rPr>
          <w:rFonts w:eastAsia="等线" w:ascii="Arial" w:cs="Arial" w:hAnsi="Arial"/>
          <w:b w:val="true"/>
          <w:sz w:val="22"/>
        </w:rPr>
        <w:t>输出</w:t>
      </w:r>
      <w:r>
        <w:rPr>
          <w:rFonts w:eastAsia="等线" w:ascii="Arial" w:cs="Arial" w:hAnsi="Arial"/>
          <w:sz w:val="22"/>
        </w:rPr>
        <w:t>：例如“变更涉及高速背板连接器，历史FMEA中该接口有‘差分对延迟偏差’失效模式，当前分析缺失”，或“散热器与芯片界面未分析热循环下的界面脱层”。</w:t>
      </w:r>
    </w:p>
    <w:p>
      <w:pPr>
        <w:numPr>
          <w:numId w:val="146"/>
        </w:numPr>
        <w:spacing w:before="120" w:after="120" w:line="288" w:lineRule="auto"/>
        <w:ind w:left="0"/>
        <w:jc w:val="left"/>
      </w:pPr>
      <w:r>
        <w:rPr>
          <w:rFonts w:eastAsia="等线" w:ascii="Arial" w:cs="Arial" w:hAnsi="Arial"/>
          <w:b w:val="true"/>
          <w:sz w:val="22"/>
        </w:rPr>
        <w:t>引擎4：系统性模式识别引擎</w:t>
      </w:r>
    </w:p>
    <w:p>
      <w:pPr>
        <w:numPr>
          <w:numId w:val="147"/>
        </w:numPr>
        <w:spacing w:before="120" w:after="120" w:line="288" w:lineRule="auto"/>
        <w:ind w:left="453"/>
        <w:jc w:val="left"/>
      </w:pPr>
      <w:r>
        <w:rPr>
          <w:rFonts w:eastAsia="等线" w:ascii="Arial" w:cs="Arial" w:hAnsi="Arial"/>
          <w:b w:val="true"/>
          <w:sz w:val="22"/>
        </w:rPr>
        <w:t>原理</w:t>
      </w:r>
      <w:r>
        <w:rPr>
          <w:rFonts w:eastAsia="等线" w:ascii="Arial" w:cs="Arial" w:hAnsi="Arial"/>
          <w:sz w:val="22"/>
        </w:rPr>
        <w:t>：使用</w:t>
      </w:r>
      <w:r>
        <w:rPr>
          <w:rFonts w:eastAsia="等线" w:ascii="Arial" w:cs="Arial" w:hAnsi="Arial"/>
          <w:b w:val="true"/>
          <w:sz w:val="22"/>
        </w:rPr>
        <w:t>图模式匹配</w:t>
      </w:r>
      <w:r>
        <w:rPr>
          <w:rFonts w:eastAsia="等线" w:ascii="Arial" w:cs="Arial" w:hAnsi="Arial"/>
          <w:sz w:val="22"/>
        </w:rPr>
        <w:t>与</w:t>
      </w:r>
      <w:r>
        <w:rPr>
          <w:rFonts w:eastAsia="等线" w:ascii="Arial" w:cs="Arial" w:hAnsi="Arial"/>
          <w:b w:val="true"/>
          <w:sz w:val="22"/>
        </w:rPr>
        <w:t>序列模式挖掘</w:t>
      </w:r>
      <w:r>
        <w:rPr>
          <w:rFonts w:eastAsia="等线" w:ascii="Arial" w:cs="Arial" w:hAnsi="Arial"/>
          <w:sz w:val="22"/>
        </w:rPr>
        <w:t>（从多个历史FMEA中提取“失效链”）。例如常见系统性模式：</w:t>
      </w:r>
      <w:r>
        <w:rPr>
          <w:rFonts w:eastAsia="Consolas" w:ascii="Consolas" w:cs="Consolas" w:hAnsi="Consolas"/>
          <w:sz w:val="22"/>
          <w:shd w:fill="EFF0F1"/>
        </w:rPr>
        <w:t>[部件A温升] → [部件B信号漂移] → [系统误码]</w:t>
      </w:r>
      <w:r>
        <w:rPr>
          <w:rFonts w:eastAsia="等线" w:ascii="Arial" w:cs="Arial" w:hAnsi="Arial"/>
          <w:sz w:val="22"/>
        </w:rPr>
        <w:t>。</w:t>
      </w:r>
    </w:p>
    <w:p>
      <w:pPr>
        <w:numPr>
          <w:numId w:val="148"/>
        </w:numPr>
        <w:spacing w:before="120" w:after="120" w:line="288" w:lineRule="auto"/>
        <w:ind w:left="453"/>
        <w:jc w:val="left"/>
      </w:pPr>
      <w:r>
        <w:rPr>
          <w:rFonts w:eastAsia="等线" w:ascii="Arial" w:cs="Arial" w:hAnsi="Arial"/>
          <w:b w:val="true"/>
          <w:sz w:val="22"/>
        </w:rPr>
        <w:t>对当前初版DRBFM</w:t>
      </w:r>
      <w:r>
        <w:rPr>
          <w:rFonts w:eastAsia="等线" w:ascii="Arial" w:cs="Arial" w:hAnsi="Arial"/>
          <w:sz w:val="22"/>
        </w:rPr>
        <w:t>：扫描是否遗漏了某个典型系统性失效链。比如通讯设备常见的“电源模块老化→输出纹波增大→数字电路时序违例”链条，如果人工只分析了电源本身，模型会提示需向上位功能传递。</w:t>
      </w:r>
    </w:p>
    <w:p>
      <w:pPr>
        <w:numPr>
          <w:numId w:val="149"/>
        </w:numPr>
        <w:spacing w:before="120" w:after="120" w:line="288" w:lineRule="auto"/>
        <w:ind w:left="453"/>
        <w:jc w:val="left"/>
      </w:pPr>
      <w:r>
        <w:rPr>
          <w:rFonts w:eastAsia="等线" w:ascii="Arial" w:cs="Arial" w:hAnsi="Arial"/>
          <w:b w:val="true"/>
          <w:sz w:val="22"/>
        </w:rPr>
        <w:t>输出</w:t>
      </w:r>
      <w:r>
        <w:rPr>
          <w:rFonts w:eastAsia="等线" w:ascii="Arial" w:cs="Arial" w:hAnsi="Arial"/>
          <w:sz w:val="22"/>
        </w:rPr>
        <w:t>：建议补充跨层级FMEA条目，或增加系统级失效模式。</w:t>
      </w:r>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3.13.5 </w:t>
      </w:r>
      <w:r>
        <w:rPr>
          <w:rFonts w:eastAsia="等线" w:ascii="Arial" w:cs="Arial" w:hAnsi="Arial"/>
          <w:b w:val="true"/>
          <w:sz w:val="30"/>
        </w:rPr>
        <w:t>模型运行流程（与FMEA IT集成）</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[变更点清单] + [结构框图] + [功能分析] + [初版DRBFM] </w:t>
              <w:br/>
              <w:t xml:space="preserve">        ↓</w:t>
              <w:br/>
              <w:t>1. 数据预处理：NER抽取部件、功能、失效模式、接口、变更属性</w:t>
              <w:br/>
              <w:t xml:space="preserve">        ↓</w:t>
              <w:br/>
              <w:t>2. 并行调用四个引擎（模型推理时间 &lt; 5秒/项目）</w:t>
              <w:br/>
              <w:t xml:space="preserve">        ↓</w:t>
              <w:br/>
              <w:t>3. 冲突融合与优先级排序：按严重度预测值、发生度预测值、系统重要性</w:t>
              <w:br/>
              <w:t xml:space="preserve">        ↓</w:t>
              <w:br/>
              <w:t>4. 生成评审报告：高亮遗漏项，附上解释（基于注意力权重可解释性）</w:t>
              <w:br/>
              <w:t xml:space="preserve">        ↓</w:t>
              <w:br/>
            </w:r>
            <w:r>
              <w:rPr>
                <w:rFonts w:eastAsia="Consolas" w:ascii="Consolas" w:cs="Consolas" w:hAnsi="Consolas"/>
                <w:sz w:val="22"/>
              </w:rPr>
              <w:t>5. 反馈至FMEA IT界面，供DRBFM负责人确认/拒绝/修改</w:t>
            </w:r>
          </w:p>
        </w:tc>
      </w:tr>
    </w:tbl>
    <w:p>
      <w:pPr>
        <w:spacing w:before="120" w:after="120" w:line="288" w:lineRule="auto"/>
        <w:ind w:left="0"/>
        <w:jc w:val="left"/>
      </w:pPr>
      <w:r>
        <w:rPr>
          <w:rFonts w:eastAsia="等线" w:ascii="Arial" w:cs="Arial" w:hAnsi="Arial"/>
          <w:b w:val="true"/>
          <w:sz w:val="22"/>
        </w:rPr>
        <w:t>关键设计点</w:t>
      </w:r>
      <w:r>
        <w:rPr>
          <w:rFonts w:eastAsia="等线" w:ascii="Arial" w:cs="Arial" w:hAnsi="Arial"/>
          <w:sz w:val="22"/>
        </w:rPr>
        <w:t>：</w:t>
      </w:r>
    </w:p>
    <w:p>
      <w:pPr>
        <w:numPr>
          <w:numId w:val="150"/>
        </w:numPr>
        <w:spacing w:before="120" w:after="120" w:line="288" w:lineRule="auto"/>
        <w:ind w:left="0"/>
        <w:jc w:val="left"/>
      </w:pPr>
      <w:r>
        <w:rPr>
          <w:rFonts w:eastAsia="等线" w:ascii="Arial" w:cs="Arial" w:hAnsi="Arial"/>
          <w:b w:val="true"/>
          <w:sz w:val="22"/>
        </w:rPr>
        <w:t>人机协作</w:t>
      </w:r>
      <w:r>
        <w:rPr>
          <w:rFonts w:eastAsia="等线" w:ascii="Arial" w:cs="Arial" w:hAnsi="Arial"/>
          <w:sz w:val="22"/>
        </w:rPr>
        <w:t>：模型不自动写入FMEA，只作为“第二双眼睛”提出建议，保留专家最终裁决权。</w:t>
      </w:r>
    </w:p>
    <w:p>
      <w:pPr>
        <w:numPr>
          <w:numId w:val="151"/>
        </w:numPr>
        <w:spacing w:before="120" w:after="120" w:line="288" w:lineRule="auto"/>
        <w:ind w:left="0"/>
        <w:jc w:val="left"/>
      </w:pPr>
      <w:r>
        <w:rPr>
          <w:rFonts w:eastAsia="等线" w:ascii="Arial" w:cs="Arial" w:hAnsi="Arial"/>
          <w:b w:val="true"/>
          <w:sz w:val="22"/>
        </w:rPr>
        <w:t>增量学习</w:t>
      </w:r>
      <w:r>
        <w:rPr>
          <w:rFonts w:eastAsia="等线" w:ascii="Arial" w:cs="Arial" w:hAnsi="Arial"/>
          <w:sz w:val="22"/>
        </w:rPr>
        <w:t>：每次专家“拒绝”或“采纳”模型建议，都作为一条训练样本，定期微调模型（尤其针对通讯行业特有的新失效模式）。</w:t>
      </w:r>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3.13.6 </w:t>
      </w:r>
      <w:r>
        <w:rPr>
          <w:rFonts w:eastAsia="等线" w:ascii="Arial" w:cs="Arial" w:hAnsi="Arial"/>
          <w:b w:val="true"/>
          <w:sz w:val="30"/>
        </w:rPr>
        <w:t>通讯行业特有的模型训练数据与调优</w:t>
      </w:r>
      <w:bookmarkEnd w:id="46"/>
    </w:p>
    <w:p>
      <w:pPr>
        <w:spacing w:before="120" w:after="120" w:line="288" w:lineRule="auto"/>
        <w:ind w:left="0"/>
        <w:jc w:val="left"/>
      </w:pPr>
      <w:r>
        <w:rPr>
          <w:rFonts w:eastAsia="等线" w:ascii="Arial" w:cs="Arial" w:hAnsi="Arial"/>
          <w:sz w:val="22"/>
        </w:rPr>
        <w:t>为了让模型有效，您需要构建或导入以下几类数据（可分批建设）：</w:t>
      </w:r>
    </w:p>
    <w:p>
      <w:pPr>
        <w:numPr>
          <w:numId w:val="152"/>
        </w:numPr>
        <w:spacing w:before="120" w:after="120" w:line="288" w:lineRule="auto"/>
        <w:ind w:left="0"/>
        <w:jc w:val="left"/>
      </w:pPr>
      <w:r>
        <w:rPr>
          <w:rFonts w:eastAsia="等线" w:ascii="Arial" w:cs="Arial" w:hAnsi="Arial"/>
          <w:b w:val="true"/>
          <w:sz w:val="22"/>
        </w:rPr>
        <w:t>通讯产品结构-功能标注数据</w:t>
      </w:r>
      <w:r>
        <w:rPr>
          <w:rFonts w:eastAsia="等线" w:ascii="Arial" w:cs="Arial" w:hAnsi="Arial"/>
          <w:sz w:val="22"/>
        </w:rPr>
        <w:t>：例如基站AAU（有源天线单元）的结构与功能对齐表。</w:t>
      </w:r>
    </w:p>
    <w:p>
      <w:pPr>
        <w:numPr>
          <w:numId w:val="153"/>
        </w:numPr>
        <w:spacing w:before="120" w:after="120" w:line="288" w:lineRule="auto"/>
        <w:ind w:left="0"/>
        <w:jc w:val="left"/>
      </w:pPr>
      <w:r>
        <w:rPr>
          <w:rFonts w:eastAsia="等线" w:ascii="Arial" w:cs="Arial" w:hAnsi="Arial"/>
          <w:b w:val="true"/>
          <w:sz w:val="22"/>
        </w:rPr>
        <w:t>历史DRBFM评审记录</w:t>
      </w:r>
      <w:r>
        <w:rPr>
          <w:rFonts w:eastAsia="等线" w:ascii="Arial" w:cs="Arial" w:hAnsi="Arial"/>
          <w:sz w:val="22"/>
        </w:rPr>
        <w:t>：尤其是“人工最初遗漏、后续补充的风险项” —— 这是训练引擎1和4的黄金数据。</w:t>
      </w:r>
    </w:p>
    <w:p>
      <w:pPr>
        <w:numPr>
          <w:numId w:val="154"/>
        </w:numPr>
        <w:spacing w:before="120" w:after="120" w:line="288" w:lineRule="auto"/>
        <w:ind w:left="0"/>
        <w:jc w:val="left"/>
      </w:pPr>
      <w:r>
        <w:rPr>
          <w:rFonts w:eastAsia="等线" w:ascii="Arial" w:cs="Arial" w:hAnsi="Arial"/>
          <w:b w:val="true"/>
          <w:sz w:val="22"/>
        </w:rPr>
        <w:t>接口失效案例库</w:t>
      </w:r>
      <w:r>
        <w:rPr>
          <w:rFonts w:eastAsia="等线" w:ascii="Arial" w:cs="Arial" w:hAnsi="Arial"/>
          <w:sz w:val="22"/>
        </w:rPr>
        <w:t>：连接器、线缆、射频接头、散热界面材料等，从内部测试报告、RMA数据中抽取。</w:t>
      </w:r>
    </w:p>
    <w:p>
      <w:pPr>
        <w:numPr>
          <w:numId w:val="155"/>
        </w:numPr>
        <w:spacing w:before="120" w:after="120" w:line="288" w:lineRule="auto"/>
        <w:ind w:left="0"/>
        <w:jc w:val="left"/>
      </w:pPr>
      <w:r>
        <w:rPr>
          <w:rFonts w:eastAsia="等线" w:ascii="Arial" w:cs="Arial" w:hAnsi="Arial"/>
          <w:b w:val="true"/>
          <w:sz w:val="22"/>
        </w:rPr>
        <w:t>行业标准与规范</w:t>
      </w:r>
      <w:r>
        <w:rPr>
          <w:rFonts w:eastAsia="等线" w:ascii="Arial" w:cs="Arial" w:hAnsi="Arial"/>
          <w:sz w:val="22"/>
        </w:rPr>
        <w:t>（如IPC、ETSI、3GPP相关可靠性条款）可转化为规则，注入引擎2。</w:t>
      </w:r>
    </w:p>
    <w:p>
      <w:pPr>
        <w:spacing w:before="120" w:after="120" w:line="288" w:lineRule="auto"/>
        <w:ind w:left="453"/>
        <w:jc w:val="left"/>
      </w:pPr>
    </w:p>
    <w:p>
      <w:pPr>
        <w:spacing w:before="120" w:after="120" w:line="288" w:lineRule="auto"/>
        <w:ind w:left="0"/>
        <w:jc w:val="left"/>
      </w:pPr>
      <w:r>
        <w:rPr>
          <w:rFonts w:eastAsia="等线" w:ascii="Arial" w:cs="Arial" w:hAnsi="Arial"/>
          <w:b w:val="true"/>
          <w:color w:val="245bdb"/>
          <w:sz w:val="22"/>
        </w:rPr>
        <w:t>冷启动方案</w:t>
      </w:r>
      <w:r>
        <w:rPr>
          <w:rFonts w:eastAsia="等线" w:ascii="Arial" w:cs="Arial" w:hAnsi="Arial"/>
          <w:sz w:val="22"/>
        </w:rPr>
        <w:t>：若初期数据不足，可先用</w:t>
      </w:r>
      <w:r>
        <w:rPr>
          <w:rFonts w:eastAsia="等线" w:ascii="Arial" w:cs="Arial" w:hAnsi="Arial"/>
          <w:b w:val="true"/>
          <w:sz w:val="22"/>
        </w:rPr>
        <w:t>基于规则+图遍历</w:t>
      </w:r>
      <w:r>
        <w:rPr>
          <w:rFonts w:eastAsia="等线" w:ascii="Arial" w:cs="Arial" w:hAnsi="Arial"/>
          <w:sz w:val="22"/>
        </w:rPr>
        <w:t>的轻量版模型（不依赖深度学习），同时设计主动学习策略，请专家高亮前10个最不确定的模型输出。</w:t>
      </w: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3.13.7 </w:t>
      </w:r>
      <w:r>
        <w:rPr>
          <w:rFonts w:eastAsia="等线" w:ascii="Arial" w:cs="Arial" w:hAnsi="Arial"/>
          <w:b w:val="true"/>
          <w:sz w:val="30"/>
        </w:rPr>
        <w:t>新增场景的典型“不兼容”问题示例（通讯行业）</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2760"/>
        <w:gridCol w:w="2190"/>
        <w:gridCol w:w="2505"/>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系统级DRBFM描述</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部件级DRBFM描述</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不一致问题</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结构框图中包含“散热模块”</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部件清单中散热器、风扇、TIM是分开的</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系统级结构未分解到具体部件，功能归属缺失</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系统功能“保持基站在55℃环境正常工作”</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散热风扇的FMEA中工作温度上限为50℃</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上下功能要求不匹配</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系统失效“射频链路中断”，原因含“功放过热保护”</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功放部件FMEA中未定义过热保护失效模式</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失效原因链路断裂</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措施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系统级措施“优化散热设计”</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部件级措施仅“更换风扇型号”</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措施不对齐，系统级要求未落地到具体部件</w:t>
            </w:r>
          </w:p>
        </w:tc>
      </w:tr>
    </w:tbl>
    <w:p>
      <w:pPr>
        <w:spacing w:before="120" w:after="120" w:line="288" w:lineRule="auto"/>
        <w:ind w:left="0"/>
        <w:jc w:val="left"/>
      </w:pPr>
      <w:r>
        <w:rPr>
          <w:rFonts w:eastAsia="等线" w:ascii="Arial" w:cs="Arial" w:hAnsi="Arial"/>
          <w:sz w:val="22"/>
        </w:rPr>
        <w:t>AI需要自动识别以上四类不一致。</w:t>
      </w:r>
    </w:p>
    <w:p>
      <w:pPr>
        <w:pStyle w:val="4"/>
        <w:spacing w:before="260" w:after="120" w:line="288" w:lineRule="auto"/>
        <w:ind w:left="0"/>
        <w:jc w:val="left"/>
        <w:outlineLvl w:val="3"/>
      </w:pPr>
      <w:bookmarkStart w:name="heading_48" w:id="48"/>
      <w:r>
        <w:rPr>
          <w:rFonts w:eastAsia="等线" w:ascii="Arial" w:cs="Arial" w:hAnsi="Arial"/>
          <w:color w:val="3370ff"/>
          <w:sz w:val="28"/>
        </w:rPr>
        <w:t xml:space="preserve">3.13.7.1 </w:t>
      </w:r>
      <w:r>
        <w:rPr>
          <w:rFonts w:eastAsia="等线" w:ascii="Arial" w:cs="Arial" w:hAnsi="Arial"/>
          <w:b w:val="true"/>
          <w:sz w:val="28"/>
        </w:rPr>
        <w:t>输入来源</w:t>
      </w:r>
      <w:bookmarkEnd w:id="48"/>
    </w:p>
    <w:p>
      <w:pPr>
        <w:numPr>
          <w:numId w:val="156"/>
        </w:numPr>
        <w:spacing w:before="120" w:after="120" w:line="288" w:lineRule="auto"/>
        <w:ind w:left="0"/>
        <w:jc w:val="left"/>
      </w:pPr>
      <w:r>
        <w:rPr>
          <w:rFonts w:eastAsia="等线" w:ascii="Arial" w:cs="Arial" w:hAnsi="Arial"/>
          <w:sz w:val="22"/>
        </w:rPr>
        <w:t>系统级DRBFM产物：系统结构框图、系统功能矩阵、系统失效网、系统级措施清单</w:t>
      </w:r>
    </w:p>
    <w:p>
      <w:pPr>
        <w:numPr>
          <w:numId w:val="157"/>
        </w:numPr>
        <w:spacing w:before="120" w:after="120" w:line="288" w:lineRule="auto"/>
        <w:ind w:left="0"/>
        <w:jc w:val="left"/>
      </w:pPr>
      <w:r>
        <w:rPr>
          <w:rFonts w:eastAsia="等线" w:ascii="Arial" w:cs="Arial" w:hAnsi="Arial"/>
          <w:sz w:val="22"/>
        </w:rPr>
        <w:t>各部件级DRBFM产物：部件结构/功能/失效/措施（来自不同设计组）</w:t>
      </w:r>
    </w:p>
    <w:p>
      <w:pPr>
        <w:numPr>
          <w:numId w:val="158"/>
        </w:numPr>
        <w:spacing w:before="120" w:after="120" w:line="288" w:lineRule="auto"/>
        <w:ind w:left="0"/>
        <w:jc w:val="left"/>
      </w:pPr>
      <w:r>
        <w:rPr>
          <w:rFonts w:eastAsia="等线" w:ascii="Arial" w:cs="Arial" w:hAnsi="Arial"/>
          <w:sz w:val="22"/>
        </w:rPr>
        <w:t>变更点清单（标明哪些部件或系统接口发生了变化）</w:t>
      </w:r>
    </w:p>
    <w:p>
      <w:pPr>
        <w:pStyle w:val="4"/>
        <w:spacing w:before="260" w:after="120" w:line="288" w:lineRule="auto"/>
        <w:ind w:left="0"/>
        <w:jc w:val="left"/>
        <w:outlineLvl w:val="3"/>
      </w:pPr>
      <w:bookmarkStart w:name="heading_49" w:id="49"/>
      <w:r>
        <w:rPr>
          <w:rFonts w:eastAsia="等线" w:ascii="Arial" w:cs="Arial" w:hAnsi="Arial"/>
          <w:color w:val="3370ff"/>
          <w:sz w:val="28"/>
        </w:rPr>
        <w:t xml:space="preserve">3.13.7.2 </w:t>
      </w:r>
      <w:r>
        <w:rPr>
          <w:rFonts w:eastAsia="等线" w:ascii="Arial" w:cs="Arial" w:hAnsi="Arial"/>
          <w:b w:val="true"/>
          <w:sz w:val="28"/>
        </w:rPr>
        <w:t>核心检测逻辑（四个子模块）</w:t>
      </w:r>
      <w:bookmarkEnd w:id="49"/>
    </w:p>
    <w:p>
      <w:pPr>
        <w:numPr>
          <w:numId w:val="159"/>
        </w:numPr>
        <w:spacing w:before="120" w:after="120" w:line="288" w:lineRule="auto"/>
        <w:ind w:left="0"/>
        <w:jc w:val="left"/>
      </w:pPr>
      <w:r>
        <w:rPr>
          <w:rFonts w:eastAsia="等线" w:ascii="Arial" w:cs="Arial" w:hAnsi="Arial"/>
          <w:b w:val="true"/>
          <w:sz w:val="22"/>
        </w:rPr>
        <w:t>子模块A：结构-功能分配一致性</w:t>
      </w:r>
    </w:p>
    <w:p>
      <w:pPr>
        <w:numPr>
          <w:numId w:val="160"/>
        </w:numPr>
        <w:spacing w:before="120" w:after="120" w:line="288" w:lineRule="auto"/>
        <w:ind w:left="453"/>
        <w:jc w:val="left"/>
      </w:pPr>
      <w:r>
        <w:rPr>
          <w:rFonts w:eastAsia="等线" w:ascii="Arial" w:cs="Arial" w:hAnsi="Arial"/>
          <w:b w:val="true"/>
          <w:sz w:val="22"/>
        </w:rPr>
        <w:t>方法</w:t>
      </w:r>
      <w:r>
        <w:rPr>
          <w:rFonts w:eastAsia="等线" w:ascii="Arial" w:cs="Arial" w:hAnsi="Arial"/>
          <w:sz w:val="22"/>
        </w:rPr>
        <w:t>：将系统级功能树与部件级功能树做</w:t>
      </w:r>
      <w:r>
        <w:rPr>
          <w:rFonts w:eastAsia="等线" w:ascii="Arial" w:cs="Arial" w:hAnsi="Arial"/>
          <w:b w:val="true"/>
          <w:sz w:val="22"/>
        </w:rPr>
        <w:t>树对齐</w:t>
      </w:r>
      <w:r>
        <w:rPr>
          <w:rFonts w:eastAsia="等线" w:ascii="Arial" w:cs="Arial" w:hAnsi="Arial"/>
          <w:sz w:val="22"/>
        </w:rPr>
        <w:t>（Tree Alignment）。系统功能必须向下分解至至少一个部件的功能，不允许功能悬空。</w:t>
      </w:r>
    </w:p>
    <w:p>
      <w:pPr>
        <w:numPr>
          <w:numId w:val="161"/>
        </w:numPr>
        <w:spacing w:before="120" w:after="120" w:line="288" w:lineRule="auto"/>
        <w:ind w:left="453"/>
        <w:jc w:val="left"/>
      </w:pPr>
      <w:r>
        <w:rPr>
          <w:rFonts w:eastAsia="等线" w:ascii="Arial" w:cs="Arial" w:hAnsi="Arial"/>
          <w:b w:val="true"/>
          <w:sz w:val="22"/>
        </w:rPr>
        <w:t>检测规则</w:t>
      </w:r>
      <w:r>
        <w:rPr>
          <w:rFonts w:eastAsia="等线" w:ascii="Arial" w:cs="Arial" w:hAnsi="Arial"/>
          <w:sz w:val="22"/>
        </w:rPr>
        <w:t>：</w:t>
      </w:r>
    </w:p>
    <w:p>
      <w:pPr>
        <w:numPr>
          <w:numId w:val="162"/>
        </w:numPr>
        <w:spacing w:before="120" w:after="120" w:line="288" w:lineRule="auto"/>
        <w:ind w:left="907"/>
        <w:jc w:val="left"/>
      </w:pPr>
      <w:r>
        <w:rPr>
          <w:rFonts w:eastAsia="等线" w:ascii="Arial" w:cs="Arial" w:hAnsi="Arial"/>
          <w:sz w:val="22"/>
        </w:rPr>
        <w:t xml:space="preserve">系统功能F_sys 没有对应任何部件功能 → </w:t>
      </w:r>
      <w:r>
        <w:rPr>
          <w:rFonts w:eastAsia="等线" w:ascii="Arial" w:cs="Arial" w:hAnsi="Arial"/>
          <w:b w:val="true"/>
          <w:sz w:val="22"/>
        </w:rPr>
        <w:t>功能悬空</w:t>
      </w:r>
    </w:p>
    <w:p>
      <w:pPr>
        <w:numPr>
          <w:numId w:val="163"/>
        </w:numPr>
        <w:spacing w:before="120" w:after="120" w:line="288" w:lineRule="auto"/>
        <w:ind w:left="907"/>
        <w:jc w:val="left"/>
      </w:pPr>
      <w:r>
        <w:rPr>
          <w:rFonts w:eastAsia="等线" w:ascii="Arial" w:cs="Arial" w:hAnsi="Arial"/>
          <w:sz w:val="22"/>
        </w:rPr>
        <w:t xml:space="preserve">某部件功能F_part 未关联任何上级系统功能 → </w:t>
      </w:r>
      <w:r>
        <w:rPr>
          <w:rFonts w:eastAsia="等线" w:ascii="Arial" w:cs="Arial" w:hAnsi="Arial"/>
          <w:b w:val="true"/>
          <w:sz w:val="22"/>
        </w:rPr>
        <w:t>多余功能</w:t>
      </w:r>
      <w:r>
        <w:rPr>
          <w:rFonts w:eastAsia="等线" w:ascii="Arial" w:cs="Arial" w:hAnsi="Arial"/>
          <w:sz w:val="22"/>
        </w:rPr>
        <w:t>（可能是过设计）</w:t>
      </w:r>
    </w:p>
    <w:p>
      <w:pPr>
        <w:numPr>
          <w:numId w:val="164"/>
        </w:numPr>
        <w:spacing w:before="120" w:after="120" w:line="288" w:lineRule="auto"/>
        <w:ind w:left="907"/>
        <w:jc w:val="left"/>
      </w:pPr>
      <w:r>
        <w:rPr>
          <w:rFonts w:eastAsia="等线" w:ascii="Arial" w:cs="Arial" w:hAnsi="Arial"/>
          <w:sz w:val="22"/>
        </w:rPr>
        <w:t xml:space="preserve">变更后系统功能发生变化，但相关部件的功能未同步更新 → </w:t>
      </w:r>
      <w:r>
        <w:rPr>
          <w:rFonts w:eastAsia="等线" w:ascii="Arial" w:cs="Arial" w:hAnsi="Arial"/>
          <w:b w:val="true"/>
          <w:sz w:val="22"/>
        </w:rPr>
        <w:t>功能滞后</w:t>
      </w:r>
    </w:p>
    <w:p>
      <w:pPr>
        <w:numPr>
          <w:numId w:val="165"/>
        </w:numPr>
        <w:spacing w:before="120" w:after="120" w:line="288" w:lineRule="auto"/>
        <w:ind w:left="0"/>
        <w:jc w:val="left"/>
      </w:pPr>
      <w:r>
        <w:rPr>
          <w:rFonts w:eastAsia="等线" w:ascii="Arial" w:cs="Arial" w:hAnsi="Arial"/>
          <w:b w:val="true"/>
          <w:sz w:val="22"/>
        </w:rPr>
        <w:t>子模块B：失效传播链完整性</w:t>
      </w:r>
    </w:p>
    <w:p>
      <w:pPr>
        <w:numPr>
          <w:numId w:val="166"/>
        </w:numPr>
        <w:spacing w:before="120" w:after="120" w:line="288" w:lineRule="auto"/>
        <w:ind w:left="453"/>
        <w:jc w:val="left"/>
      </w:pPr>
      <w:r>
        <w:rPr>
          <w:rFonts w:eastAsia="等线" w:ascii="Arial" w:cs="Arial" w:hAnsi="Arial"/>
          <w:b w:val="true"/>
          <w:sz w:val="22"/>
        </w:rPr>
        <w:t>方法</w:t>
      </w:r>
      <w:r>
        <w:rPr>
          <w:rFonts w:eastAsia="等线" w:ascii="Arial" w:cs="Arial" w:hAnsi="Arial"/>
          <w:sz w:val="22"/>
        </w:rPr>
        <w:t>：构建跨层级失效链图（系统失效 → 部件失效 → 部件原因 → 系统影响）。使用</w:t>
      </w:r>
      <w:r>
        <w:rPr>
          <w:rFonts w:eastAsia="等线" w:ascii="Arial" w:cs="Arial" w:hAnsi="Arial"/>
          <w:b w:val="true"/>
          <w:sz w:val="22"/>
        </w:rPr>
        <w:t>图遍历</w:t>
      </w:r>
      <w:r>
        <w:rPr>
          <w:rFonts w:eastAsia="等线" w:ascii="Arial" w:cs="Arial" w:hAnsi="Arial"/>
          <w:sz w:val="22"/>
        </w:rPr>
        <w:t>检查每条链是否闭合。</w:t>
      </w:r>
    </w:p>
    <w:p>
      <w:pPr>
        <w:numPr>
          <w:numId w:val="167"/>
        </w:numPr>
        <w:spacing w:before="120" w:after="120" w:line="288" w:lineRule="auto"/>
        <w:ind w:left="453"/>
        <w:jc w:val="left"/>
      </w:pPr>
      <w:r>
        <w:rPr>
          <w:rFonts w:eastAsia="等线" w:ascii="Arial" w:cs="Arial" w:hAnsi="Arial"/>
          <w:b w:val="true"/>
          <w:sz w:val="22"/>
        </w:rPr>
        <w:t>检测规则</w:t>
      </w:r>
      <w:r>
        <w:rPr>
          <w:rFonts w:eastAsia="等线" w:ascii="Arial" w:cs="Arial" w:hAnsi="Arial"/>
          <w:sz w:val="22"/>
        </w:rPr>
        <w:t>：</w:t>
      </w:r>
    </w:p>
    <w:p>
      <w:pPr>
        <w:numPr>
          <w:numId w:val="168"/>
        </w:numPr>
        <w:spacing w:before="120" w:after="120" w:line="288" w:lineRule="auto"/>
        <w:ind w:left="907"/>
        <w:jc w:val="left"/>
      </w:pPr>
      <w:r>
        <w:rPr>
          <w:rFonts w:eastAsia="等线" w:ascii="Arial" w:cs="Arial" w:hAnsi="Arial"/>
          <w:sz w:val="22"/>
        </w:rPr>
        <w:t xml:space="preserve">系统失效模式中，声明的原因指向某个部件，但该部件FMEA中无此失效模式 → </w:t>
      </w:r>
      <w:r>
        <w:rPr>
          <w:rFonts w:eastAsia="等线" w:ascii="Arial" w:cs="Arial" w:hAnsi="Arial"/>
          <w:b w:val="true"/>
          <w:sz w:val="22"/>
        </w:rPr>
        <w:t>失效断链</w:t>
      </w:r>
    </w:p>
    <w:p>
      <w:pPr>
        <w:numPr>
          <w:numId w:val="169"/>
        </w:numPr>
        <w:spacing w:before="120" w:after="120" w:line="288" w:lineRule="auto"/>
        <w:ind w:left="907"/>
        <w:jc w:val="left"/>
      </w:pPr>
      <w:r>
        <w:rPr>
          <w:rFonts w:eastAsia="等线" w:ascii="Arial" w:cs="Arial" w:hAnsi="Arial"/>
          <w:sz w:val="22"/>
        </w:rPr>
        <w:t xml:space="preserve">部件失效模式声称会导致某系统级影响，但系统级FMEA未收录 → </w:t>
      </w:r>
      <w:r>
        <w:rPr>
          <w:rFonts w:eastAsia="等线" w:ascii="Arial" w:cs="Arial" w:hAnsi="Arial"/>
          <w:b w:val="true"/>
          <w:sz w:val="22"/>
        </w:rPr>
        <w:t>影响遗漏</w:t>
      </w:r>
    </w:p>
    <w:p>
      <w:pPr>
        <w:numPr>
          <w:numId w:val="170"/>
        </w:numPr>
        <w:spacing w:before="120" w:after="120" w:line="288" w:lineRule="auto"/>
        <w:ind w:left="907"/>
        <w:jc w:val="left"/>
      </w:pPr>
      <w:r>
        <w:rPr>
          <w:rFonts w:eastAsia="等线" w:ascii="Arial" w:cs="Arial" w:hAnsi="Arial"/>
          <w:sz w:val="22"/>
        </w:rPr>
        <w:t xml:space="preserve">多个部件失效模式指向同一系统失效，但系统级措施只覆盖了部分部件 → </w:t>
      </w:r>
      <w:r>
        <w:rPr>
          <w:rFonts w:eastAsia="等线" w:ascii="Arial" w:cs="Arial" w:hAnsi="Arial"/>
          <w:b w:val="true"/>
          <w:sz w:val="22"/>
        </w:rPr>
        <w:t>覆盖不全</w:t>
      </w:r>
    </w:p>
    <w:p>
      <w:pPr>
        <w:numPr>
          <w:numId w:val="171"/>
        </w:numPr>
        <w:spacing w:before="120" w:after="120" w:line="288" w:lineRule="auto"/>
        <w:ind w:left="0"/>
        <w:jc w:val="left"/>
      </w:pPr>
      <w:r>
        <w:rPr>
          <w:rFonts w:eastAsia="等线" w:ascii="Arial" w:cs="Arial" w:hAnsi="Arial"/>
          <w:b w:val="true"/>
          <w:sz w:val="22"/>
        </w:rPr>
        <w:t>子模块C：措施兼容性与匹配性</w:t>
      </w:r>
    </w:p>
    <w:p>
      <w:pPr>
        <w:numPr>
          <w:numId w:val="172"/>
        </w:numPr>
        <w:spacing w:before="120" w:after="120" w:line="288" w:lineRule="auto"/>
        <w:ind w:left="453"/>
        <w:jc w:val="left"/>
      </w:pPr>
      <w:r>
        <w:rPr>
          <w:rFonts w:eastAsia="等线" w:ascii="Arial" w:cs="Arial" w:hAnsi="Arial"/>
          <w:b w:val="true"/>
          <w:sz w:val="22"/>
        </w:rPr>
        <w:t>方法</w:t>
      </w:r>
      <w:r>
        <w:rPr>
          <w:rFonts w:eastAsia="等线" w:ascii="Arial" w:cs="Arial" w:hAnsi="Arial"/>
          <w:sz w:val="22"/>
        </w:rPr>
        <w:t>：使用</w:t>
      </w:r>
      <w:r>
        <w:rPr>
          <w:rFonts w:eastAsia="等线" w:ascii="Arial" w:cs="Arial" w:hAnsi="Arial"/>
          <w:b w:val="true"/>
          <w:sz w:val="22"/>
        </w:rPr>
        <w:t>文本相似度+语义角色标注</w:t>
      </w:r>
      <w:r>
        <w:rPr>
          <w:rFonts w:eastAsia="等线" w:ascii="Arial" w:cs="Arial" w:hAnsi="Arial"/>
          <w:sz w:val="22"/>
        </w:rPr>
        <w:t>（可基于BERT或规则），将系统级措施与部件级措施进行匹配。检查是否存在冲突、重复、或遗漏。</w:t>
      </w:r>
    </w:p>
    <w:p>
      <w:pPr>
        <w:numPr>
          <w:numId w:val="173"/>
        </w:numPr>
        <w:spacing w:before="120" w:after="120" w:line="288" w:lineRule="auto"/>
        <w:ind w:left="453"/>
        <w:jc w:val="left"/>
      </w:pPr>
      <w:r>
        <w:rPr>
          <w:rFonts w:eastAsia="等线" w:ascii="Arial" w:cs="Arial" w:hAnsi="Arial"/>
          <w:b w:val="true"/>
          <w:sz w:val="22"/>
        </w:rPr>
        <w:t>检测规则</w:t>
      </w:r>
      <w:r>
        <w:rPr>
          <w:rFonts w:eastAsia="等线" w:ascii="Arial" w:cs="Arial" w:hAnsi="Arial"/>
          <w:sz w:val="22"/>
        </w:rPr>
        <w:t>：</w:t>
      </w:r>
    </w:p>
    <w:p>
      <w:pPr>
        <w:numPr>
          <w:numId w:val="174"/>
        </w:numPr>
        <w:spacing w:before="120" w:after="120" w:line="288" w:lineRule="auto"/>
        <w:ind w:left="907"/>
        <w:jc w:val="left"/>
      </w:pPr>
      <w:r>
        <w:rPr>
          <w:rFonts w:eastAsia="等线" w:ascii="Arial" w:cs="Arial" w:hAnsi="Arial"/>
          <w:sz w:val="22"/>
        </w:rPr>
        <w:t>系统级措施要求“</w:t>
      </w:r>
      <w:r>
        <w:rPr>
          <w:rFonts w:eastAsia="等线" w:ascii="Arial" w:cs="Arial" w:hAnsi="Arial"/>
          <w:b w:val="true"/>
          <w:sz w:val="22"/>
        </w:rPr>
        <w:t>增加</w:t>
      </w:r>
      <w:r>
        <w:rPr>
          <w:rFonts w:eastAsia="等线" w:ascii="Arial" w:cs="Arial" w:hAnsi="Arial"/>
          <w:sz w:val="22"/>
        </w:rPr>
        <w:t>某种设计特征”，但某部件级措施却“</w:t>
      </w:r>
      <w:r>
        <w:rPr>
          <w:rFonts w:eastAsia="等线" w:ascii="Arial" w:cs="Arial" w:hAnsi="Arial"/>
          <w:b w:val="true"/>
          <w:sz w:val="22"/>
        </w:rPr>
        <w:t>删减</w:t>
      </w:r>
      <w:r>
        <w:rPr>
          <w:rFonts w:eastAsia="等线" w:ascii="Arial" w:cs="Arial" w:hAnsi="Arial"/>
          <w:sz w:val="22"/>
        </w:rPr>
        <w:t xml:space="preserve">”该特征 → </w:t>
      </w:r>
      <w:r>
        <w:rPr>
          <w:rFonts w:eastAsia="等线" w:ascii="Arial" w:cs="Arial" w:hAnsi="Arial"/>
          <w:b w:val="true"/>
          <w:sz w:val="22"/>
        </w:rPr>
        <w:t>措施冲突</w:t>
      </w:r>
      <w:r>
        <w:rPr>
          <w:rFonts w:eastAsia="等线" w:ascii="Arial" w:cs="Arial" w:hAnsi="Arial"/>
          <w:sz w:val="22"/>
        </w:rPr>
        <w:t>（红色）</w:t>
      </w:r>
    </w:p>
    <w:p>
      <w:pPr>
        <w:numPr>
          <w:numId w:val="175"/>
        </w:numPr>
        <w:spacing w:before="120" w:after="120" w:line="288" w:lineRule="auto"/>
        <w:ind w:left="907"/>
        <w:jc w:val="left"/>
      </w:pPr>
      <w:r>
        <w:rPr>
          <w:rFonts w:eastAsia="等线" w:ascii="Arial" w:cs="Arial" w:hAnsi="Arial"/>
          <w:sz w:val="22"/>
        </w:rPr>
        <w:t>系统级措施是“</w:t>
      </w:r>
      <w:r>
        <w:rPr>
          <w:rFonts w:eastAsia="等线" w:ascii="Arial" w:cs="Arial" w:hAnsi="Arial"/>
          <w:b w:val="true"/>
          <w:sz w:val="22"/>
        </w:rPr>
        <w:t>验证</w:t>
      </w:r>
      <w:r>
        <w:rPr>
          <w:rFonts w:eastAsia="等线" w:ascii="Arial" w:cs="Arial" w:hAnsi="Arial"/>
          <w:sz w:val="22"/>
        </w:rPr>
        <w:t>可靠性指标”，但部件级仅有“</w:t>
      </w:r>
      <w:r>
        <w:rPr>
          <w:rFonts w:eastAsia="等线" w:ascii="Arial" w:cs="Arial" w:hAnsi="Arial"/>
          <w:b w:val="true"/>
          <w:sz w:val="22"/>
        </w:rPr>
        <w:t>设计</w:t>
      </w:r>
      <w:r>
        <w:rPr>
          <w:rFonts w:eastAsia="等线" w:ascii="Arial" w:cs="Arial" w:hAnsi="Arial"/>
          <w:sz w:val="22"/>
        </w:rPr>
        <w:t xml:space="preserve">”措施而无验证 → </w:t>
      </w:r>
      <w:r>
        <w:rPr>
          <w:rFonts w:eastAsia="等线" w:ascii="Arial" w:cs="Arial" w:hAnsi="Arial"/>
          <w:b w:val="true"/>
          <w:sz w:val="22"/>
        </w:rPr>
        <w:t>措施脱节</w:t>
      </w:r>
    </w:p>
    <w:p>
      <w:pPr>
        <w:numPr>
          <w:numId w:val="176"/>
        </w:numPr>
        <w:spacing w:before="120" w:after="120" w:line="288" w:lineRule="auto"/>
        <w:ind w:left="907"/>
        <w:jc w:val="left"/>
      </w:pPr>
      <w:r>
        <w:rPr>
          <w:rFonts w:eastAsia="等线" w:ascii="Arial" w:cs="Arial" w:hAnsi="Arial"/>
          <w:sz w:val="22"/>
        </w:rPr>
        <w:t xml:space="preserve">多个部件针对同一风险重复采取相同措施（如各做一次冗余测试）→ </w:t>
      </w:r>
      <w:r>
        <w:rPr>
          <w:rFonts w:eastAsia="等线" w:ascii="Arial" w:cs="Arial" w:hAnsi="Arial"/>
          <w:b w:val="true"/>
          <w:sz w:val="22"/>
        </w:rPr>
        <w:t>重复浪费</w:t>
      </w:r>
      <w:r>
        <w:rPr>
          <w:rFonts w:eastAsia="等线" w:ascii="Arial" w:cs="Arial" w:hAnsi="Arial"/>
          <w:sz w:val="22"/>
        </w:rPr>
        <w:t>（黄色）</w:t>
      </w:r>
    </w:p>
    <w:p>
      <w:pPr>
        <w:numPr>
          <w:numId w:val="177"/>
        </w:numPr>
        <w:spacing w:before="120" w:after="120" w:line="288" w:lineRule="auto"/>
        <w:ind w:left="0"/>
        <w:jc w:val="left"/>
      </w:pPr>
      <w:r>
        <w:rPr>
          <w:rFonts w:eastAsia="等线" w:ascii="Arial" w:cs="Arial" w:hAnsi="Arial"/>
          <w:b w:val="true"/>
          <w:sz w:val="22"/>
        </w:rPr>
        <w:t>子模块D：变更涟漪的跨层级验证</w:t>
      </w:r>
    </w:p>
    <w:p>
      <w:pPr>
        <w:numPr>
          <w:numId w:val="178"/>
        </w:numPr>
        <w:spacing w:before="120" w:after="120" w:line="288" w:lineRule="auto"/>
        <w:ind w:left="453"/>
        <w:jc w:val="left"/>
      </w:pPr>
      <w:r>
        <w:rPr>
          <w:rFonts w:eastAsia="等线" w:ascii="Arial" w:cs="Arial" w:hAnsi="Arial"/>
          <w:b w:val="true"/>
          <w:sz w:val="22"/>
        </w:rPr>
        <w:t>方法</w:t>
      </w:r>
      <w:r>
        <w:rPr>
          <w:rFonts w:eastAsia="等线" w:ascii="Arial" w:cs="Arial" w:hAnsi="Arial"/>
          <w:sz w:val="22"/>
        </w:rPr>
        <w:t>：基于变更点清单，预测该变更会影响的系统级功能/失效，再检查各部件级DRBFM是否已覆盖该影响。</w:t>
      </w:r>
    </w:p>
    <w:p>
      <w:pPr>
        <w:numPr>
          <w:numId w:val="179"/>
        </w:numPr>
        <w:spacing w:before="120" w:after="120" w:line="288" w:lineRule="auto"/>
        <w:ind w:left="453"/>
        <w:jc w:val="left"/>
      </w:pPr>
      <w:r>
        <w:rPr>
          <w:rFonts w:eastAsia="等线" w:ascii="Arial" w:cs="Arial" w:hAnsi="Arial"/>
          <w:b w:val="true"/>
          <w:sz w:val="22"/>
        </w:rPr>
        <w:t>与引擎1联动</w:t>
      </w:r>
      <w:r>
        <w:rPr>
          <w:rFonts w:eastAsia="等线" w:ascii="Arial" w:cs="Arial" w:hAnsi="Arial"/>
          <w:sz w:val="22"/>
        </w:rPr>
        <w:t>：引擎1给出“变更可能影响部件Z”，此引擎进一步检查：部件Z的DRBFM是否确实分析了该影响？以及系统级是否重新评估了顶层风险？</w:t>
      </w:r>
    </w:p>
    <w:p>
      <w:pPr>
        <w:pStyle w:val="4"/>
        <w:spacing w:before="260" w:after="120" w:line="288" w:lineRule="auto"/>
        <w:ind w:left="0"/>
        <w:jc w:val="left"/>
        <w:outlineLvl w:val="3"/>
      </w:pPr>
      <w:bookmarkStart w:name="heading_50" w:id="50"/>
      <w:r>
        <w:rPr>
          <w:rFonts w:eastAsia="等线" w:ascii="Arial" w:cs="Arial" w:hAnsi="Arial"/>
          <w:color w:val="3370ff"/>
          <w:sz w:val="28"/>
        </w:rPr>
        <w:t xml:space="preserve">3.13.7.3 </w:t>
      </w:r>
      <w:r>
        <w:rPr>
          <w:rFonts w:eastAsia="等线" w:ascii="Arial" w:cs="Arial" w:hAnsi="Arial"/>
          <w:b w:val="true"/>
          <w:sz w:val="28"/>
        </w:rPr>
        <w:t>输出格式</w:t>
      </w:r>
      <w:bookmarkEnd w:id="50"/>
    </w:p>
    <w:p>
      <w:pPr>
        <w:spacing w:before="120" w:after="120" w:line="288" w:lineRule="auto"/>
        <w:ind w:left="0"/>
        <w:jc w:val="left"/>
      </w:pPr>
      <w:r>
        <w:rPr>
          <w:rFonts w:eastAsia="等线" w:ascii="Arial" w:cs="Arial" w:hAnsi="Arial"/>
          <w:sz w:val="22"/>
        </w:rPr>
        <w:t>对于每条不一致项，输出：</w:t>
      </w:r>
    </w:p>
    <w:p>
      <w:pPr>
        <w:numPr>
          <w:numId w:val="180"/>
        </w:numPr>
        <w:spacing w:before="120" w:after="120" w:line="288" w:lineRule="auto"/>
        <w:ind w:left="0"/>
        <w:jc w:val="left"/>
      </w:pPr>
      <w:r>
        <w:rPr>
          <w:rFonts w:eastAsia="等线" w:ascii="Arial" w:cs="Arial" w:hAnsi="Arial"/>
          <w:b w:val="true"/>
          <w:sz w:val="22"/>
        </w:rPr>
        <w:t>严重等级</w:t>
      </w:r>
      <w:r>
        <w:rPr>
          <w:rFonts w:eastAsia="等线" w:ascii="Arial" w:cs="Arial" w:hAnsi="Arial"/>
          <w:sz w:val="22"/>
        </w:rPr>
        <w:t>：高（如措施冲突、功能悬空）、中（如失效链断裂）、低（如重复措施）</w:t>
      </w:r>
    </w:p>
    <w:p>
      <w:pPr>
        <w:numPr>
          <w:numId w:val="181"/>
        </w:numPr>
        <w:spacing w:before="120" w:after="120" w:line="288" w:lineRule="auto"/>
        <w:ind w:left="0"/>
        <w:jc w:val="left"/>
      </w:pPr>
      <w:r>
        <w:rPr>
          <w:rFonts w:eastAsia="等线" w:ascii="Arial" w:cs="Arial" w:hAnsi="Arial"/>
          <w:b w:val="true"/>
          <w:sz w:val="22"/>
        </w:rPr>
        <w:t>涉及的对象</w:t>
      </w:r>
      <w:r>
        <w:rPr>
          <w:rFonts w:eastAsia="等线" w:ascii="Arial" w:cs="Arial" w:hAnsi="Arial"/>
          <w:sz w:val="22"/>
        </w:rPr>
        <w:t>：系统级条目ID + 部件级条目ID</w:t>
      </w:r>
    </w:p>
    <w:p>
      <w:pPr>
        <w:numPr>
          <w:numId w:val="182"/>
        </w:numPr>
        <w:spacing w:before="120" w:after="120" w:line="288" w:lineRule="auto"/>
        <w:ind w:left="0"/>
        <w:jc w:val="left"/>
      </w:pPr>
      <w:r>
        <w:rPr>
          <w:rFonts w:eastAsia="等线" w:ascii="Arial" w:cs="Arial" w:hAnsi="Arial"/>
          <w:b w:val="true"/>
          <w:sz w:val="22"/>
        </w:rPr>
        <w:t>解释</w:t>
      </w:r>
      <w:r>
        <w:rPr>
          <w:rFonts w:eastAsia="等线" w:ascii="Arial" w:cs="Arial" w:hAnsi="Arial"/>
          <w:sz w:val="22"/>
        </w:rPr>
        <w:t>：自然语言描述为何不兼容</w:t>
      </w:r>
    </w:p>
    <w:p>
      <w:pPr>
        <w:numPr>
          <w:numId w:val="183"/>
        </w:numPr>
        <w:spacing w:before="120" w:after="120" w:line="288" w:lineRule="auto"/>
        <w:ind w:left="0"/>
        <w:jc w:val="left"/>
      </w:pPr>
      <w:r>
        <w:rPr>
          <w:rFonts w:eastAsia="等线" w:ascii="Arial" w:cs="Arial" w:hAnsi="Arial"/>
          <w:b w:val="true"/>
          <w:sz w:val="22"/>
        </w:rPr>
        <w:t>建议修正动作</w:t>
      </w:r>
      <w:r>
        <w:rPr>
          <w:rFonts w:eastAsia="等线" w:ascii="Arial" w:cs="Arial" w:hAnsi="Arial"/>
          <w:sz w:val="22"/>
        </w:rPr>
        <w:t>：例如“请将系统功能A向下分解至部件B的功能表”或“请在部件C的FMEA中补充失效模式D”</w:t>
      </w:r>
    </w:p>
    <w:p>
      <w:pPr>
        <w:spacing w:before="120" w:after="120" w:line="288" w:lineRule="auto"/>
        <w:ind w:left="0"/>
        <w:jc w:val="left"/>
      </w:pPr>
    </w:p>
    <w:p>
      <w:pPr>
        <w:pStyle w:val="4"/>
        <w:spacing w:before="260" w:after="120" w:line="288" w:lineRule="auto"/>
        <w:ind w:left="0"/>
        <w:jc w:val="left"/>
        <w:outlineLvl w:val="3"/>
      </w:pPr>
      <w:bookmarkStart w:name="heading_51" w:id="51"/>
      <w:r>
        <w:rPr>
          <w:rFonts w:eastAsia="等线" w:ascii="Arial" w:cs="Arial" w:hAnsi="Arial"/>
          <w:color w:val="3370ff"/>
          <w:sz w:val="28"/>
        </w:rPr>
        <w:t xml:space="preserve">3.13.7.4 </w:t>
      </w:r>
      <w:r>
        <w:rPr>
          <w:rFonts w:eastAsia="等线" w:ascii="Arial" w:cs="Arial" w:hAnsi="Arial"/>
          <w:b w:val="true"/>
          <w:sz w:val="28"/>
        </w:rPr>
        <w:t>与其他四个引擎的关系</w:t>
      </w:r>
      <w:bookmarkEnd w:id="51"/>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2010"/>
        <w:gridCol w:w="4020"/>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引擎</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与第五引擎的协同</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引擎1 变更涟漪</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预测变更影响范围</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第五引擎利用其输出作为“种子”，检查受影响部件与系统的兼容性</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引擎2 结构-功能闭环</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单个层级内结构功能对齐</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第五引擎负责跨层级对齐（系统↔部件）</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引擎3 接口风险</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识别界面失效</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接口风险本身就是跨部件的，第五引擎将其提升到系统级影响检查</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引擎4 系统性模式</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发现典型失效链</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第五引擎确保该失效链在系统级和部件级都有对应的条目</w:t>
            </w:r>
          </w:p>
        </w:tc>
      </w:tr>
    </w:tbl>
    <w:p>
      <w:pPr>
        <w:spacing w:before="120" w:after="120" w:line="288" w:lineRule="auto"/>
        <w:ind w:left="0"/>
        <w:jc w:val="left"/>
      </w:pPr>
      <w:r>
        <w:rPr>
          <w:rFonts w:eastAsia="等线" w:ascii="Arial" w:cs="Arial" w:hAnsi="Arial"/>
          <w:b w:val="true"/>
          <w:sz w:val="22"/>
        </w:rPr>
        <w:t>运行顺序</w:t>
      </w:r>
      <w:r>
        <w:rPr>
          <w:rFonts w:eastAsia="等线" w:ascii="Arial" w:cs="Arial" w:hAnsi="Arial"/>
          <w:sz w:val="22"/>
        </w:rPr>
        <w:t>：引擎1、2、3、4并行计算后，第五引擎以其结果为基础，加上原始DRBFM数据，执行一致性检查。</w:t>
      </w:r>
    </w:p>
    <w:p>
      <w:pPr>
        <w:pStyle w:val="4"/>
        <w:spacing w:before="260" w:after="120" w:line="288" w:lineRule="auto"/>
        <w:ind w:left="0"/>
        <w:jc w:val="left"/>
        <w:outlineLvl w:val="3"/>
      </w:pPr>
      <w:bookmarkStart w:name="heading_52" w:id="52"/>
      <w:r>
        <w:rPr>
          <w:rFonts w:eastAsia="等线" w:ascii="Arial" w:cs="Arial" w:hAnsi="Arial"/>
          <w:color w:val="3370ff"/>
          <w:sz w:val="28"/>
        </w:rPr>
        <w:t xml:space="preserve">3.13.7.5 </w:t>
      </w:r>
      <w:r>
        <w:rPr>
          <w:rFonts w:eastAsia="等线" w:ascii="Arial" w:cs="Arial" w:hAnsi="Arial"/>
          <w:b w:val="true"/>
          <w:sz w:val="28"/>
        </w:rPr>
        <w:t>场景示例：通讯基站AAU（系统级+三个部件级DRBFM）</w:t>
      </w:r>
      <w:bookmarkEnd w:id="52"/>
    </w:p>
    <w:p>
      <w:pPr>
        <w:numPr>
          <w:numId w:val="184"/>
        </w:numPr>
        <w:spacing w:before="120" w:after="120" w:line="288" w:lineRule="auto"/>
        <w:ind w:left="0"/>
        <w:jc w:val="left"/>
      </w:pPr>
      <w:r>
        <w:rPr>
          <w:rFonts w:eastAsia="等线" w:ascii="Arial" w:cs="Arial" w:hAnsi="Arial"/>
          <w:b w:val="true"/>
          <w:sz w:val="22"/>
        </w:rPr>
        <w:t>输入</w:t>
      </w:r>
    </w:p>
    <w:p>
      <w:pPr>
        <w:numPr>
          <w:numId w:val="185"/>
        </w:numPr>
        <w:spacing w:before="120" w:after="120" w:line="288" w:lineRule="auto"/>
        <w:ind w:left="453"/>
        <w:jc w:val="left"/>
      </w:pPr>
      <w:r>
        <w:rPr>
          <w:rFonts w:eastAsia="等线" w:ascii="Arial" w:cs="Arial" w:hAnsi="Arial"/>
          <w:b w:val="true"/>
          <w:sz w:val="22"/>
        </w:rPr>
        <w:t>系统级DRBFM</w:t>
      </w:r>
      <w:r>
        <w:rPr>
          <w:rFonts w:eastAsia="等线" w:ascii="Arial" w:cs="Arial" w:hAnsi="Arial"/>
          <w:sz w:val="22"/>
        </w:rPr>
        <w:t>：</w:t>
      </w:r>
    </w:p>
    <w:p>
      <w:pPr>
        <w:spacing w:before="120" w:after="120" w:line="288" w:lineRule="auto"/>
        <w:ind w:left="453"/>
        <w:jc w:val="left"/>
      </w:pPr>
      <w:r>
        <w:rPr>
          <w:rFonts w:eastAsia="等线" w:ascii="Arial" w:cs="Arial" w:hAnsi="Arial"/>
          <w:sz w:val="22"/>
        </w:rPr>
        <w:t>系统功能“保持射频输出功率在环境温度-40℃~55℃内波动&lt;1dB”</w:t>
      </w:r>
    </w:p>
    <w:p>
      <w:pPr>
        <w:spacing w:before="120" w:after="120" w:line="288" w:lineRule="auto"/>
        <w:ind w:left="453"/>
        <w:jc w:val="left"/>
      </w:pPr>
      <w:r>
        <w:rPr>
          <w:rFonts w:eastAsia="等线" w:ascii="Arial" w:cs="Arial" w:hAnsi="Arial"/>
          <w:sz w:val="22"/>
        </w:rPr>
        <w:t>系统失效“高温下功率回退”，措施“设计自适应偏置电路”</w:t>
      </w:r>
    </w:p>
    <w:p>
      <w:pPr>
        <w:numPr>
          <w:numId w:val="186"/>
        </w:numPr>
        <w:spacing w:before="120" w:after="120" w:line="288" w:lineRule="auto"/>
        <w:ind w:left="453"/>
        <w:jc w:val="left"/>
      </w:pPr>
      <w:r>
        <w:rPr>
          <w:rFonts w:eastAsia="等线" w:ascii="Arial" w:cs="Arial" w:hAnsi="Arial"/>
          <w:b w:val="true"/>
          <w:sz w:val="22"/>
        </w:rPr>
        <w:t>部件A（功放）DRBFM</w:t>
      </w:r>
      <w:r>
        <w:rPr>
          <w:rFonts w:eastAsia="等线" w:ascii="Arial" w:cs="Arial" w:hAnsi="Arial"/>
          <w:sz w:val="22"/>
        </w:rPr>
        <w:t>：</w:t>
      </w:r>
    </w:p>
    <w:p>
      <w:pPr>
        <w:spacing w:before="120" w:after="120" w:line="288" w:lineRule="auto"/>
        <w:ind w:left="453"/>
        <w:jc w:val="left"/>
      </w:pPr>
      <w:r>
        <w:rPr>
          <w:rFonts w:eastAsia="等线" w:ascii="Arial" w:cs="Arial" w:hAnsi="Arial"/>
          <w:sz w:val="22"/>
        </w:rPr>
        <w:t>功能“放大射频信号”，无温度相关功能</w:t>
      </w:r>
    </w:p>
    <w:p>
      <w:pPr>
        <w:spacing w:before="120" w:after="120" w:line="288" w:lineRule="auto"/>
        <w:ind w:left="453"/>
        <w:jc w:val="left"/>
      </w:pPr>
      <w:r>
        <w:rPr>
          <w:rFonts w:eastAsia="等线" w:ascii="Arial" w:cs="Arial" w:hAnsi="Arial"/>
          <w:sz w:val="22"/>
        </w:rPr>
        <w:t>失效“增益随温度下降”，措施“选用温补电容”</w:t>
      </w:r>
    </w:p>
    <w:p>
      <w:pPr>
        <w:numPr>
          <w:numId w:val="187"/>
        </w:numPr>
        <w:spacing w:before="120" w:after="120" w:line="288" w:lineRule="auto"/>
        <w:ind w:left="453"/>
        <w:jc w:val="left"/>
      </w:pPr>
      <w:r>
        <w:rPr>
          <w:rFonts w:eastAsia="等线" w:ascii="Arial" w:cs="Arial" w:hAnsi="Arial"/>
          <w:b w:val="true"/>
          <w:sz w:val="22"/>
        </w:rPr>
        <w:t>部件B（散热器）DRBFM</w:t>
      </w:r>
      <w:r>
        <w:rPr>
          <w:rFonts w:eastAsia="等线" w:ascii="Arial" w:cs="Arial" w:hAnsi="Arial"/>
          <w:sz w:val="22"/>
        </w:rPr>
        <w:t>：</w:t>
      </w:r>
    </w:p>
    <w:p>
      <w:pPr>
        <w:spacing w:before="120" w:after="120" w:line="288" w:lineRule="auto"/>
        <w:ind w:left="453"/>
        <w:jc w:val="left"/>
      </w:pPr>
      <w:r>
        <w:rPr>
          <w:rFonts w:eastAsia="等线" w:ascii="Arial" w:cs="Arial" w:hAnsi="Arial"/>
          <w:sz w:val="22"/>
        </w:rPr>
        <w:t>功能“散热”，无电气相关功能</w:t>
      </w:r>
    </w:p>
    <w:p>
      <w:pPr>
        <w:spacing w:before="120" w:after="120" w:line="288" w:lineRule="auto"/>
        <w:ind w:left="453"/>
        <w:jc w:val="left"/>
      </w:pPr>
      <w:r>
        <w:rPr>
          <w:rFonts w:eastAsia="等线" w:ascii="Arial" w:cs="Arial" w:hAnsi="Arial"/>
          <w:sz w:val="22"/>
        </w:rPr>
        <w:t>失效“散热不足”对应措施“增大翅片面积”</w:t>
      </w:r>
    </w:p>
    <w:p>
      <w:pPr>
        <w:numPr>
          <w:numId w:val="188"/>
        </w:numPr>
        <w:spacing w:before="120" w:after="120" w:line="288" w:lineRule="auto"/>
        <w:ind w:left="453"/>
        <w:jc w:val="left"/>
      </w:pPr>
      <w:r>
        <w:rPr>
          <w:rFonts w:eastAsia="等线" w:ascii="Arial" w:cs="Arial" w:hAnsi="Arial"/>
          <w:b w:val="true"/>
          <w:sz w:val="22"/>
        </w:rPr>
        <w:t>部件C（偏置电路）DRBFM</w:t>
      </w:r>
      <w:r>
        <w:rPr>
          <w:rFonts w:eastAsia="等线" w:ascii="Arial" w:cs="Arial" w:hAnsi="Arial"/>
          <w:sz w:val="22"/>
        </w:rPr>
        <w:t>：</w:t>
      </w:r>
    </w:p>
    <w:p>
      <w:pPr>
        <w:spacing w:before="120" w:after="120" w:line="288" w:lineRule="auto"/>
        <w:ind w:left="453"/>
        <w:jc w:val="left"/>
      </w:pPr>
      <w:r>
        <w:rPr>
          <w:rFonts w:eastAsia="等线" w:ascii="Arial" w:cs="Arial" w:hAnsi="Arial"/>
          <w:sz w:val="22"/>
        </w:rPr>
        <w:t>功能“提供偏置电压”，无自适应功能</w:t>
      </w:r>
    </w:p>
    <w:p>
      <w:pPr>
        <w:numPr>
          <w:numId w:val="189"/>
        </w:numPr>
        <w:spacing w:before="120" w:after="120" w:line="288" w:lineRule="auto"/>
        <w:ind w:left="0"/>
        <w:jc w:val="left"/>
      </w:pPr>
      <w:r>
        <w:rPr>
          <w:rFonts w:eastAsia="等线" w:ascii="Arial" w:cs="Arial" w:hAnsi="Arial"/>
          <w:b w:val="true"/>
          <w:sz w:val="22"/>
        </w:rPr>
        <w:t>AI第五引擎输出（部分）</w:t>
      </w:r>
    </w:p>
    <w:p>
      <w:pPr>
        <w:numPr>
          <w:numId w:val="190"/>
        </w:numPr>
        <w:spacing w:before="120" w:after="120" w:line="288" w:lineRule="auto"/>
        <w:ind w:left="453"/>
        <w:jc w:val="left"/>
      </w:pPr>
      <w:r>
        <w:rPr>
          <w:rFonts w:eastAsia="等线" w:ascii="Arial" w:cs="Arial" w:hAnsi="Arial"/>
          <w:b w:val="true"/>
          <w:sz w:val="22"/>
        </w:rPr>
        <w:t>功能悬空（高）</w:t>
      </w:r>
      <w:r>
        <w:rPr>
          <w:rFonts w:eastAsia="等线" w:ascii="Arial" w:cs="Arial" w:hAnsi="Arial"/>
          <w:sz w:val="22"/>
        </w:rPr>
        <w:t>：系统功能“高温下功率稳定”未分配到任何部件。</w:t>
      </w:r>
    </w:p>
    <w:p>
      <w:pPr>
        <w:spacing w:before="120" w:after="120" w:line="288" w:lineRule="auto"/>
        <w:ind w:left="453"/>
        <w:jc w:val="left"/>
      </w:pPr>
      <w:r>
        <w:rPr>
          <w:rFonts w:eastAsia="等线" w:ascii="Arial" w:cs="Arial" w:hAnsi="Arial"/>
          <w:sz w:val="22"/>
        </w:rPr>
        <w:t>建议：在部件C的DRBFM中增加“自适应偏置”功能，或在系统级增加控制模块。</w:t>
      </w:r>
    </w:p>
    <w:p>
      <w:pPr>
        <w:numPr>
          <w:numId w:val="191"/>
        </w:numPr>
        <w:spacing w:before="120" w:after="120" w:line="288" w:lineRule="auto"/>
        <w:ind w:left="453"/>
        <w:jc w:val="left"/>
      </w:pPr>
      <w:r>
        <w:rPr>
          <w:rFonts w:eastAsia="等线" w:ascii="Arial" w:cs="Arial" w:hAnsi="Arial"/>
          <w:b w:val="true"/>
          <w:sz w:val="22"/>
        </w:rPr>
        <w:t>失效断链（中）</w:t>
      </w:r>
      <w:r>
        <w:rPr>
          <w:rFonts w:eastAsia="等线" w:ascii="Arial" w:cs="Arial" w:hAnsi="Arial"/>
          <w:sz w:val="22"/>
        </w:rPr>
        <w:t>：系统失效“高温下功率回退”的原因指向“功放增益下降”，但部件A的FMEA中失效影响为“增益随温度下降”没有定义“导致功率回退”的系统影响。</w:t>
      </w:r>
    </w:p>
    <w:p>
      <w:pPr>
        <w:spacing w:before="120" w:after="120" w:line="288" w:lineRule="auto"/>
        <w:ind w:left="453"/>
        <w:jc w:val="left"/>
      </w:pPr>
      <w:r>
        <w:rPr>
          <w:rFonts w:eastAsia="等线" w:ascii="Arial" w:cs="Arial" w:hAnsi="Arial"/>
          <w:sz w:val="22"/>
        </w:rPr>
        <w:t>建议：部件A补充系统影响描述。</w:t>
      </w:r>
    </w:p>
    <w:p>
      <w:pPr>
        <w:numPr>
          <w:numId w:val="192"/>
        </w:numPr>
        <w:spacing w:before="120" w:after="120" w:line="288" w:lineRule="auto"/>
        <w:ind w:left="453"/>
        <w:jc w:val="left"/>
      </w:pPr>
      <w:r>
        <w:rPr>
          <w:rFonts w:eastAsia="等线" w:ascii="Arial" w:cs="Arial" w:hAnsi="Arial"/>
          <w:b w:val="true"/>
          <w:sz w:val="22"/>
        </w:rPr>
        <w:t>措施冲突（高）</w:t>
      </w:r>
      <w:r>
        <w:rPr>
          <w:rFonts w:eastAsia="等线" w:ascii="Arial" w:cs="Arial" w:hAnsi="Arial"/>
          <w:sz w:val="22"/>
        </w:rPr>
        <w:t>：系统级措施“设计自适应偏置电路”与部件C措施“固定偏置”直接冲突。</w:t>
      </w:r>
    </w:p>
    <w:p>
      <w:pPr>
        <w:spacing w:before="120" w:after="120" w:line="288" w:lineRule="auto"/>
        <w:ind w:left="453"/>
        <w:jc w:val="left"/>
      </w:pPr>
      <w:r>
        <w:rPr>
          <w:rFonts w:eastAsia="等线" w:ascii="Arial" w:cs="Arial" w:hAnsi="Arial"/>
          <w:sz w:val="22"/>
        </w:rPr>
        <w:t>建议：协调设计，删除部件C的固定偏置措施，或系统级修改措施。</w:t>
      </w:r>
    </w:p>
    <w:p>
      <w:pPr>
        <w:numPr>
          <w:numId w:val="193"/>
        </w:numPr>
        <w:spacing w:before="120" w:after="120" w:line="288" w:lineRule="auto"/>
        <w:ind w:left="453"/>
        <w:jc w:val="left"/>
      </w:pPr>
      <w:r>
        <w:rPr>
          <w:rFonts w:eastAsia="等线" w:ascii="Arial" w:cs="Arial" w:hAnsi="Arial"/>
          <w:b w:val="true"/>
          <w:sz w:val="22"/>
        </w:rPr>
        <w:t>变更涟漪未覆盖（中）</w:t>
      </w:r>
      <w:r>
        <w:rPr>
          <w:rFonts w:eastAsia="等线" w:ascii="Arial" w:cs="Arial" w:hAnsi="Arial"/>
          <w:sz w:val="22"/>
        </w:rPr>
        <w:t>：本次变更（更换功放管）导致热耗增加15%，系统级已分析热影响，但散热器DRBFM未重新计算散热裕度。</w:t>
      </w:r>
    </w:p>
    <w:p>
      <w:pPr>
        <w:spacing w:before="120" w:after="120" w:line="288" w:lineRule="auto"/>
        <w:ind w:left="453"/>
        <w:jc w:val="left"/>
      </w:pPr>
      <w:r>
        <w:rPr>
          <w:rFonts w:eastAsia="等线" w:ascii="Arial" w:cs="Arial" w:hAnsi="Arial"/>
          <w:sz w:val="22"/>
        </w:rPr>
        <w:t>建议：在散热器FMEA中补充“热负荷超过设计极限”的失效模式。</w:t>
      </w:r>
    </w:p>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color w:val="3370ff"/>
          <w:sz w:val="28"/>
        </w:rPr>
        <w:t xml:space="preserve">3.13.7.6 </w:t>
      </w:r>
      <w:r>
        <w:rPr>
          <w:rFonts w:eastAsia="等线" w:ascii="Arial" w:cs="Arial" w:hAnsi="Arial"/>
          <w:b w:val="true"/>
          <w:sz w:val="28"/>
        </w:rPr>
        <w:t>技术实现要点（FMEA IT+AI）</w:t>
      </w:r>
      <w:bookmarkEnd w:id="53"/>
    </w:p>
    <w:p>
      <w:pPr>
        <w:numPr>
          <w:numId w:val="194"/>
        </w:numPr>
        <w:spacing w:before="120" w:after="120" w:line="288" w:lineRule="auto"/>
        <w:ind w:left="0"/>
        <w:jc w:val="left"/>
      </w:pPr>
      <w:r>
        <w:rPr>
          <w:rFonts w:eastAsia="等线" w:ascii="Arial" w:cs="Arial" w:hAnsi="Arial"/>
          <w:b w:val="true"/>
          <w:sz w:val="22"/>
        </w:rPr>
        <w:t>数据结构要求</w:t>
      </w:r>
    </w:p>
    <w:p>
      <w:pPr>
        <w:spacing w:before="120" w:after="120" w:line="288" w:lineRule="auto"/>
        <w:ind w:left="0"/>
        <w:jc w:val="left"/>
      </w:pPr>
      <w:r>
        <w:rPr>
          <w:rFonts w:eastAsia="等线" w:ascii="Arial" w:cs="Arial" w:hAnsi="Arial"/>
          <w:sz w:val="22"/>
        </w:rPr>
        <w:t>为了支持第五引擎，FMEA IT系统需要将</w:t>
      </w:r>
      <w:r>
        <w:rPr>
          <w:rFonts w:eastAsia="等线" w:ascii="Arial" w:cs="Arial" w:hAnsi="Arial"/>
          <w:b w:val="true"/>
          <w:sz w:val="22"/>
        </w:rPr>
        <w:t>系统级与部件级DRBFM条目进行显式链接</w:t>
      </w:r>
      <w:r>
        <w:rPr>
          <w:rFonts w:eastAsia="等线" w:ascii="Arial" w:cs="Arial" w:hAnsi="Arial"/>
          <w:sz w:val="22"/>
        </w:rPr>
        <w:t>，推荐以下字段：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表名</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关键字段</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drbfm_item</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level (system/part), parent_id (指向上一级item), structure_node_id, function_id, failure_id, measure_id</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structure_node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name, level, parent_node_id</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description, owner_node_id</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mode, cause, effect, severity</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measure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description, type (design/process/verification)</w:t>
            </w:r>
          </w:p>
        </w:tc>
      </w:tr>
    </w:tbl>
    <w:p>
      <w:pPr>
        <w:spacing w:before="120" w:after="120" w:line="288" w:lineRule="auto"/>
        <w:ind w:left="0"/>
        <w:jc w:val="left"/>
      </w:pPr>
      <w:r>
        <w:rPr>
          <w:rFonts w:eastAsia="等线" w:ascii="Arial" w:cs="Arial" w:hAnsi="Arial"/>
          <w:sz w:val="22"/>
        </w:rPr>
        <w:t>有了这些结构化链接，AI就可以通过SQL/图查询快速定位跨层级不一致。</w:t>
      </w:r>
    </w:p>
    <w:p>
      <w:pPr>
        <w:spacing w:before="120" w:after="120" w:line="288" w:lineRule="auto"/>
        <w:ind w:left="0"/>
        <w:jc w:val="left"/>
      </w:pPr>
    </w:p>
    <w:p>
      <w:pPr>
        <w:numPr>
          <w:numId w:val="195"/>
        </w:numPr>
        <w:spacing w:before="120" w:after="120" w:line="288" w:lineRule="auto"/>
        <w:ind w:left="0"/>
        <w:jc w:val="left"/>
      </w:pPr>
      <w:r>
        <w:rPr>
          <w:rFonts w:eastAsia="等线" w:ascii="Arial" w:cs="Arial" w:hAnsi="Arial"/>
          <w:b w:val="true"/>
          <w:sz w:val="22"/>
        </w:rPr>
        <w:t>模型实现路径（推荐）</w:t>
      </w:r>
    </w:p>
    <w:p>
      <w:pPr>
        <w:numPr>
          <w:numId w:val="196"/>
        </w:numPr>
        <w:spacing w:before="120" w:after="120" w:line="288" w:lineRule="auto"/>
        <w:ind w:left="453"/>
        <w:jc w:val="left"/>
      </w:pPr>
      <w:r>
        <w:rPr>
          <w:rFonts w:eastAsia="等线" w:ascii="Arial" w:cs="Arial" w:hAnsi="Arial"/>
          <w:b w:val="true"/>
          <w:sz w:val="22"/>
        </w:rPr>
        <w:t>初期（规则为主）</w:t>
      </w:r>
      <w:r>
        <w:rPr>
          <w:rFonts w:eastAsia="等线" w:ascii="Arial" w:cs="Arial" w:hAnsi="Arial"/>
          <w:sz w:val="22"/>
        </w:rPr>
        <w:t>：使用图数据库（Neo4j）+ Cypher查询实现上述检测规则。例如检查功能悬空：</w:t>
      </w:r>
      <w:r>
        <w:rPr>
          <w:rFonts w:eastAsia="Consolas" w:ascii="Consolas" w:cs="Consolas" w:hAnsi="Consolas"/>
          <w:sz w:val="22"/>
          <w:shd w:fill="EFF0F1"/>
        </w:rPr>
        <w:t>MATCH (s:Funganction {level:'system'}) WHERE NOT (s)-[:REALIZED_BY]-&gt;(:Function {level:'part'}) RETURN s</w:t>
      </w:r>
      <w:r>
        <w:rPr>
          <w:rFonts w:eastAsia="等线" w:ascii="Arial" w:cs="Arial" w:hAnsi="Arial"/>
          <w:sz w:val="22"/>
        </w:rPr>
        <w:t>。</w:t>
      </w:r>
    </w:p>
    <w:p>
      <w:pPr>
        <w:numPr>
          <w:numId w:val="197"/>
        </w:numPr>
        <w:spacing w:before="120" w:after="120" w:line="288" w:lineRule="auto"/>
        <w:ind w:left="453"/>
        <w:jc w:val="left"/>
      </w:pPr>
      <w:r>
        <w:rPr>
          <w:rFonts w:eastAsia="等线" w:ascii="Arial" w:cs="Arial" w:hAnsi="Arial"/>
          <w:b w:val="true"/>
          <w:sz w:val="22"/>
        </w:rPr>
        <w:t>中期（混合）</w:t>
      </w:r>
      <w:r>
        <w:rPr>
          <w:rFonts w:eastAsia="等线" w:ascii="Arial" w:cs="Arial" w:hAnsi="Arial"/>
          <w:sz w:val="22"/>
        </w:rPr>
        <w:t>：对文本描述较强的部分（如措施冲突检测）使用</w:t>
      </w:r>
      <w:r>
        <w:rPr>
          <w:rFonts w:eastAsia="等线" w:ascii="Arial" w:cs="Arial" w:hAnsi="Arial"/>
          <w:b w:val="true"/>
          <w:sz w:val="22"/>
        </w:rPr>
        <w:t>微调的Sentence-BERT</w:t>
      </w:r>
      <w:r>
        <w:rPr>
          <w:rFonts w:eastAsia="等线" w:ascii="Arial" w:cs="Arial" w:hAnsi="Arial"/>
          <w:sz w:val="22"/>
        </w:rPr>
        <w:t>计算系统级与部件级措施描述的语义冲突分数（训练数据来自历史评审中的冲突案例）。</w:t>
      </w:r>
    </w:p>
    <w:p>
      <w:pPr>
        <w:numPr>
          <w:numId w:val="198"/>
        </w:numPr>
        <w:spacing w:before="120" w:after="120" w:line="288" w:lineRule="auto"/>
        <w:ind w:left="453"/>
        <w:jc w:val="left"/>
      </w:pPr>
      <w:r>
        <w:rPr>
          <w:rFonts w:eastAsia="等线" w:ascii="Arial" w:cs="Arial" w:hAnsi="Arial"/>
          <w:b w:val="true"/>
          <w:sz w:val="22"/>
        </w:rPr>
        <w:t>成熟期（图谱推理）</w:t>
      </w:r>
      <w:r>
        <w:rPr>
          <w:rFonts w:eastAsia="等线" w:ascii="Arial" w:cs="Arial" w:hAnsi="Arial"/>
          <w:sz w:val="22"/>
        </w:rPr>
        <w:t>：构建跨层级知识图谱，使用GNN预测潜在的不一致区域，主动提示评审人。</w:t>
      </w:r>
    </w:p>
    <w:p>
      <w:pPr>
        <w:spacing w:before="120" w:after="120" w:line="288" w:lineRule="auto"/>
        <w:ind w:left="907"/>
        <w:jc w:val="left"/>
      </w:pPr>
    </w:p>
    <w:p>
      <w:pPr>
        <w:numPr>
          <w:numId w:val="199"/>
        </w:numPr>
        <w:spacing w:before="120" w:after="120" w:line="288" w:lineRule="auto"/>
        <w:ind w:left="0"/>
        <w:jc w:val="left"/>
      </w:pPr>
      <w:r>
        <w:rPr>
          <w:rFonts w:eastAsia="等线" w:ascii="Arial" w:cs="Arial" w:hAnsi="Arial"/>
          <w:b w:val="true"/>
          <w:sz w:val="22"/>
        </w:rPr>
        <w:t>与用户交互设计</w:t>
      </w:r>
    </w:p>
    <w:p>
      <w:pPr>
        <w:numPr>
          <w:numId w:val="200"/>
        </w:numPr>
        <w:spacing w:before="120" w:after="120" w:line="288" w:lineRule="auto"/>
        <w:ind w:left="453"/>
        <w:jc w:val="left"/>
      </w:pPr>
      <w:r>
        <w:rPr>
          <w:rFonts w:eastAsia="等线" w:ascii="Arial" w:cs="Arial" w:hAnsi="Arial"/>
          <w:sz w:val="22"/>
        </w:rPr>
        <w:t>预评审报告中，将</w:t>
      </w:r>
      <w:r>
        <w:rPr>
          <w:rFonts w:eastAsia="等线" w:ascii="Arial" w:cs="Arial" w:hAnsi="Arial"/>
          <w:b w:val="true"/>
          <w:sz w:val="22"/>
        </w:rPr>
        <w:t>第五引擎的发现单独列为一个章节</w:t>
      </w:r>
      <w:r>
        <w:rPr>
          <w:rFonts w:eastAsia="等线" w:ascii="Arial" w:cs="Arial" w:hAnsi="Arial"/>
          <w:sz w:val="22"/>
        </w:rPr>
        <w:t>：“层级兼容性问题”</w:t>
      </w:r>
    </w:p>
    <w:p>
      <w:pPr>
        <w:numPr>
          <w:numId w:val="201"/>
        </w:numPr>
        <w:spacing w:before="120" w:after="120" w:line="288" w:lineRule="auto"/>
        <w:ind w:left="453"/>
        <w:jc w:val="left"/>
      </w:pPr>
      <w:r>
        <w:rPr>
          <w:rFonts w:eastAsia="等线" w:ascii="Arial" w:cs="Arial" w:hAnsi="Arial"/>
          <w:sz w:val="22"/>
        </w:rPr>
        <w:t>每个问题提供</w:t>
      </w:r>
      <w:r>
        <w:rPr>
          <w:rFonts w:eastAsia="等线" w:ascii="Arial" w:cs="Arial" w:hAnsi="Arial"/>
          <w:b w:val="true"/>
          <w:sz w:val="22"/>
        </w:rPr>
        <w:t>一键跳转</w:t>
      </w:r>
      <w:r>
        <w:rPr>
          <w:rFonts w:eastAsia="等线" w:ascii="Arial" w:cs="Arial" w:hAnsi="Arial"/>
          <w:sz w:val="22"/>
        </w:rPr>
        <w:t>到系统级与部件级对应条目</w:t>
      </w:r>
    </w:p>
    <w:p>
      <w:pPr>
        <w:numPr>
          <w:numId w:val="202"/>
        </w:numPr>
        <w:spacing w:before="120" w:after="120" w:line="288" w:lineRule="auto"/>
        <w:ind w:left="453"/>
        <w:jc w:val="left"/>
      </w:pPr>
      <w:r>
        <w:rPr>
          <w:rFonts w:eastAsia="等线" w:ascii="Arial" w:cs="Arial" w:hAnsi="Arial"/>
          <w:sz w:val="22"/>
        </w:rPr>
        <w:t>支持专家标记“假阳性”（用于模型持续学习）</w:t>
      </w:r>
    </w:p>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3.14 </w:t>
      </w:r>
      <w:r>
        <w:rPr>
          <w:rFonts w:eastAsia="等线" w:ascii="Arial" w:cs="Arial" w:hAnsi="Arial"/>
          <w:b w:val="true"/>
          <w:sz w:val="32"/>
        </w:rPr>
        <w:t>模型14：评审模型</w:t>
      </w:r>
      <w:bookmarkEnd w:id="54"/>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3.15 </w:t>
      </w:r>
      <w:r>
        <w:rPr>
          <w:rFonts w:eastAsia="等线" w:ascii="Arial" w:cs="Arial" w:hAnsi="Arial"/>
          <w:b w:val="true"/>
          <w:sz w:val="32"/>
        </w:rPr>
        <w:t>模型15：评审人员配置</w:t>
      </w:r>
      <w:bookmarkEnd w:id="55"/>
    </w:p>
    <w:p>
      <w:pPr>
        <w:spacing w:before="120" w:after="120" w:line="288" w:lineRule="auto"/>
        <w:ind w:left="0"/>
        <w:jc w:val="left"/>
      </w:pPr>
      <w:r>
        <w:rPr>
          <w:rFonts w:eastAsia="等线" w:ascii="Arial" w:cs="Arial" w:hAnsi="Arial"/>
          <w:sz w:val="22"/>
        </w:rPr>
        <w:t>推送评审任务时，增加角色澄清说明（含职责）</w:t>
      </w:r>
    </w:p>
    <w:p>
      <w:pPr>
        <w:pStyle w:val="3"/>
        <w:spacing w:before="300" w:after="120" w:line="288" w:lineRule="auto"/>
        <w:ind w:left="0"/>
        <w:jc w:val="left"/>
        <w:outlineLvl w:val="2"/>
      </w:pPr>
      <w:bookmarkStart w:name="heading_56" w:id="56"/>
      <w:r>
        <w:rPr>
          <w:rFonts w:eastAsia="等线" w:ascii="Arial" w:cs="Arial" w:hAnsi="Arial"/>
          <w:color w:val="3370ff"/>
          <w:sz w:val="30"/>
        </w:rPr>
        <w:t xml:space="preserve">3.15.1 </w:t>
      </w:r>
      <w:r>
        <w:rPr>
          <w:rFonts w:eastAsia="等线" w:ascii="Arial" w:cs="Arial" w:hAnsi="Arial"/>
          <w:b w:val="true"/>
          <w:sz w:val="30"/>
        </w:rPr>
        <w:t>DRBFM评审角色清单</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65"/>
        <w:gridCol w:w="2775"/>
        <w:gridCol w:w="3450"/>
        <w:gridCol w:w="1590"/>
      </w:tblGrid>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序号</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角色说明</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参考硬件原型</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专业组长（Discipline Lead）</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各专业领域（硬件、射频、天线、电源等）的技术负责人</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专业组长</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产品系统工程师（PSE）</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系统层面负责产品方案、接口定义和变更影响域分析</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PSE</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测试与验证工程师（TSE）</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制定针对变更点的验证方案、设计探测措施</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TSE</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维护代表（Serviceability Rep）</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代表可服务性/可维护性，评估变更对现网维护的影响</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维护代表</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硬件质量经理（Hardware Quality Manager）</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统筹DRBFM评审的质量维度，推动质量要求落地</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硬件质量经理</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DFX SE（DFX System Engineer）</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负责可制造性、可测试性、可装配性、可靠性等综合维度评估</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DFX SE</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制造代表（Manufacturing Rep）</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代表生产制造环节，评估变更对生产流程、产能、良率的影响</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制造代表</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软件/固件工程师（SW/FW Engineer）</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评估变更对嵌入式软件、协议栈、驱动等软件层面的影响</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（新增，通讯行业必需）</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射频/天线工程师（RF/Antenna Engineer）</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评估射频链路和天线相关的变更风险</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（新增，通讯行业必需）</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结构/热设计工程师（ME/Thermal Engineer）</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评估结构变更、散热设计变更对整机可靠性的影响</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单板工艺工程师（扩展）</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采购/供应商质量代表（SQE/Procurement Rep）</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评估物料/供应商变更对来料质量和供应链的影响</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bl>
    <w:p>
      <w:pPr>
        <w:pStyle w:val="3"/>
        <w:spacing w:before="300" w:after="120" w:line="288" w:lineRule="auto"/>
        <w:ind w:left="0"/>
        <w:jc w:val="left"/>
        <w:outlineLvl w:val="2"/>
      </w:pPr>
      <w:bookmarkStart w:name="heading_57" w:id="57"/>
      <w:r>
        <w:rPr>
          <w:rFonts w:eastAsia="等线" w:ascii="Arial" w:cs="Arial" w:hAnsi="Arial"/>
          <w:color w:val="3370ff"/>
          <w:sz w:val="30"/>
        </w:rPr>
        <w:t xml:space="preserve">3.15.2 </w:t>
      </w:r>
      <w:r>
        <w:rPr>
          <w:rFonts w:eastAsia="等线" w:ascii="Arial" w:cs="Arial" w:hAnsi="Arial"/>
          <w:b w:val="true"/>
          <w:sz w:val="30"/>
        </w:rPr>
        <w:t>各角色详细职责范围</w:t>
      </w:r>
      <w:bookmarkEnd w:id="57"/>
    </w:p>
    <w:p>
      <w:pPr>
        <w:pStyle w:val="4"/>
        <w:spacing w:before="260" w:after="120" w:line="288" w:lineRule="auto"/>
        <w:ind w:left="0"/>
        <w:jc w:val="left"/>
        <w:outlineLvl w:val="3"/>
      </w:pPr>
      <w:bookmarkStart w:name="heading_58" w:id="58"/>
      <w:r>
        <w:rPr>
          <w:rFonts w:eastAsia="等线" w:ascii="Arial" w:cs="Arial" w:hAnsi="Arial"/>
          <w:color w:val="3370ff"/>
          <w:sz w:val="28"/>
        </w:rPr>
        <w:t xml:space="preserve">3.15.2.1 </w:t>
      </w:r>
      <w:r>
        <w:rPr>
          <w:rFonts w:eastAsia="等线" w:ascii="Arial" w:cs="Arial" w:hAnsi="Arial"/>
          <w:b w:val="true"/>
          <w:sz w:val="28"/>
        </w:rPr>
        <w:t>专业组长</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6825"/>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专业把关</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对归属专业领域（硬件、射频、天线、电源、数字信号处理等）的设计变更方案进行技术评审</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失效模式识别</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基于专业经验，识别本专业变更点可能引入的潜在失效模式和根因</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设计基线对照</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对比变更方案与原设计方案，明确“变了什么、为什么要变、有什么不一样”</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方案建议</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对识别出的潜在风险提出设计优化方案和预防措施</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历史经验输入</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引用本专业的历史问题案例和缺陷数据，避免“旧病复发”</w:t>
            </w:r>
          </w:p>
        </w:tc>
      </w:tr>
    </w:tbl>
    <w:p>
      <w:pPr>
        <w:pStyle w:val="4"/>
        <w:spacing w:before="260" w:after="120" w:line="288" w:lineRule="auto"/>
        <w:ind w:left="0"/>
        <w:jc w:val="left"/>
        <w:outlineLvl w:val="3"/>
      </w:pPr>
      <w:bookmarkStart w:name="heading_59" w:id="59"/>
      <w:r>
        <w:rPr>
          <w:rFonts w:eastAsia="等线" w:ascii="Arial" w:cs="Arial" w:hAnsi="Arial"/>
          <w:color w:val="3370ff"/>
          <w:sz w:val="28"/>
        </w:rPr>
        <w:t xml:space="preserve">3.15.2.2 </w:t>
      </w:r>
      <w:r>
        <w:rPr>
          <w:rFonts w:eastAsia="等线" w:ascii="Arial" w:cs="Arial" w:hAnsi="Arial"/>
          <w:b w:val="true"/>
          <w:sz w:val="28"/>
        </w:rPr>
        <w:t>产品系统工程师（PSE）</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6705"/>
      </w:tblGrid>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变更影响域分析</w:t>
            </w:r>
          </w:p>
        </w:tc>
        <w:tc>
          <w:tcPr>
            <w:tcW w:w="6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从系统层面评估变更点的牵连影响——不仅看变更点本身，还要评估变更区域之外的间接影响</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接口风险评估</w:t>
            </w:r>
          </w:p>
        </w:tc>
        <w:tc>
          <w:tcPr>
            <w:tcW w:w="6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评估变更对系统内外部接口（硬件硬件、硬件软件、板间互联、对外通信接口等）的影响</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系统兼容性验证</w:t>
            </w:r>
          </w:p>
        </w:tc>
        <w:tc>
          <w:tcPr>
            <w:tcW w:w="6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确认变更与现有系统的前向/后向兼容性，评估对接和集成风险</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系统架构完整性</w:t>
            </w:r>
          </w:p>
        </w:tc>
        <w:tc>
          <w:tcPr>
            <w:tcW w:w="6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确保变更不破坏整体系统架构的完整性和设计方案的一致性</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多领域协调</w:t>
            </w:r>
          </w:p>
        </w:tc>
        <w:tc>
          <w:tcPr>
            <w:tcW w:w="6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协调跨专业（硬件、射频、软件、结构）的DRBFM分析结果，形成系统级的风险视图</w:t>
            </w:r>
          </w:p>
        </w:tc>
      </w:tr>
    </w:tbl>
    <w:p>
      <w:pPr>
        <w:pStyle w:val="4"/>
        <w:spacing w:before="260" w:after="120" w:line="288" w:lineRule="auto"/>
        <w:ind w:left="0"/>
        <w:jc w:val="left"/>
        <w:outlineLvl w:val="3"/>
      </w:pPr>
      <w:bookmarkStart w:name="heading_60" w:id="60"/>
      <w:r>
        <w:rPr>
          <w:rFonts w:eastAsia="等线" w:ascii="Arial" w:cs="Arial" w:hAnsi="Arial"/>
          <w:color w:val="3370ff"/>
          <w:sz w:val="28"/>
        </w:rPr>
        <w:t xml:space="preserve">3.15.2.3 </w:t>
      </w:r>
      <w:r>
        <w:rPr>
          <w:rFonts w:eastAsia="等线" w:ascii="Arial" w:cs="Arial" w:hAnsi="Arial"/>
          <w:b w:val="true"/>
          <w:sz w:val="28"/>
        </w:rPr>
        <w:t>测试与验证工程师（TSE）</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6795"/>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探测措施设计</w:t>
            </w:r>
          </w:p>
        </w:tc>
        <w:tc>
          <w:tcPr>
            <w:tcW w:w="6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针对每个变更点的潜在失效模式，设计有效的探测措施（测试用例、自动化测试脚本、故障注入等）</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验证方案覆盖</w:t>
            </w:r>
          </w:p>
        </w:tc>
        <w:tc>
          <w:tcPr>
            <w:tcW w:w="6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制定变更点的验证策略，确保测试方案的充分性和可执行性</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测试覆盖度评估</w:t>
            </w:r>
          </w:p>
        </w:tc>
        <w:tc>
          <w:tcPr>
            <w:tcW w:w="6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评估现有测试用例是否足以覆盖变更引入的失效风险，识别测试盲区</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回归测试建议</w:t>
            </w:r>
          </w:p>
        </w:tc>
        <w:tc>
          <w:tcPr>
            <w:tcW w:w="6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基于变更影响分析，提出需新增的回归测试范围及优先级</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测试数据分析</w:t>
            </w:r>
          </w:p>
        </w:tc>
        <w:tc>
          <w:tcPr>
            <w:tcW w:w="6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利用历史测试数据支持风险评分和失效概率判断</w:t>
            </w:r>
          </w:p>
        </w:tc>
      </w:tr>
    </w:tbl>
    <w:p>
      <w:pPr>
        <w:pStyle w:val="4"/>
        <w:spacing w:before="260" w:after="120" w:line="288" w:lineRule="auto"/>
        <w:ind w:left="0"/>
        <w:jc w:val="left"/>
        <w:outlineLvl w:val="3"/>
      </w:pPr>
      <w:bookmarkStart w:name="heading_61" w:id="61"/>
      <w:r>
        <w:rPr>
          <w:rFonts w:eastAsia="等线" w:ascii="Arial" w:cs="Arial" w:hAnsi="Arial"/>
          <w:color w:val="3370ff"/>
          <w:sz w:val="28"/>
        </w:rPr>
        <w:t xml:space="preserve">3.15.2.4 </w:t>
      </w:r>
      <w:r>
        <w:rPr>
          <w:rFonts w:eastAsia="等线" w:ascii="Arial" w:cs="Arial" w:hAnsi="Arial"/>
          <w:b w:val="true"/>
          <w:sz w:val="28"/>
        </w:rPr>
        <w:t>维护代表</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6615"/>
      </w:tblGrid>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6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可维护性评估</w:t>
            </w:r>
          </w:p>
        </w:tc>
        <w:tc>
          <w:tcPr>
            <w:tcW w:w="6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评估设计变更对设备/系统的可维护性（维修便利性、模块化程度、备件更换）的影响</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现网影响分析</w:t>
            </w:r>
          </w:p>
        </w:tc>
        <w:tc>
          <w:tcPr>
            <w:tcW w:w="6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评估变更对已在现网运行设备的运维操作、升级方案、故障排查流程的影响</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服务工具适配</w:t>
            </w:r>
          </w:p>
        </w:tc>
        <w:tc>
          <w:tcPr>
            <w:tcW w:w="6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确认变更是否需要更新维护工具、诊断程序、日志分析系统等配套工具</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备件策略评估</w:t>
            </w:r>
          </w:p>
        </w:tc>
        <w:tc>
          <w:tcPr>
            <w:tcW w:w="6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评估变更对备件SKU、备件周期、逆向物流的影响</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现场升级验证</w:t>
            </w:r>
          </w:p>
        </w:tc>
        <w:tc>
          <w:tcPr>
            <w:tcW w:w="6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参与现场升级/更换方案的风险评估，确保变更可平滑落地</w:t>
            </w:r>
          </w:p>
        </w:tc>
      </w:tr>
    </w:tbl>
    <w:p>
      <w:pPr>
        <w:pStyle w:val="4"/>
        <w:spacing w:before="260" w:after="120" w:line="288" w:lineRule="auto"/>
        <w:ind w:left="0"/>
        <w:jc w:val="left"/>
        <w:outlineLvl w:val="3"/>
      </w:pPr>
      <w:bookmarkStart w:name="heading_62" w:id="62"/>
      <w:r>
        <w:rPr>
          <w:rFonts w:eastAsia="等线" w:ascii="Arial" w:cs="Arial" w:hAnsi="Arial"/>
          <w:color w:val="3370ff"/>
          <w:sz w:val="28"/>
        </w:rPr>
        <w:t xml:space="preserve">3.15.2.5 </w:t>
      </w:r>
      <w:r>
        <w:rPr>
          <w:rFonts w:eastAsia="等线" w:ascii="Arial" w:cs="Arial" w:hAnsi="Arial"/>
          <w:b w:val="true"/>
          <w:sz w:val="28"/>
        </w:rPr>
        <w:t>硬件质量经理</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6825"/>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质量体系遵从</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确保DRBFM过程符合流程要求</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评审质量把关</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对DRBFM评审质量进行监察，确保评审不流于形式，确保“变化点”被充分识别和讨论</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风险等级判定</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组织对识别出的失效风险进行严重度、发生频度、探测度评分，确定行动优先级</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措施闭环跟踪</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跟踪DRBFM中提出的改进措施的落实进度，确保闭环验证</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质量数据赋能</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利用企业质量数据库（售后故障、制造缺陷、测试问题等）支持风险分析判断</w:t>
            </w:r>
          </w:p>
        </w:tc>
      </w:tr>
    </w:tbl>
    <w:p>
      <w:pPr>
        <w:pStyle w:val="4"/>
        <w:spacing w:before="260" w:after="120" w:line="288" w:lineRule="auto"/>
        <w:ind w:left="0"/>
        <w:jc w:val="left"/>
        <w:outlineLvl w:val="3"/>
      </w:pPr>
      <w:bookmarkStart w:name="heading_63" w:id="63"/>
      <w:r>
        <w:rPr>
          <w:rFonts w:eastAsia="等线" w:ascii="Arial" w:cs="Arial" w:hAnsi="Arial"/>
          <w:color w:val="3370ff"/>
          <w:sz w:val="28"/>
        </w:rPr>
        <w:t xml:space="preserve">3.15.2.6 </w:t>
      </w:r>
      <w:r>
        <w:rPr>
          <w:rFonts w:eastAsia="等线" w:ascii="Arial" w:cs="Arial" w:hAnsi="Arial"/>
          <w:b w:val="true"/>
          <w:sz w:val="28"/>
        </w:rPr>
        <w:t>DFX SE</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40"/>
        <w:gridCol w:w="6240"/>
      </w:tblGrid>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DFM（可制造性）</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评估变更对SMT贴装、波峰焊、分板、装配、自动化产线适配的影响</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DFT（可测试性）</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评估变更是否影响在线测试、功能测试、边界扫描的可测性，是否有新增测试点的需要</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DFA（可装配性）</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评估变更对装配工序、装配工具、装配顺序的影响</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DFR（可靠性）</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评估变更对产品寿命、MTBF、环境适应性（温湿度、振动、EMC等）的影响</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端到端DFX审视</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综合多维度DFX视角，对变更进行全方位的风险审视</w:t>
            </w:r>
          </w:p>
        </w:tc>
      </w:tr>
    </w:tbl>
    <w:p>
      <w:pPr>
        <w:pStyle w:val="4"/>
        <w:spacing w:before="260" w:after="120" w:line="288" w:lineRule="auto"/>
        <w:ind w:left="0"/>
        <w:jc w:val="left"/>
        <w:outlineLvl w:val="3"/>
      </w:pPr>
      <w:bookmarkStart w:name="heading_64" w:id="64"/>
      <w:r>
        <w:rPr>
          <w:rFonts w:eastAsia="等线" w:ascii="Arial" w:cs="Arial" w:hAnsi="Arial"/>
          <w:color w:val="3370ff"/>
          <w:sz w:val="28"/>
        </w:rPr>
        <w:t xml:space="preserve">3.15.2.7 </w:t>
      </w:r>
      <w:r>
        <w:rPr>
          <w:rFonts w:eastAsia="等线" w:ascii="Arial" w:cs="Arial" w:hAnsi="Arial"/>
          <w:b w:val="true"/>
          <w:sz w:val="28"/>
        </w:rPr>
        <w:t>制造代表</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6825"/>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生产工艺评估</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评估设计变更对生产工艺流程（贴装、测试、组装、包装、老化等）的影响</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产能与节拍评估</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评估变更对产线节拍、产能利用率、设备换型的影响</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工装/治具评估</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评估变更是否需要新增/改造生产工装、测试夹具、托盘等配套工具</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良率影响预估</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预估变更对生产良率的潜在影响，提出早期干预建议</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制程验证计划</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参与小批量试产/PVT阶段的制程验证计划，确认变更在生产环境下可行</w:t>
            </w:r>
          </w:p>
        </w:tc>
      </w:tr>
    </w:tbl>
    <w:p>
      <w:pPr>
        <w:pStyle w:val="4"/>
        <w:spacing w:before="260" w:after="120" w:line="288" w:lineRule="auto"/>
        <w:ind w:left="0"/>
        <w:jc w:val="left"/>
        <w:outlineLvl w:val="3"/>
      </w:pPr>
      <w:bookmarkStart w:name="heading_65" w:id="65"/>
      <w:r>
        <w:rPr>
          <w:rFonts w:eastAsia="等线" w:ascii="Arial" w:cs="Arial" w:hAnsi="Arial"/>
          <w:color w:val="3370ff"/>
          <w:sz w:val="28"/>
        </w:rPr>
        <w:t xml:space="preserve">3.15.2.8 </w:t>
      </w:r>
      <w:r>
        <w:rPr>
          <w:rFonts w:eastAsia="等线" w:ascii="Arial" w:cs="Arial" w:hAnsi="Arial"/>
          <w:b w:val="true"/>
          <w:sz w:val="28"/>
        </w:rPr>
        <w:t>软件/固件工程师</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6465"/>
      </w:tblGrid>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软硬件接口评估</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评估硬件变更对嵌入式软件驱动、寄存器配置、协议栈的影响</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BSP变更分析</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评估变更对板级支持包（BSP）、设备树、硬件抽象层（HAL）的影响</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固件兼容性评估</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评估新旧硬件版本对固件的兼容性要求，避免因硬件变更导致固件功能异常</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软件失效模式识别</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识别因硬件变更可能触发的软件失效模式（时序问题、死锁、资源冲突、信号干扰等）</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软件验证方案</w:t>
            </w:r>
          </w:p>
        </w:tc>
        <w:tc>
          <w:tcPr>
            <w:tcW w:w="6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制定或更新软件单元测试、集成测试用例，确保变更在软件层面被充分验证</w:t>
            </w:r>
          </w:p>
        </w:tc>
      </w:tr>
    </w:tbl>
    <w:p>
      <w:pPr>
        <w:pStyle w:val="4"/>
        <w:spacing w:before="260" w:after="120" w:line="288" w:lineRule="auto"/>
        <w:ind w:left="0"/>
        <w:jc w:val="left"/>
        <w:outlineLvl w:val="3"/>
      </w:pPr>
      <w:bookmarkStart w:name="heading_66" w:id="66"/>
      <w:r>
        <w:rPr>
          <w:rFonts w:eastAsia="等线" w:ascii="Arial" w:cs="Arial" w:hAnsi="Arial"/>
          <w:color w:val="3370ff"/>
          <w:sz w:val="28"/>
        </w:rPr>
        <w:t xml:space="preserve">3.15.2.9 </w:t>
      </w:r>
      <w:r>
        <w:rPr>
          <w:rFonts w:eastAsia="等线" w:ascii="Arial" w:cs="Arial" w:hAnsi="Arial"/>
          <w:b w:val="true"/>
          <w:sz w:val="28"/>
        </w:rPr>
        <w:t>射频/天线工程师</w:t>
      </w:r>
      <w:r>
        <w:rPr>
          <w:rFonts w:eastAsia="等线" w:ascii="Arial" w:cs="Arial" w:hAnsi="Arial"/>
          <w:b w:val="true"/>
          <w:i w:val="true"/>
          <w:sz w:val="28"/>
        </w:rPr>
        <w:t>（通讯行业特有核心角色）</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658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射频链路评估</w:t>
            </w:r>
          </w:p>
        </w:tc>
        <w:tc>
          <w:tcPr>
            <w:tcW w:w="6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评估变更对射频前端链路增益、噪声系数、线性度、发射功率等关键指标的影响</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天线性能评估</w:t>
            </w:r>
          </w:p>
        </w:tc>
        <w:tc>
          <w:tcPr>
            <w:tcW w:w="6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评估结构变更、PCB布局变更、屏蔽设计变更对天线效率、增益、方向图、隔离度的影响</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EMC/EMI评估</w:t>
            </w:r>
          </w:p>
        </w:tc>
        <w:tc>
          <w:tcPr>
            <w:tcW w:w="6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评估变更对电磁兼容性的影响，包括传导/辐射发射、抗扰度、静电防护等</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射频参数变更识别</w:t>
            </w:r>
          </w:p>
        </w:tc>
        <w:tc>
          <w:tcPr>
            <w:tcW w:w="6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识别射频物料/器件变更（PA、LNA、滤波器、开关、晶振等）带来的阻抗匹配和调校风险</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互调/杂散评估</w:t>
            </w:r>
          </w:p>
        </w:tc>
        <w:tc>
          <w:tcPr>
            <w:tcW w:w="6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评估变更对无源互调（PIM）、谐波、杂散发射的影响</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测试验证方案</w:t>
            </w:r>
          </w:p>
        </w:tc>
        <w:tc>
          <w:tcPr>
            <w:tcW w:w="6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制定射频性能验证计划和测试极限标准</w:t>
            </w:r>
          </w:p>
        </w:tc>
      </w:tr>
    </w:tbl>
    <w:p>
      <w:pPr>
        <w:pStyle w:val="4"/>
        <w:spacing w:before="260" w:after="120" w:line="288" w:lineRule="auto"/>
        <w:ind w:left="0"/>
        <w:jc w:val="left"/>
        <w:outlineLvl w:val="3"/>
      </w:pPr>
      <w:bookmarkStart w:name="heading_67" w:id="67"/>
      <w:r>
        <w:rPr>
          <w:rFonts w:eastAsia="等线" w:ascii="Arial" w:cs="Arial" w:hAnsi="Arial"/>
          <w:color w:val="3370ff"/>
          <w:sz w:val="28"/>
        </w:rPr>
        <w:t xml:space="preserve">3.15.2.10 </w:t>
      </w:r>
      <w:r>
        <w:rPr>
          <w:rFonts w:eastAsia="等线" w:ascii="Arial" w:cs="Arial" w:hAnsi="Arial"/>
          <w:b w:val="true"/>
          <w:sz w:val="28"/>
        </w:rPr>
        <w:t>结构/热设计工程师</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6330"/>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3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结构完整性评估</w:t>
            </w:r>
          </w:p>
        </w:tc>
        <w:tc>
          <w:tcPr>
            <w:tcW w:w="6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评估结构变更对整机强度、防水密封、振动/冲击耐受性的影响</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热设计评估</w:t>
            </w:r>
          </w:p>
        </w:tc>
        <w:tc>
          <w:tcPr>
            <w:tcW w:w="6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评估变更（器件布局、散热器设计、风道变化等）对器件温升、整机散热的影响</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材料变更评估</w:t>
            </w:r>
          </w:p>
        </w:tc>
        <w:tc>
          <w:tcPr>
            <w:tcW w:w="6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评估结构件材料/表面处理变更对性能、寿命、可靠性的影响</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装配工艺评估</w:t>
            </w:r>
          </w:p>
        </w:tc>
        <w:tc>
          <w:tcPr>
            <w:tcW w:w="6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评估结构变更对整机装配顺序、紧固方式、连接可靠性的影响</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可靠性测试方案</w:t>
            </w:r>
          </w:p>
        </w:tc>
        <w:tc>
          <w:tcPr>
            <w:tcW w:w="6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制定结构可靠性和散热相关的验证用例（高低温、温循、振动、跌落等）</w:t>
            </w:r>
          </w:p>
        </w:tc>
      </w:tr>
    </w:tbl>
    <w:p>
      <w:pPr>
        <w:pStyle w:val="4"/>
        <w:spacing w:before="260" w:after="120" w:line="288" w:lineRule="auto"/>
        <w:ind w:left="0"/>
        <w:jc w:val="left"/>
        <w:outlineLvl w:val="3"/>
      </w:pPr>
      <w:bookmarkStart w:name="heading_68" w:id="68"/>
      <w:r>
        <w:rPr>
          <w:rFonts w:eastAsia="等线" w:ascii="Arial" w:cs="Arial" w:hAnsi="Arial"/>
          <w:color w:val="3370ff"/>
          <w:sz w:val="28"/>
        </w:rPr>
        <w:t xml:space="preserve">3.15.2.11 </w:t>
      </w:r>
      <w:r>
        <w:rPr>
          <w:rFonts w:eastAsia="等线" w:ascii="Arial" w:cs="Arial" w:hAnsi="Arial"/>
          <w:b w:val="true"/>
          <w:sz w:val="28"/>
        </w:rPr>
        <w:t>采购/供应商质量代表</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6555"/>
      </w:tblGrid>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职责类别</w:t>
            </w:r>
          </w:p>
        </w:tc>
        <w:tc>
          <w:tcPr>
            <w:tcW w:w="6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职责内容</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物料变更评估</w:t>
            </w:r>
          </w:p>
        </w:tc>
        <w:tc>
          <w:tcPr>
            <w:tcW w:w="6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评估物料/器件/供应商的变更对来料质量、交期、成本的影响</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供应商能力审核</w:t>
            </w:r>
          </w:p>
        </w:tc>
        <w:tc>
          <w:tcPr>
            <w:tcW w:w="6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对新增或变更的供应商进行能力审核，确保其质量体系和产能满足要求</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物料替代风险评估</w:t>
            </w:r>
          </w:p>
        </w:tc>
        <w:tc>
          <w:tcPr>
            <w:tcW w:w="6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识别物料替代/降本替换方案中的潜在风险（兼容性、寿命、可靠性等）</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供应连续性评估</w:t>
            </w:r>
          </w:p>
        </w:tc>
        <w:tc>
          <w:tcPr>
            <w:tcW w:w="6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评估变更是对物料供应策略、备用供应商计划的影响</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来料检验方案</w:t>
            </w:r>
          </w:p>
        </w:tc>
        <w:tc>
          <w:tcPr>
            <w:tcW w:w="6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制定或更新变更物料的来料检验标准和抽样方案</w:t>
            </w:r>
          </w:p>
        </w:tc>
      </w:tr>
    </w:tbl>
    <w:p>
      <w:pPr>
        <w:pStyle w:val="3"/>
        <w:spacing w:before="300" w:after="120" w:line="288" w:lineRule="auto"/>
        <w:ind w:left="0"/>
        <w:jc w:val="left"/>
        <w:outlineLvl w:val="2"/>
      </w:pPr>
      <w:bookmarkStart w:name="heading_69" w:id="69"/>
      <w:r>
        <w:rPr>
          <w:rFonts w:eastAsia="等线" w:ascii="Arial" w:cs="Arial" w:hAnsi="Arial"/>
          <w:color w:val="3370ff"/>
          <w:sz w:val="30"/>
        </w:rPr>
        <w:t xml:space="preserve">3.15.3 </w:t>
      </w:r>
      <w:r>
        <w:rPr>
          <w:rFonts w:eastAsia="等线" w:ascii="Arial" w:cs="Arial" w:hAnsi="Arial"/>
          <w:b w:val="true"/>
          <w:sz w:val="30"/>
        </w:rPr>
        <w:t>DRBFM评审角色体系配置建议</w:t>
      </w:r>
      <w:bookmarkEnd w:id="69"/>
    </w:p>
    <w:p>
      <w:pPr>
        <w:spacing w:before="120" w:after="120" w:line="288" w:lineRule="auto"/>
        <w:ind w:left="0"/>
        <w:jc w:val="left"/>
      </w:pPr>
      <w:r>
        <w:rPr>
          <w:rFonts w:eastAsia="等线" w:ascii="Arial" w:cs="Arial" w:hAnsi="Arial"/>
          <w:sz w:val="22"/>
        </w:rPr>
        <w:t>在实际项目中，不必每个角色都独立配置，可根据项目规模和变更的复杂程度灵活组合：</w:t>
      </w:r>
      <w:r>
        <w:rPr>
          <w:rFonts w:eastAsia="等线" w:ascii="Arial" w:cs="Arial" w:hAnsi="Arial"/>
          <w:b w:val="true"/>
          <w:color w:val="245bdb"/>
          <w:sz w:val="22"/>
        </w:rPr>
        <w:t>专业组长+PSE+TSE+硬件质量经理+DFX SE是必选角色，其他配置为可选</w:t>
      </w:r>
    </w:p>
    <w:p>
      <w:pPr>
        <w:pStyle w:val="1"/>
        <w:spacing w:before="380" w:after="140" w:line="288" w:lineRule="auto"/>
        <w:ind w:left="0"/>
        <w:jc w:val="left"/>
        <w:outlineLvl w:val="0"/>
      </w:pPr>
      <w:bookmarkStart w:name="heading_70" w:id="70"/>
      <w:r>
        <w:rPr>
          <w:rFonts w:eastAsia="等线" w:ascii="Arial" w:cs="Arial" w:hAnsi="Arial"/>
          <w:color w:val="3370ff"/>
          <w:sz w:val="36"/>
        </w:rPr>
        <w:t xml:space="preserve">4. </w:t>
      </w:r>
      <w:r>
        <w:rPr>
          <w:rFonts w:eastAsia="等线" w:ascii="Arial" w:cs="Arial" w:hAnsi="Arial"/>
          <w:b w:val="true"/>
          <w:sz w:val="36"/>
        </w:rPr>
        <w:t>角色职责分配及权限设置</w:t>
      </w:r>
      <w:bookmarkEnd w:id="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1500"/>
        <w:gridCol w:w="1935"/>
        <w:gridCol w:w="1980"/>
        <w:gridCol w:w="2070"/>
      </w:tblGrid>
      <w:tr>
        <w:tc>
          <w:tcPr>
            <w:tcW w:w="795"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系统配置设置</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项目FMEA管理权限/编辑权限</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组织内所有项目FMEA阅读权限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基础库的管理权限/编辑权限</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公司级通用</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@陈杏芳</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@陈杏芳</w:t>
            </w:r>
            <w:r>
              <w:rPr>
                <w:rFonts w:eastAsia="等线" w:ascii="Arial" w:cs="Arial" w:hAnsi="Arial"/>
                <w:color w:val="3370ff"/>
                <w:sz w:val="22"/>
              </w:rPr>
              <w:t>@叶思帅 yesishuai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@陈杏芳</w:t>
            </w:r>
            <w:r>
              <w:rPr>
                <w:rFonts w:eastAsia="等线" w:ascii="Arial" w:cs="Arial" w:hAnsi="Arial"/>
                <w:color w:val="3370ff"/>
                <w:sz w:val="22"/>
              </w:rPr>
              <w:t>@叶思帅 yesishuai</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CBG</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@钟海帆</w:t>
            </w:r>
            <w:r>
              <w:rPr>
                <w:rFonts w:eastAsia="等线" w:ascii="Arial" w:cs="Arial" w:hAnsi="Arial"/>
                <w:color w:val="3370ff"/>
                <w:sz w:val="22"/>
              </w:rPr>
              <w:t>@张道源</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该项目TSE/PSE及其指派人员</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@钟海帆</w:t>
            </w:r>
            <w:r>
              <w:rPr>
                <w:rFonts w:eastAsia="等线" w:ascii="Arial" w:cs="Arial" w:hAnsi="Arial"/>
                <w:color w:val="3370ff"/>
                <w:sz w:val="22"/>
              </w:rPr>
              <w:t>@张道源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@钟海帆</w:t>
            </w:r>
            <w:r>
              <w:rPr>
                <w:rFonts w:eastAsia="等线" w:ascii="Arial" w:cs="Arial" w:hAnsi="Arial"/>
                <w:color w:val="3370ff"/>
                <w:sz w:val="22"/>
              </w:rPr>
              <w:t>@张道源</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SBG</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@张瀛 Ying Zhang</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该项目PSE及其指派人员</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@张瀛 Ying Zhang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@张瀛 Ying Zhang</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@左景帅</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该项目PSE及其指派人员</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@左景帅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@左景帅</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公共平台</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@张道源</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项目内：由该项目TSE/PSE指派；</w:t>
            </w:r>
          </w:p>
          <w:p>
            <w:pPr>
              <w:spacing w:before="120" w:after="120" w:line="288" w:lineRule="auto"/>
              <w:ind w:left="0"/>
              <w:jc w:val="left"/>
            </w:pPr>
            <w:r>
              <w:rPr>
                <w:rFonts w:eastAsia="等线" w:ascii="Arial" w:cs="Arial" w:hAnsi="Arial"/>
                <w:sz w:val="22"/>
              </w:rPr>
              <w:t>项目外：专业域田主</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@张道源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@张道源</w:t>
            </w:r>
          </w:p>
        </w:tc>
      </w:tr>
    </w:tbl>
    <w:p>
      <w:pPr>
        <w:spacing w:before="120" w:after="120" w:line="288" w:lineRule="auto"/>
        <w:ind w:left="0"/>
        <w:jc w:val="left"/>
      </w:pPr>
      <w:r>
        <w:rPr>
          <w:rFonts w:eastAsia="等线" w:ascii="Arial" w:cs="Arial" w:hAnsi="Arial"/>
          <w:sz w:val="22"/>
        </w:rPr>
        <w:t>FMEA管理权限：包含给其他人开通管理权限，编辑权限，阅读权限，评审权限，审批权限。</w:t>
      </w:r>
    </w:p>
    <w:p>
      <w:pPr>
        <w:spacing w:before="120" w:after="120" w:line="288" w:lineRule="auto"/>
        <w:ind w:left="0"/>
        <w:jc w:val="left"/>
      </w:pPr>
      <w:r>
        <w:rPr>
          <w:rFonts w:eastAsia="等线" w:ascii="Arial" w:cs="Arial" w:hAnsi="Arial"/>
          <w:b w:val="true"/>
          <w:sz w:val="22"/>
        </w:rPr>
        <w:t>备注</w:t>
      </w:r>
      <w:r>
        <w:rPr>
          <w:rFonts w:eastAsia="等线" w:ascii="Arial" w:cs="Arial" w:hAnsi="Arial"/>
          <w:sz w:val="22"/>
        </w:rPr>
        <w:t>：</w:t>
      </w:r>
    </w:p>
    <w:p>
      <w:pPr>
        <w:numPr>
          <w:numId w:val="203"/>
        </w:numPr>
        <w:spacing w:before="120" w:after="120" w:line="288" w:lineRule="auto"/>
        <w:ind w:left="0"/>
        <w:jc w:val="left"/>
      </w:pPr>
      <w:r>
        <w:rPr>
          <w:rFonts w:eastAsia="等线" w:ascii="Arial" w:cs="Arial" w:hAnsi="Arial"/>
          <w:sz w:val="22"/>
        </w:rPr>
        <w:t>仅有管理权限和编辑权限，才有FMEA表单导出权限；</w:t>
      </w:r>
    </w:p>
    <w:p>
      <w:pPr>
        <w:numPr>
          <w:numId w:val="204"/>
        </w:numPr>
        <w:spacing w:before="120" w:after="120" w:line="288" w:lineRule="auto"/>
        <w:ind w:left="0"/>
        <w:jc w:val="left"/>
      </w:pPr>
      <w:r>
        <w:rPr>
          <w:rFonts w:eastAsia="等线" w:ascii="Arial" w:cs="Arial" w:hAnsi="Arial"/>
          <w:sz w:val="22"/>
        </w:rPr>
        <w:t>页面支持权限申请，申请审批人即为管理权限所有者</w:t>
      </w:r>
    </w:p>
    <w:p>
      <w:pPr>
        <w:pStyle w:val="1"/>
        <w:spacing w:before="380" w:after="140" w:line="288" w:lineRule="auto"/>
        <w:ind w:left="0"/>
        <w:jc w:val="left"/>
        <w:outlineLvl w:val="0"/>
      </w:pPr>
      <w:bookmarkStart w:name="heading_71" w:id="71"/>
      <w:r>
        <w:rPr>
          <w:rFonts w:eastAsia="等线" w:ascii="Arial" w:cs="Arial" w:hAnsi="Arial"/>
          <w:color w:val="3370ff"/>
          <w:sz w:val="36"/>
        </w:rPr>
        <w:t xml:space="preserve">5. </w:t>
      </w:r>
      <w:r>
        <w:rPr>
          <w:rFonts w:eastAsia="等线" w:ascii="Arial" w:cs="Arial" w:hAnsi="Arial"/>
          <w:b w:val="true"/>
          <w:sz w:val="36"/>
        </w:rPr>
        <w:t>知识图谱建立及维护</w:t>
      </w:r>
      <w:bookmarkEnd w:id="71"/>
    </w:p>
    <w:p>
      <w:pPr>
        <w:spacing w:before="120" w:after="120" w:line="288" w:lineRule="auto"/>
        <w:ind w:left="0"/>
        <w:jc w:val="left"/>
      </w:pPr>
      <w:r>
        <w:rPr>
          <w:rFonts w:eastAsia="等线" w:ascii="Arial" w:cs="Arial" w:hAnsi="Arial"/>
          <w:b w:val="true"/>
          <w:color w:val="d83931"/>
          <w:sz w:val="22"/>
        </w:rPr>
        <w:t>8/30或9/30考虑：需要与不同BG及专业域讨论共建及清洗</w:t>
      </w:r>
    </w:p>
    <w:p>
      <w:pPr>
        <w:spacing w:before="120" w:after="120" w:line="288" w:lineRule="auto"/>
        <w:ind w:left="0"/>
        <w:jc w:val="left"/>
      </w:pPr>
      <w:r>
        <w:rPr>
          <w:rFonts w:eastAsia="等线" w:ascii="Arial" w:cs="Arial" w:hAnsi="Arial"/>
          <w:sz w:val="22"/>
        </w:rPr>
        <w:t>支持现有各种文件的导入</w:t>
      </w:r>
    </w:p>
    <w:p>
      <w:pPr>
        <w:spacing w:before="120" w:after="120" w:line="288" w:lineRule="auto"/>
        <w:ind w:left="0"/>
        <w:jc w:val="left"/>
      </w:pPr>
      <w:r>
        <w:rPr>
          <w:rFonts w:eastAsia="等线" w:ascii="Arial" w:cs="Arial" w:hAnsi="Arial"/>
          <w:sz w:val="22"/>
        </w:rPr>
        <w:t>不同模板的FMEA文件，DFX,历史问题</w:t>
      </w:r>
    </w:p>
    <w:p>
      <w:pPr>
        <w:spacing w:before="120" w:after="120" w:line="288" w:lineRule="auto"/>
        <w:ind w:left="0"/>
        <w:jc w:val="left"/>
      </w:pPr>
      <w:r>
        <w:rPr>
          <w:rFonts w:eastAsia="等线" w:ascii="Arial" w:cs="Arial" w:hAnsi="Arial"/>
          <w:sz w:val="22"/>
        </w:rPr>
        <w:t>知识图谱的结构化，编码，清洗</w:t>
      </w:r>
    </w:p>
    <w:p>
      <w:pPr>
        <w:spacing w:before="120" w:after="120" w:line="288" w:lineRule="auto"/>
        <w:ind w:left="0"/>
        <w:jc w:val="left"/>
      </w:pPr>
    </w:p>
    <w:p>
      <w:pPr>
        <w:numPr>
          <w:numId w:val="205"/>
        </w:numPr>
        <w:spacing w:before="120" w:after="120" w:line="288" w:lineRule="auto"/>
        <w:ind w:left="0"/>
        <w:jc w:val="left"/>
      </w:pPr>
      <w:r>
        <w:rPr>
          <w:rFonts w:eastAsia="等线" w:ascii="Arial" w:cs="Arial" w:hAnsi="Arial"/>
          <w:sz w:val="22"/>
        </w:rPr>
        <w:t>CBG&amp;公共平台现有基线库</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5595"/>
      </w:tblGrid>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基线</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链接</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FMEA基线库（系统）</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https://km.ruijie.com.cn/kms/multidoc/kms_multidoc_knowledge/kmsMultidocKnowledge.do?method=view&amp;fdId=1956f9aee23a427501f76de4797a6ef0</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FMEA必选基线库</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https://km.ruijie.com.cn/kms/multidoc/kms_multidoc_knowledge/kmsMultidocKnowledge.do?method=view&amp;fdId=19d8658614c5e30a49e4a864e419257c</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FMEA基线库（模拟组）</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https://km.ruijie.com.cn/kms/multidoc/kms_multidoc_knowledge/kmsMultidocKnowledge.do?method=view&amp;fdId=195ef2f156610a272c68ef847cd91372</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FMEA基线库（模块）</w:t>
            </w:r>
          </w:p>
          <w:p>
            <w:pPr>
              <w:spacing w:before="120" w:after="120" w:line="288" w:lineRule="auto"/>
              <w:ind w:left="0"/>
              <w:jc w:val="left"/>
            </w:pPr>
            <w:r>
              <w:rPr>
                <w:rFonts w:eastAsia="等线" w:ascii="Arial" w:cs="Arial" w:hAnsi="Arial"/>
                <w:sz w:val="22"/>
              </w:rPr>
              <w:t>-----开关电源、风扇、光模块</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https://km.ruijie.com.cn/kms/multidoc/kms_multidoc_knowledge/kmsMultidocKnowledge.do?method=view&amp;fdId=195ef2a4d345a8e3840941e4e32ad257</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FMEA基线库（逻辑）</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https://km.ruijie.com.cn/kms/multidoc/kms_multidoc_knowledge/kmsMultidocKnowledge.do?method=view&amp;fdId=195ef3a5b5b828923e522f84be59602b</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FMEA基线库（MAC+PHY）</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https://km.ruijie.com.cn/kms/multidoc/kms_multidoc_knowledge/kmsMultidocKnowledge.do?method=view&amp;fdId=195ef343065a426400c61db4a5b8fe59</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FMEA基线库（CPU子系统）</w:t>
            </w:r>
          </w:p>
        </w:tc>
        <w:tc>
          <w:tcPr>
            <w:tcW w:w="5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https://km.ruijie.com.cn/kms/multidoc/kms_multidoc_knowledge/kmsMultidocKnowledge.do?method=view&amp;fdId=195ef3721fe4d10597661fa481b83aff</w:t>
            </w:r>
          </w:p>
        </w:tc>
      </w:tr>
    </w:tbl>
    <w:p>
      <w:pPr>
        <w:numPr>
          <w:numId w:val="206"/>
        </w:numPr>
        <w:spacing w:before="120" w:after="120" w:line="288" w:lineRule="auto"/>
        <w:ind w:left="0"/>
        <w:jc w:val="left"/>
      </w:pPr>
      <w:r>
        <w:rPr>
          <w:rFonts w:eastAsia="等线" w:ascii="Arial" w:cs="Arial" w:hAnsi="Arial"/>
          <w:sz w:val="22"/>
        </w:rPr>
        <w:t>各专业域负责人</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2820"/>
        <w:gridCol w:w="1245"/>
        <w:gridCol w:w="1395"/>
        <w:gridCol w:w="1470"/>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FMEA分析领域</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领域说明</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角色代表</w:t>
              <w:br/>
            </w:r>
            <w:r>
              <w:rPr>
                <w:rFonts w:eastAsia="等线" w:ascii="Arial" w:cs="Arial" w:hAnsi="Arial"/>
                <w:sz w:val="22"/>
              </w:rPr>
              <w:t>具体项目按照项目任命执行</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备注</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1、框式设备整机模块分析</w:t>
              <w:br/>
              <w:t>2、框式设备背板相关的跨板信号分析</w:t>
              <w:br/>
            </w:r>
            <w:r>
              <w:rPr>
                <w:rFonts w:eastAsia="等线" w:ascii="Arial" w:cs="Arial" w:hAnsi="Arial"/>
                <w:sz w:val="22"/>
              </w:rPr>
              <w:t>说明：盒式设备电源、风扇、mac、base、port跨板信号分析，纳入单板分析范围。</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彭文进</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单板</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板内信号、总线的分析</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无整体接口，按照项目任命</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开关电源模块</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整机电源失效分析</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开关电源设计工程师</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冯雷</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李武</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风扇模块</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整机风扇失效分析</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部品代表指定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阮克濂</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张忠臣</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光模块</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光模块失效分析</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部品代表指定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王晓杰1</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板内电源模块</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板内CBB电源，含单板、扣板、子卡等</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模拟设计</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程为安</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板内时钟模块</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板内CBB时钟，含单板、扣板、子卡等</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模拟设计</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陈金海</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业务芯片失效分析（内部及外部接口）</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项目PSE</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李辉堆</w:t>
            </w:r>
          </w:p>
          <w:p>
            <w:pPr>
              <w:spacing w:before="120" w:after="120" w:line="288" w:lineRule="auto"/>
              <w:ind w:left="0"/>
              <w:jc w:val="left"/>
            </w:pPr>
            <w:r>
              <w:rPr>
                <w:rFonts w:eastAsia="等线" w:ascii="Arial" w:cs="Arial" w:hAnsi="Arial"/>
                <w:color w:val="d83931"/>
                <w:sz w:val="22"/>
              </w:rPr>
              <w:t>Q3后交接到MAC专业组（暂定）</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数据面PHY器件内部失效分析（内部及外部接口）</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项目PSE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李辉堆</w:t>
            </w:r>
          </w:p>
          <w:p>
            <w:pPr>
              <w:spacing w:before="120" w:after="120" w:line="288" w:lineRule="auto"/>
              <w:ind w:left="0"/>
              <w:jc w:val="left"/>
            </w:pPr>
            <w:r>
              <w:rPr>
                <w:rFonts w:eastAsia="等线" w:ascii="Arial" w:cs="Arial" w:hAnsi="Arial"/>
                <w:color w:val="d83931"/>
                <w:sz w:val="22"/>
              </w:rPr>
              <w:t>Q3后交接到MAC专业组（暂定）</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CPU器件</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CPU芯片的失效分析（内部及外部接口、内部单元模块）</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CPU设计</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王学周</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CPU扣卡</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CPU扣卡的FMEA分析</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CPU设计</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王学周</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BMC扣卡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BMC扣卡的FMEA分析</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CPU设计</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王伟杰 virgil</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内存专项失效分析（含内存条、颗粒）</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部品代表指定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林伟坤</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主存储</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主存储失效分析（含EMMC、EUSB、SSD等）</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部品代表指定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吴玉源</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控制逻辑</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单板小逻辑（含扣板）、监控面FPGA</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CPLD设计</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胡守峰</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业务逻辑</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业务FPGA内部模块失效分析</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FPGA设计</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潘贺</w:t>
            </w: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VC散热器</w:t>
            </w:r>
          </w:p>
        </w:tc>
        <w:tc>
          <w:tcPr>
            <w:tcW w:w="2970" w:type="dxa"/>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导热垫</w:t>
            </w:r>
          </w:p>
        </w:tc>
        <w:tc>
          <w:tcPr>
            <w:tcW w:w="2970" w:type="dxa"/>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冷板</w:t>
            </w:r>
          </w:p>
        </w:tc>
        <w:tc>
          <w:tcPr>
            <w:tcW w:w="2970" w:type="dxa"/>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72" w:id="72"/>
      <w:r>
        <w:rPr>
          <w:rFonts w:eastAsia="等线" w:ascii="Arial" w:cs="Arial" w:hAnsi="Arial"/>
          <w:color w:val="3370ff"/>
          <w:sz w:val="36"/>
        </w:rPr>
        <w:t xml:space="preserve">6. </w:t>
      </w:r>
      <w:r>
        <w:rPr>
          <w:rFonts w:eastAsia="等线" w:ascii="Arial" w:cs="Arial" w:hAnsi="Arial"/>
          <w:b w:val="true"/>
          <w:sz w:val="36"/>
        </w:rPr>
        <w:t>看板与统计</w:t>
      </w:r>
      <w:bookmarkEnd w:id="72"/>
    </w:p>
    <w:p>
      <w:pPr>
        <w:pStyle w:val="2"/>
        <w:spacing w:before="320" w:after="120" w:line="288" w:lineRule="auto"/>
        <w:ind w:left="0"/>
        <w:jc w:val="left"/>
        <w:outlineLvl w:val="1"/>
      </w:pPr>
      <w:bookmarkStart w:name="heading_73" w:id="73"/>
      <w:r>
        <w:rPr>
          <w:rFonts w:eastAsia="等线" w:ascii="Arial" w:cs="Arial" w:hAnsi="Arial"/>
          <w:color w:val="3370ff"/>
          <w:sz w:val="32"/>
        </w:rPr>
        <w:t xml:space="preserve">6.1 </w:t>
      </w:r>
      <w:r>
        <w:rPr>
          <w:rFonts w:eastAsia="等线" w:ascii="Arial" w:cs="Arial" w:hAnsi="Arial"/>
          <w:b w:val="true"/>
          <w:sz w:val="32"/>
        </w:rPr>
        <w:t>可支持输出物</w:t>
      </w:r>
      <w:bookmarkEnd w:id="73"/>
    </w:p>
    <w:p>
      <w:pPr>
        <w:numPr>
          <w:numId w:val="207"/>
        </w:numPr>
        <w:spacing w:before="120" w:after="120" w:line="288" w:lineRule="auto"/>
        <w:ind w:left="0"/>
        <w:jc w:val="left"/>
      </w:pPr>
      <w:r>
        <w:rPr>
          <w:rFonts w:eastAsia="等线" w:ascii="Arial" w:cs="Arial" w:hAnsi="Arial"/>
          <w:sz w:val="22"/>
        </w:rPr>
        <w:t>变更点清单；</w:t>
      </w:r>
    </w:p>
    <w:p>
      <w:pPr>
        <w:numPr>
          <w:numId w:val="208"/>
        </w:numPr>
        <w:spacing w:before="120" w:after="120" w:line="288" w:lineRule="auto"/>
        <w:ind w:left="0"/>
        <w:jc w:val="left"/>
      </w:pPr>
      <w:r>
        <w:rPr>
          <w:rFonts w:eastAsia="等线" w:ascii="Arial" w:cs="Arial" w:hAnsi="Arial"/>
          <w:sz w:val="22"/>
        </w:rPr>
        <w:t>DRBFM触发评估表</w:t>
      </w:r>
    </w:p>
    <w:p>
      <w:pPr>
        <w:numPr>
          <w:numId w:val="209"/>
        </w:numPr>
        <w:spacing w:before="120" w:after="120" w:line="288" w:lineRule="auto"/>
        <w:ind w:left="0"/>
        <w:jc w:val="left"/>
      </w:pPr>
      <w:r>
        <w:rPr>
          <w:rFonts w:eastAsia="等线" w:ascii="Arial" w:cs="Arial" w:hAnsi="Arial"/>
          <w:sz w:val="22"/>
        </w:rPr>
        <w:t>结构框图导出；</w:t>
      </w:r>
    </w:p>
    <w:p>
      <w:pPr>
        <w:numPr>
          <w:numId w:val="210"/>
        </w:numPr>
        <w:spacing w:before="120" w:after="120" w:line="288" w:lineRule="auto"/>
        <w:ind w:left="0"/>
        <w:jc w:val="left"/>
      </w:pPr>
      <w:r>
        <w:rPr>
          <w:rFonts w:eastAsia="等线" w:ascii="Arial" w:cs="Arial" w:hAnsi="Arial"/>
          <w:sz w:val="22"/>
        </w:rPr>
        <w:t>功能矩阵导出；</w:t>
      </w:r>
    </w:p>
    <w:p>
      <w:pPr>
        <w:numPr>
          <w:numId w:val="211"/>
        </w:numPr>
        <w:spacing w:before="120" w:after="120" w:line="288" w:lineRule="auto"/>
        <w:ind w:left="0"/>
        <w:jc w:val="left"/>
      </w:pPr>
      <w:r>
        <w:rPr>
          <w:rFonts w:eastAsia="等线" w:ascii="Arial" w:cs="Arial" w:hAnsi="Arial"/>
          <w:sz w:val="22"/>
        </w:rPr>
        <w:t>FMEA表单导出（系统有默认模板，也可支持选择字段或模板导出）；</w:t>
      </w:r>
    </w:p>
    <w:p>
      <w:pPr>
        <w:numPr>
          <w:numId w:val="212"/>
        </w:numPr>
        <w:spacing w:before="120" w:after="120" w:line="288" w:lineRule="auto"/>
        <w:ind w:left="0"/>
        <w:jc w:val="left"/>
      </w:pPr>
      <w:r>
        <w:rPr>
          <w:rFonts w:eastAsia="等线" w:ascii="Arial" w:cs="Arial" w:hAnsi="Arial"/>
          <w:sz w:val="22"/>
        </w:rPr>
        <w:t>预防及探测措施导出；</w:t>
      </w:r>
    </w:p>
    <w:p>
      <w:pPr>
        <w:numPr>
          <w:numId w:val="213"/>
        </w:numPr>
        <w:spacing w:before="120" w:after="120" w:line="288" w:lineRule="auto"/>
        <w:ind w:left="0"/>
        <w:jc w:val="left"/>
      </w:pPr>
      <w:r>
        <w:rPr>
          <w:rFonts w:eastAsia="等线" w:ascii="Arial" w:cs="Arial" w:hAnsi="Arial"/>
          <w:sz w:val="22"/>
        </w:rPr>
        <w:t>基线落地计划导出；</w:t>
      </w:r>
    </w:p>
    <w:p>
      <w:pPr>
        <w:numPr>
          <w:numId w:val="214"/>
        </w:numPr>
        <w:spacing w:before="120" w:after="120" w:line="288" w:lineRule="auto"/>
        <w:ind w:left="0"/>
        <w:jc w:val="left"/>
      </w:pPr>
      <w:r>
        <w:rPr>
          <w:rFonts w:eastAsia="等线" w:ascii="Arial" w:cs="Arial" w:hAnsi="Arial"/>
          <w:sz w:val="22"/>
        </w:rPr>
        <w:t>基线落地情况及入库情况导出</w:t>
      </w:r>
    </w:p>
    <w:p>
      <w:pPr>
        <w:pStyle w:val="2"/>
        <w:spacing w:before="320" w:after="120" w:line="288" w:lineRule="auto"/>
        <w:ind w:left="0"/>
        <w:jc w:val="left"/>
        <w:outlineLvl w:val="1"/>
      </w:pPr>
      <w:bookmarkStart w:name="heading_74" w:id="74"/>
      <w:r>
        <w:rPr>
          <w:rFonts w:eastAsia="等线" w:ascii="Arial" w:cs="Arial" w:hAnsi="Arial"/>
          <w:color w:val="3370ff"/>
          <w:sz w:val="32"/>
        </w:rPr>
        <w:t xml:space="preserve">6.2 </w:t>
      </w:r>
      <w:r>
        <w:rPr>
          <w:rFonts w:eastAsia="等线" w:ascii="Arial" w:cs="Arial" w:hAnsi="Arial"/>
          <w:b w:val="true"/>
          <w:sz w:val="32"/>
        </w:rPr>
        <w:t>显示内容</w:t>
      </w:r>
      <w:bookmarkEnd w:id="74"/>
    </w:p>
    <w:p>
      <w:pPr>
        <w:pStyle w:val="3"/>
        <w:spacing w:before="300" w:after="120" w:line="288" w:lineRule="auto"/>
        <w:ind w:left="0"/>
        <w:jc w:val="left"/>
        <w:outlineLvl w:val="2"/>
      </w:pPr>
      <w:bookmarkStart w:name="heading_75" w:id="75"/>
      <w:r>
        <w:rPr>
          <w:rFonts w:eastAsia="等线" w:ascii="Arial" w:cs="Arial" w:hAnsi="Arial"/>
          <w:color w:val="3370ff"/>
          <w:sz w:val="30"/>
        </w:rPr>
        <w:t xml:space="preserve">6.2.1 </w:t>
      </w:r>
      <w:r>
        <w:rPr>
          <w:rFonts w:eastAsia="等线" w:ascii="Arial" w:cs="Arial" w:hAnsi="Arial"/>
          <w:b w:val="true"/>
          <w:sz w:val="30"/>
        </w:rPr>
        <w:t>FMEA晾晒指标（公司级BG级可选择显示）</w:t>
      </w:r>
      <w:bookmarkEnd w:id="75"/>
    </w:p>
    <w:p>
      <w:pPr>
        <w:numPr>
          <w:numId w:val="215"/>
        </w:numPr>
        <w:spacing w:before="120" w:after="120" w:line="288" w:lineRule="auto"/>
        <w:ind w:left="0"/>
        <w:jc w:val="left"/>
      </w:pPr>
      <w:r>
        <w:rPr>
          <w:rFonts w:eastAsia="等线" w:ascii="Arial" w:cs="Arial" w:hAnsi="Arial"/>
          <w:sz w:val="22"/>
        </w:rPr>
        <w:t>FMEA的发布率</w:t>
      </w:r>
    </w:p>
    <w:p>
      <w:pPr>
        <w:numPr>
          <w:numId w:val="216"/>
        </w:numPr>
        <w:spacing w:before="120" w:after="120" w:line="288" w:lineRule="auto"/>
        <w:ind w:left="0"/>
        <w:jc w:val="left"/>
      </w:pPr>
      <w:r>
        <w:rPr>
          <w:rFonts w:eastAsia="等线" w:ascii="Arial" w:cs="Arial" w:hAnsi="Arial"/>
          <w:sz w:val="22"/>
        </w:rPr>
        <w:t>FMEA评审会组织情况，成员参与情况，有效建议数量及采纳情况；</w:t>
      </w:r>
    </w:p>
    <w:p>
      <w:pPr>
        <w:numPr>
          <w:numId w:val="217"/>
        </w:numPr>
        <w:spacing w:before="120" w:after="120" w:line="288" w:lineRule="auto"/>
        <w:ind w:left="0"/>
        <w:jc w:val="left"/>
      </w:pPr>
      <w:r>
        <w:rPr>
          <w:rFonts w:eastAsia="等线" w:ascii="Arial" w:cs="Arial" w:hAnsi="Arial"/>
          <w:sz w:val="22"/>
        </w:rPr>
        <w:t>FMEA分析新增/优化失效/基线数量；</w:t>
      </w:r>
    </w:p>
    <w:p>
      <w:pPr>
        <w:numPr>
          <w:numId w:val="218"/>
        </w:numPr>
        <w:spacing w:before="120" w:after="120" w:line="288" w:lineRule="auto"/>
        <w:ind w:left="0"/>
        <w:jc w:val="left"/>
      </w:pPr>
      <w:r>
        <w:rPr>
          <w:rFonts w:eastAsia="等线" w:ascii="Arial" w:cs="Arial" w:hAnsi="Arial"/>
          <w:sz w:val="22"/>
        </w:rPr>
        <w:t>基线落地跟踪；</w:t>
      </w:r>
    </w:p>
    <w:p>
      <w:pPr>
        <w:numPr>
          <w:numId w:val="219"/>
        </w:numPr>
        <w:spacing w:before="120" w:after="120" w:line="288" w:lineRule="auto"/>
        <w:ind w:left="0"/>
        <w:jc w:val="left"/>
      </w:pPr>
      <w:r>
        <w:rPr>
          <w:rFonts w:eastAsia="等线" w:ascii="Arial" w:cs="Arial" w:hAnsi="Arial"/>
          <w:sz w:val="22"/>
        </w:rPr>
        <w:t>改板情况（从PMS系统推送，非第一优先功能）；</w:t>
      </w:r>
    </w:p>
    <w:p>
      <w:pPr>
        <w:pStyle w:val="3"/>
        <w:spacing w:before="300" w:after="120" w:line="288" w:lineRule="auto"/>
        <w:ind w:left="0"/>
        <w:jc w:val="left"/>
        <w:outlineLvl w:val="2"/>
      </w:pPr>
      <w:bookmarkStart w:name="heading_76" w:id="76"/>
      <w:r>
        <w:rPr>
          <w:rFonts w:eastAsia="等线" w:ascii="Arial" w:cs="Arial" w:hAnsi="Arial"/>
          <w:color w:val="3370ff"/>
          <w:sz w:val="30"/>
        </w:rPr>
        <w:t xml:space="preserve">6.2.2 </w:t>
      </w:r>
      <w:r>
        <w:rPr>
          <w:rFonts w:eastAsia="等线" w:ascii="Arial" w:cs="Arial" w:hAnsi="Arial"/>
          <w:b w:val="true"/>
          <w:sz w:val="30"/>
        </w:rPr>
        <w:t>各BG FMEA项目清单及其完成进展</w:t>
      </w:r>
      <w:bookmarkEnd w:id="76"/>
    </w:p>
    <w:p>
      <w:pPr>
        <w:numPr>
          <w:numId w:val="220"/>
        </w:numPr>
        <w:spacing w:before="120" w:after="120" w:line="288" w:lineRule="auto"/>
        <w:ind w:left="0"/>
        <w:jc w:val="left"/>
      </w:pPr>
      <w:r>
        <w:rPr>
          <w:rFonts w:eastAsia="等线" w:ascii="Arial" w:cs="Arial" w:hAnsi="Arial"/>
          <w:sz w:val="22"/>
        </w:rPr>
        <w:t>源数据字段表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0"/>
        <w:gridCol w:w="570"/>
        <w:gridCol w:w="570"/>
        <w:gridCol w:w="645"/>
        <w:gridCol w:w="825"/>
        <w:gridCol w:w="465"/>
        <w:gridCol w:w="465"/>
        <w:gridCol w:w="375"/>
        <w:gridCol w:w="375"/>
        <w:gridCol w:w="600"/>
        <w:gridCol w:w="750"/>
        <w:gridCol w:w="750"/>
        <w:gridCol w:w="705"/>
        <w:gridCol w:w="750"/>
      </w:tblGrid>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BGBU</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项目名称</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项目等级</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PSE/TSE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FMEA进展（根据业务流全景图设置字段）</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TR1</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TR3</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TR4</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TR6</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进展风险状态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评审有效意见数量（被采纳数量）</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新增/优化基线数量</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基线落地情况</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改板情况</w:t>
            </w:r>
          </w:p>
        </w:tc>
      </w:tr>
    </w:tbl>
    <w:p>
      <w:pPr>
        <w:numPr>
          <w:numId w:val="221"/>
        </w:numPr>
        <w:spacing w:before="120" w:after="120" w:line="288" w:lineRule="auto"/>
        <w:ind w:left="0"/>
        <w:jc w:val="left"/>
      </w:pPr>
      <w:r>
        <w:rPr>
          <w:rFonts w:eastAsia="等线" w:ascii="Arial" w:cs="Arial" w:hAnsi="Arial"/>
          <w:sz w:val="22"/>
        </w:rPr>
        <w:t>支持饼图/直方图展示</w:t>
      </w:r>
    </w:p>
    <w:p>
      <w:pPr>
        <w:pStyle w:val="3"/>
        <w:spacing w:before="300" w:after="120" w:line="288" w:lineRule="auto"/>
        <w:ind w:left="0"/>
        <w:jc w:val="left"/>
        <w:outlineLvl w:val="2"/>
      </w:pPr>
      <w:bookmarkStart w:name="heading_77" w:id="77"/>
      <w:r>
        <w:rPr>
          <w:rFonts w:eastAsia="等线" w:ascii="Arial" w:cs="Arial" w:hAnsi="Arial"/>
          <w:color w:val="3370ff"/>
          <w:sz w:val="30"/>
        </w:rPr>
        <w:t xml:space="preserve">6.2.3 </w:t>
      </w:r>
      <w:r>
        <w:rPr>
          <w:rFonts w:eastAsia="等线" w:ascii="Arial" w:cs="Arial" w:hAnsi="Arial"/>
          <w:b w:val="true"/>
          <w:sz w:val="30"/>
        </w:rPr>
        <w:t>统计</w:t>
      </w:r>
      <w:bookmarkEnd w:id="77"/>
    </w:p>
    <w:p>
      <w:pPr>
        <w:numPr>
          <w:numId w:val="222"/>
        </w:numPr>
        <w:spacing w:before="120" w:after="120" w:line="288" w:lineRule="auto"/>
        <w:ind w:left="0"/>
        <w:jc w:val="left"/>
      </w:pPr>
      <w:r>
        <w:rPr>
          <w:rFonts w:eastAsia="等线" w:ascii="Arial" w:cs="Arial" w:hAnsi="Arial"/>
          <w:sz w:val="22"/>
        </w:rPr>
        <w:t>每季度基线库的调用次数排行榜——推送信息给基线库管理员；</w:t>
      </w:r>
    </w:p>
    <w:p>
      <w:pPr>
        <w:numPr>
          <w:numId w:val="223"/>
        </w:numPr>
        <w:spacing w:before="120" w:after="120" w:line="288" w:lineRule="auto"/>
        <w:ind w:left="0"/>
        <w:jc w:val="left"/>
      </w:pPr>
      <w:r>
        <w:rPr>
          <w:rFonts w:eastAsia="等线" w:ascii="Arial" w:cs="Arial" w:hAnsi="Arial"/>
          <w:sz w:val="22"/>
        </w:rPr>
        <w:t>新增/优化措施数量FMEA项目排行榜——TR3/TR4推送信息给项目PDTL；</w:t>
      </w:r>
    </w:p>
    <w:p>
      <w:pPr>
        <w:numPr>
          <w:numId w:val="224"/>
        </w:numPr>
        <w:spacing w:before="120" w:after="120" w:line="288" w:lineRule="auto"/>
        <w:ind w:left="0"/>
        <w:jc w:val="left"/>
      </w:pPr>
      <w:r>
        <w:rPr>
          <w:rFonts w:eastAsia="等线" w:ascii="Arial" w:cs="Arial" w:hAnsi="Arial"/>
          <w:sz w:val="22"/>
        </w:rPr>
        <w:t>每季度评审角色参与项目数量及有效建议数量排行榜——推送信息给直属领导；</w:t>
      </w:r>
    </w:p>
    <w:p>
      <w:pPr>
        <w:numPr>
          <w:numId w:val="225"/>
        </w:numPr>
        <w:spacing w:before="120" w:after="120" w:line="288" w:lineRule="auto"/>
        <w:ind w:left="0"/>
        <w:jc w:val="left"/>
      </w:pPr>
      <w:r>
        <w:rPr>
          <w:rFonts w:eastAsia="等线" w:ascii="Arial" w:cs="Arial" w:hAnsi="Arial"/>
          <w:sz w:val="22"/>
        </w:rPr>
        <w:t>每季度FMEA分析人员发布项目FMEA数量排行榜——推送信息给直属领导</w:t>
      </w:r>
    </w:p>
    <w:p>
      <w:pPr>
        <w:pStyle w:val="1"/>
        <w:spacing w:before="380" w:after="140" w:line="288" w:lineRule="auto"/>
        <w:ind w:left="0"/>
        <w:jc w:val="left"/>
        <w:outlineLvl w:val="0"/>
      </w:pPr>
      <w:bookmarkStart w:name="heading_78" w:id="78"/>
      <w:r>
        <w:rPr>
          <w:rFonts w:eastAsia="等线" w:ascii="Arial" w:cs="Arial" w:hAnsi="Arial"/>
          <w:color w:val="3370ff"/>
          <w:sz w:val="36"/>
        </w:rPr>
        <w:t xml:space="preserve">7. </w:t>
      </w:r>
      <w:r>
        <w:rPr>
          <w:rFonts w:eastAsia="等线" w:ascii="Arial" w:cs="Arial" w:hAnsi="Arial"/>
          <w:b w:val="true"/>
          <w:sz w:val="36"/>
        </w:rPr>
        <w:t>配置设置</w:t>
      </w:r>
      <w:bookmarkEnd w:id="78"/>
    </w:p>
    <w:p>
      <w:pPr>
        <w:pStyle w:val="2"/>
        <w:spacing w:before="320" w:after="120" w:line="288" w:lineRule="auto"/>
        <w:ind w:left="0"/>
        <w:jc w:val="left"/>
        <w:outlineLvl w:val="1"/>
      </w:pPr>
      <w:bookmarkStart w:name="heading_79" w:id="79"/>
      <w:r>
        <w:rPr>
          <w:rFonts w:eastAsia="等线" w:ascii="Arial" w:cs="Arial" w:hAnsi="Arial"/>
          <w:color w:val="3370ff"/>
          <w:sz w:val="32"/>
        </w:rPr>
        <w:t xml:space="preserve">7.1 </w:t>
      </w:r>
      <w:r>
        <w:rPr>
          <w:rFonts w:eastAsia="等线" w:ascii="Arial" w:cs="Arial" w:hAnsi="Arial"/>
          <w:b w:val="true"/>
          <w:sz w:val="32"/>
        </w:rPr>
        <w:t>评审角色设置（见3.15）</w:t>
      </w:r>
      <w:bookmarkEnd w:id="79"/>
    </w:p>
    <w:p>
      <w:pPr>
        <w:pStyle w:val="2"/>
        <w:spacing w:before="320" w:after="120" w:line="288" w:lineRule="auto"/>
        <w:ind w:left="0"/>
        <w:jc w:val="left"/>
        <w:outlineLvl w:val="1"/>
      </w:pPr>
      <w:bookmarkStart w:name="heading_80" w:id="80"/>
      <w:r>
        <w:rPr>
          <w:rFonts w:eastAsia="等线" w:ascii="Arial" w:cs="Arial" w:hAnsi="Arial"/>
          <w:color w:val="3370ff"/>
          <w:sz w:val="32"/>
        </w:rPr>
        <w:t xml:space="preserve">7.2 </w:t>
      </w:r>
      <w:r>
        <w:rPr>
          <w:rFonts w:eastAsia="等线" w:ascii="Arial" w:cs="Arial" w:hAnsi="Arial"/>
          <w:b w:val="true"/>
          <w:sz w:val="32"/>
        </w:rPr>
        <w:t>审批角色设置（见2.2.8）</w:t>
      </w:r>
      <w:bookmarkEnd w:id="80"/>
    </w:p>
    <w:p>
      <w:pPr>
        <w:pStyle w:val="2"/>
        <w:spacing w:before="320" w:after="120" w:line="288" w:lineRule="auto"/>
        <w:ind w:left="0"/>
        <w:jc w:val="left"/>
        <w:outlineLvl w:val="1"/>
      </w:pPr>
      <w:bookmarkStart w:name="heading_81" w:id="81"/>
      <w:r>
        <w:rPr>
          <w:rFonts w:eastAsia="等线" w:ascii="Arial" w:cs="Arial" w:hAnsi="Arial"/>
          <w:color w:val="3370ff"/>
          <w:sz w:val="32"/>
        </w:rPr>
        <w:t xml:space="preserve">7.3 </w:t>
      </w:r>
      <w:r>
        <w:rPr>
          <w:rFonts w:eastAsia="等线" w:ascii="Arial" w:cs="Arial" w:hAnsi="Arial"/>
          <w:b w:val="true"/>
          <w:sz w:val="32"/>
        </w:rPr>
        <w:t>导出FMEA表单设置</w:t>
      </w:r>
      <w:bookmarkEnd w:id="81"/>
    </w:p>
    <w:p>
      <w:pPr>
        <w:spacing w:before="120" w:after="120" w:line="288" w:lineRule="auto"/>
        <w:ind w:left="0"/>
        <w:jc w:val="left"/>
      </w:pPr>
    </w:p>
    <w:p>
      <w:pPr>
        <w:pStyle w:val="2"/>
        <w:spacing w:before="320" w:after="120" w:line="288" w:lineRule="auto"/>
        <w:ind w:left="0"/>
        <w:jc w:val="left"/>
        <w:outlineLvl w:val="1"/>
      </w:pPr>
      <w:bookmarkStart w:name="heading_82" w:id="82"/>
      <w:r>
        <w:rPr>
          <w:rFonts w:eastAsia="等线" w:ascii="Arial" w:cs="Arial" w:hAnsi="Arial"/>
          <w:color w:val="3370ff"/>
          <w:sz w:val="32"/>
        </w:rPr>
        <w:t xml:space="preserve">7.4 </w:t>
      </w:r>
      <w:r>
        <w:rPr>
          <w:rFonts w:eastAsia="等线" w:ascii="Arial" w:cs="Arial" w:hAnsi="Arial"/>
          <w:b w:val="true"/>
          <w:sz w:val="32"/>
        </w:rPr>
        <w:t>SOD评价标准配置</w:t>
      </w:r>
      <w:bookmarkEnd w:id="82"/>
    </w:p>
    <w:p>
      <w:pPr>
        <w:pStyle w:val="2"/>
        <w:spacing w:before="320" w:after="120" w:line="288" w:lineRule="auto"/>
        <w:ind w:left="0"/>
        <w:jc w:val="left"/>
        <w:outlineLvl w:val="1"/>
      </w:pPr>
      <w:bookmarkStart w:name="heading_83" w:id="83"/>
      <w:r>
        <w:rPr>
          <w:rFonts w:eastAsia="等线" w:ascii="Arial" w:cs="Arial" w:hAnsi="Arial"/>
          <w:color w:val="3370ff"/>
          <w:sz w:val="32"/>
        </w:rPr>
        <w:t xml:space="preserve">7.5 </w:t>
      </w:r>
      <w:r>
        <w:rPr>
          <w:rFonts w:eastAsia="等线" w:ascii="Arial" w:cs="Arial" w:hAnsi="Arial"/>
          <w:b w:val="true"/>
          <w:sz w:val="32"/>
        </w:rPr>
        <w:t>AP参考表</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2220"/>
        <w:gridCol w:w="2055"/>
        <w:gridCol w:w="280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w:t>
            </w: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O</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措施优先级(AP)</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9-10</w:t>
            </w: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8-10</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6-7</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7-8</w:t>
            </w: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8-10</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6-7</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4-6</w:t>
            </w: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8-10</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6-7</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8-10</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6-7</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vMerge w:val="continue"/>
            <w:tcMar>
              <w:top w:type="dxa" w:w="60"/>
              <w:left w:type="dxa" w:w="120"/>
              <w:bottom w:type="dxa" w:w="30"/>
              <w:right w:type="dxa" w:w="120"/>
            </w:tcMar>
          </w:tcPr>
          <w:p>
            <w:pPr>
              <w:spacing w:before="120" w:after="120" w:line="288" w:lineRule="auto"/>
              <w:ind w:left="0"/>
              <w:jc w:val="center"/>
            </w:pP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vMerge w:val="continue"/>
            <w:tcMar>
              <w:top w:type="dxa" w:w="60"/>
              <w:left w:type="dxa" w:w="120"/>
              <w:bottom w:type="dxa" w:w="30"/>
              <w:right w:type="dxa" w:w="120"/>
            </w:tcMar>
          </w:tcPr>
          <w:p>
            <w:pPr>
              <w:spacing w:before="120" w:after="120" w:line="288" w:lineRule="auto"/>
              <w:ind w:left="0"/>
              <w:jc w:val="center"/>
            </w:pP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1-10</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1-10</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w:t>
            </w:r>
          </w:p>
        </w:tc>
      </w:tr>
    </w:tbl>
    <w:p>
      <w:pPr>
        <w:spacing w:before="120" w:after="120" w:line="288" w:lineRule="auto"/>
        <w:ind w:left="0"/>
        <w:jc w:val="left"/>
      </w:pPr>
    </w:p>
    <w:sectPr>
      <w:footerReference w:type="default" r:id="rId3"/>
      <w:headerReference w:type="default" r:id="rId5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53570">
    <w:lvl>
      <w:numFmt w:val="bullet"/>
      <w:suff w:val="tab"/>
      <w:lvlText w:val="•"/>
      <w:rPr>
        <w:color w:val="3370ff"/>
      </w:rPr>
    </w:lvl>
  </w:abstractNum>
  <w:abstractNum w:abstractNumId="753571">
    <w:lvl>
      <w:numFmt w:val="bullet"/>
      <w:suff w:val="tab"/>
      <w:lvlText w:val="•"/>
      <w:rPr>
        <w:color w:val="3370ff"/>
      </w:rPr>
    </w:lvl>
  </w:abstractNum>
  <w:abstractNum w:abstractNumId="753572">
    <w:lvl>
      <w:numFmt w:val="bullet"/>
      <w:suff w:val="tab"/>
      <w:lvlText w:val="•"/>
      <w:rPr>
        <w:color w:val="3370ff"/>
      </w:rPr>
    </w:lvl>
  </w:abstractNum>
  <w:abstractNum w:abstractNumId="753573">
    <w:lvl>
      <w:start w:val="1"/>
      <w:numFmt w:val="decimal"/>
      <w:suff w:val="tab"/>
      <w:lvlText w:val="%1."/>
      <w:rPr>
        <w:color w:val="3370ff"/>
      </w:rPr>
    </w:lvl>
  </w:abstractNum>
  <w:abstractNum w:abstractNumId="753574">
    <w:lvl>
      <w:start w:val="2"/>
      <w:numFmt w:val="decimal"/>
      <w:suff w:val="tab"/>
      <w:lvlText w:val="%1."/>
      <w:rPr>
        <w:color w:val="3370ff"/>
      </w:rPr>
    </w:lvl>
  </w:abstractNum>
  <w:abstractNum w:abstractNumId="753575">
    <w:lvl>
      <w:start w:val="3"/>
      <w:numFmt w:val="decimal"/>
      <w:suff w:val="tab"/>
      <w:lvlText w:val="%1."/>
      <w:rPr>
        <w:color w:val="3370ff"/>
      </w:rPr>
    </w:lvl>
  </w:abstractNum>
  <w:abstractNum w:abstractNumId="753576">
    <w:lvl>
      <w:start w:val="4"/>
      <w:numFmt w:val="decimal"/>
      <w:suff w:val="tab"/>
      <w:lvlText w:val="%1."/>
      <w:rPr>
        <w:color w:val="3370ff"/>
      </w:rPr>
    </w:lvl>
  </w:abstractNum>
  <w:abstractNum w:abstractNumId="753577">
    <w:lvl>
      <w:start w:val="5"/>
      <w:numFmt w:val="decimal"/>
      <w:suff w:val="tab"/>
      <w:lvlText w:val="%1."/>
      <w:rPr>
        <w:color w:val="3370ff"/>
      </w:rPr>
    </w:lvl>
  </w:abstractNum>
  <w:abstractNum w:abstractNumId="753578">
    <w:lvl>
      <w:start w:val="6"/>
      <w:numFmt w:val="decimal"/>
      <w:suff w:val="tab"/>
      <w:lvlText w:val="%1."/>
      <w:rPr>
        <w:color w:val="3370ff"/>
      </w:rPr>
    </w:lvl>
  </w:abstractNum>
  <w:abstractNum w:abstractNumId="753579">
    <w:lvl>
      <w:start w:val="7"/>
      <w:numFmt w:val="decimal"/>
      <w:suff w:val="tab"/>
      <w:lvlText w:val="%1."/>
      <w:rPr>
        <w:color w:val="3370ff"/>
      </w:rPr>
    </w:lvl>
  </w:abstractNum>
  <w:abstractNum w:abstractNumId="753580">
    <w:lvl>
      <w:numFmt w:val="bullet"/>
      <w:suff w:val="tab"/>
      <w:lvlText w:val="•"/>
      <w:rPr>
        <w:color w:val="3370ff"/>
      </w:rPr>
    </w:lvl>
  </w:abstractNum>
  <w:abstractNum w:abstractNumId="753581">
    <w:lvl>
      <w:numFmt w:val="bullet"/>
      <w:suff w:val="tab"/>
      <w:lvlText w:val="￮"/>
      <w:rPr>
        <w:color w:val="3370ff"/>
      </w:rPr>
    </w:lvl>
  </w:abstractNum>
  <w:abstractNum w:abstractNumId="753582">
    <w:lvl>
      <w:numFmt w:val="bullet"/>
      <w:suff w:val="tab"/>
      <w:lvlText w:val="￮"/>
      <w:rPr>
        <w:color w:val="3370ff"/>
      </w:rPr>
    </w:lvl>
  </w:abstractNum>
  <w:abstractNum w:abstractNumId="753583">
    <w:lvl>
      <w:numFmt w:val="bullet"/>
      <w:suff w:val="tab"/>
      <w:lvlText w:val="￮"/>
      <w:rPr>
        <w:color w:val="3370ff"/>
      </w:rPr>
    </w:lvl>
  </w:abstractNum>
  <w:abstractNum w:abstractNumId="753584">
    <w:lvl>
      <w:numFmt w:val="bullet"/>
      <w:suff w:val="tab"/>
      <w:lvlText w:val="•"/>
      <w:rPr>
        <w:color w:val="3370ff"/>
      </w:rPr>
    </w:lvl>
  </w:abstractNum>
  <w:abstractNum w:abstractNumId="753585">
    <w:lvl>
      <w:numFmt w:val="bullet"/>
      <w:suff w:val="tab"/>
      <w:lvlText w:val="￮"/>
      <w:rPr>
        <w:color w:val="3370ff"/>
      </w:rPr>
    </w:lvl>
  </w:abstractNum>
  <w:abstractNum w:abstractNumId="753586">
    <w:lvl>
      <w:numFmt w:val="bullet"/>
      <w:suff w:val="tab"/>
      <w:lvlText w:val="￮"/>
      <w:rPr>
        <w:color w:val="3370ff"/>
      </w:rPr>
    </w:lvl>
  </w:abstractNum>
  <w:abstractNum w:abstractNumId="753587">
    <w:lvl>
      <w:numFmt w:val="bullet"/>
      <w:suff w:val="tab"/>
      <w:lvlText w:val="￮"/>
      <w:rPr>
        <w:color w:val="3370ff"/>
      </w:rPr>
    </w:lvl>
  </w:abstractNum>
  <w:abstractNum w:abstractNumId="753588">
    <w:lvl>
      <w:numFmt w:val="bullet"/>
      <w:suff w:val="tab"/>
      <w:lvlText w:val="•"/>
      <w:rPr>
        <w:color w:val="3370ff"/>
      </w:rPr>
    </w:lvl>
  </w:abstractNum>
  <w:abstractNum w:abstractNumId="753589">
    <w:lvl>
      <w:numFmt w:val="bullet"/>
      <w:suff w:val="tab"/>
      <w:lvlText w:val="￮"/>
      <w:rPr>
        <w:color w:val="3370ff"/>
      </w:rPr>
    </w:lvl>
  </w:abstractNum>
  <w:abstractNum w:abstractNumId="753590">
    <w:lvl>
      <w:numFmt w:val="bullet"/>
      <w:suff w:val="tab"/>
      <w:lvlText w:val="￮"/>
      <w:rPr>
        <w:color w:val="3370ff"/>
      </w:rPr>
    </w:lvl>
  </w:abstractNum>
  <w:abstractNum w:abstractNumId="753591">
    <w:lvl>
      <w:numFmt w:val="bullet"/>
      <w:suff w:val="tab"/>
      <w:lvlText w:val="•"/>
      <w:rPr>
        <w:color w:val="3370ff"/>
      </w:rPr>
    </w:lvl>
  </w:abstractNum>
  <w:abstractNum w:abstractNumId="753592">
    <w:lvl>
      <w:numFmt w:val="bullet"/>
      <w:suff w:val="tab"/>
      <w:lvlText w:val="•"/>
      <w:rPr>
        <w:color w:val="3370ff"/>
      </w:rPr>
    </w:lvl>
  </w:abstractNum>
  <w:abstractNum w:abstractNumId="753593">
    <w:lvl>
      <w:start w:val="1"/>
      <w:numFmt w:val="decimal"/>
      <w:suff w:val="tab"/>
      <w:lvlText w:val="%1."/>
      <w:rPr>
        <w:color w:val="3370ff"/>
      </w:rPr>
    </w:lvl>
  </w:abstractNum>
  <w:abstractNum w:abstractNumId="753594">
    <w:lvl>
      <w:start w:val="1"/>
      <w:numFmt w:val="lowerLetter"/>
      <w:suff w:val="tab"/>
      <w:lvlText w:val="%1."/>
      <w:rPr>
        <w:color w:val="3370ff"/>
      </w:rPr>
    </w:lvl>
  </w:abstractNum>
  <w:abstractNum w:abstractNumId="753595">
    <w:lvl>
      <w:start w:val="2"/>
      <w:numFmt w:val="lowerLetter"/>
      <w:suff w:val="tab"/>
      <w:lvlText w:val="%1."/>
      <w:rPr>
        <w:color w:val="3370ff"/>
      </w:rPr>
    </w:lvl>
  </w:abstractNum>
  <w:abstractNum w:abstractNumId="753596">
    <w:lvl>
      <w:start w:val="2"/>
      <w:numFmt w:val="decimal"/>
      <w:suff w:val="tab"/>
      <w:lvlText w:val="%1."/>
      <w:rPr>
        <w:color w:val="3370ff"/>
      </w:rPr>
    </w:lvl>
  </w:abstractNum>
  <w:abstractNum w:abstractNumId="753597">
    <w:lvl>
      <w:start w:val="3"/>
      <w:numFmt w:val="decimal"/>
      <w:suff w:val="tab"/>
      <w:lvlText w:val="%1."/>
      <w:rPr>
        <w:color w:val="3370ff"/>
      </w:rPr>
    </w:lvl>
  </w:abstractNum>
  <w:abstractNum w:abstractNumId="753598">
    <w:lvl>
      <w:numFmt w:val="bullet"/>
      <w:suff w:val="tab"/>
      <w:lvlText w:val="•"/>
      <w:rPr>
        <w:color w:val="3370ff"/>
      </w:rPr>
    </w:lvl>
  </w:abstractNum>
  <w:abstractNum w:abstractNumId="753599">
    <w:lvl>
      <w:numFmt w:val="bullet"/>
      <w:suff w:val="tab"/>
      <w:lvlText w:val="•"/>
      <w:rPr>
        <w:color w:val="3370ff"/>
      </w:rPr>
    </w:lvl>
  </w:abstractNum>
  <w:abstractNum w:abstractNumId="753600">
    <w:lvl>
      <w:numFmt w:val="bullet"/>
      <w:suff w:val="tab"/>
      <w:lvlText w:val="•"/>
      <w:rPr>
        <w:color w:val="3370ff"/>
      </w:rPr>
    </w:lvl>
  </w:abstractNum>
  <w:abstractNum w:abstractNumId="753601">
    <w:lvl>
      <w:numFmt w:val="bullet"/>
      <w:suff w:val="tab"/>
      <w:lvlText w:val="•"/>
      <w:rPr>
        <w:color w:val="3370ff"/>
      </w:rPr>
    </w:lvl>
  </w:abstractNum>
  <w:abstractNum w:abstractNumId="753602">
    <w:lvl>
      <w:numFmt w:val="bullet"/>
      <w:suff w:val="tab"/>
      <w:lvlText w:val="•"/>
      <w:rPr>
        <w:color w:val="3370ff"/>
      </w:rPr>
    </w:lvl>
  </w:abstractNum>
  <w:abstractNum w:abstractNumId="753603">
    <w:lvl>
      <w:numFmt w:val="bullet"/>
      <w:suff w:val="tab"/>
      <w:lvlText w:val="•"/>
      <w:rPr>
        <w:color w:val="3370ff"/>
      </w:rPr>
    </w:lvl>
  </w:abstractNum>
  <w:abstractNum w:abstractNumId="753604">
    <w:lvl>
      <w:numFmt w:val="bullet"/>
      <w:suff w:val="tab"/>
      <w:lvlText w:val="•"/>
      <w:rPr>
        <w:color w:val="3370ff"/>
      </w:rPr>
    </w:lvl>
  </w:abstractNum>
  <w:abstractNum w:abstractNumId="753605">
    <w:lvl>
      <w:numFmt w:val="bullet"/>
      <w:suff w:val="tab"/>
      <w:lvlText w:val="•"/>
      <w:rPr>
        <w:color w:val="3370ff"/>
      </w:rPr>
    </w:lvl>
  </w:abstractNum>
  <w:abstractNum w:abstractNumId="753606">
    <w:lvl>
      <w:numFmt w:val="bullet"/>
      <w:suff w:val="tab"/>
      <w:lvlText w:val="•"/>
      <w:rPr>
        <w:color w:val="3370ff"/>
      </w:rPr>
    </w:lvl>
  </w:abstractNum>
  <w:abstractNum w:abstractNumId="753607">
    <w:lvl>
      <w:numFmt w:val="bullet"/>
      <w:suff w:val="tab"/>
      <w:lvlText w:val="•"/>
      <w:rPr>
        <w:color w:val="3370ff"/>
      </w:rPr>
    </w:lvl>
  </w:abstractNum>
  <w:abstractNum w:abstractNumId="753608">
    <w:lvl>
      <w:numFmt w:val="bullet"/>
      <w:suff w:val="tab"/>
      <w:lvlText w:val="￮"/>
      <w:rPr>
        <w:color w:val="3370ff"/>
      </w:rPr>
    </w:lvl>
  </w:abstractNum>
  <w:abstractNum w:abstractNumId="753609">
    <w:lvl>
      <w:numFmt w:val="bullet"/>
      <w:suff w:val="tab"/>
      <w:lvlText w:val="￮"/>
      <w:rPr>
        <w:color w:val="3370ff"/>
      </w:rPr>
    </w:lvl>
  </w:abstractNum>
  <w:abstractNum w:abstractNumId="753610">
    <w:lvl>
      <w:numFmt w:val="bullet"/>
      <w:suff w:val="tab"/>
      <w:lvlText w:val="•"/>
      <w:rPr>
        <w:color w:val="3370ff"/>
      </w:rPr>
    </w:lvl>
  </w:abstractNum>
  <w:abstractNum w:abstractNumId="753611">
    <w:lvl>
      <w:numFmt w:val="bullet"/>
      <w:suff w:val="tab"/>
      <w:lvlText w:val="￮"/>
      <w:rPr>
        <w:color w:val="3370ff"/>
      </w:rPr>
    </w:lvl>
  </w:abstractNum>
  <w:abstractNum w:abstractNumId="753612">
    <w:lvl>
      <w:numFmt w:val="bullet"/>
      <w:suff w:val="tab"/>
      <w:lvlText w:val="￮"/>
      <w:rPr>
        <w:color w:val="3370ff"/>
      </w:rPr>
    </w:lvl>
  </w:abstractNum>
  <w:abstractNum w:abstractNumId="753613">
    <w:lvl>
      <w:numFmt w:val="bullet"/>
      <w:suff w:val="tab"/>
      <w:lvlText w:val="▪"/>
      <w:rPr>
        <w:color w:val="3370ff"/>
        <w:sz w:val="11"/>
      </w:rPr>
    </w:lvl>
  </w:abstractNum>
  <w:abstractNum w:abstractNumId="753614">
    <w:lvl>
      <w:numFmt w:val="bullet"/>
      <w:suff w:val="tab"/>
      <w:lvlText w:val="▪"/>
      <w:rPr>
        <w:color w:val="3370ff"/>
        <w:sz w:val="11"/>
      </w:rPr>
    </w:lvl>
  </w:abstractNum>
  <w:abstractNum w:abstractNumId="753615">
    <w:lvl>
      <w:numFmt w:val="bullet"/>
      <w:suff w:val="tab"/>
      <w:lvlText w:val="▪"/>
      <w:rPr>
        <w:color w:val="3370ff"/>
        <w:sz w:val="11"/>
      </w:rPr>
    </w:lvl>
  </w:abstractNum>
  <w:abstractNum w:abstractNumId="753616">
    <w:lvl>
      <w:numFmt w:val="bullet"/>
      <w:suff w:val="tab"/>
      <w:lvlText w:val="▪"/>
      <w:rPr>
        <w:color w:val="3370ff"/>
        <w:sz w:val="11"/>
      </w:rPr>
    </w:lvl>
  </w:abstractNum>
  <w:abstractNum w:abstractNumId="753617">
    <w:lvl>
      <w:numFmt w:val="bullet"/>
      <w:suff w:val="tab"/>
      <w:lvlText w:val="￮"/>
      <w:rPr>
        <w:color w:val="3370ff"/>
      </w:rPr>
    </w:lvl>
  </w:abstractNum>
  <w:abstractNum w:abstractNumId="753618">
    <w:lvl>
      <w:numFmt w:val="bullet"/>
      <w:suff w:val="tab"/>
      <w:lvlText w:val="▪"/>
      <w:rPr>
        <w:color w:val="3370ff"/>
        <w:sz w:val="11"/>
      </w:rPr>
    </w:lvl>
  </w:abstractNum>
  <w:abstractNum w:abstractNumId="753619">
    <w:lvl>
      <w:numFmt w:val="bullet"/>
      <w:suff w:val="tab"/>
      <w:lvlText w:val="▪"/>
      <w:rPr>
        <w:color w:val="3370ff"/>
        <w:sz w:val="11"/>
      </w:rPr>
    </w:lvl>
  </w:abstractNum>
  <w:abstractNum w:abstractNumId="753620">
    <w:lvl>
      <w:numFmt w:val="bullet"/>
      <w:suff w:val="tab"/>
      <w:lvlText w:val="▪"/>
      <w:rPr>
        <w:color w:val="3370ff"/>
        <w:sz w:val="11"/>
      </w:rPr>
    </w:lvl>
  </w:abstractNum>
  <w:abstractNum w:abstractNumId="753621">
    <w:lvl>
      <w:start w:val="1"/>
      <w:numFmt w:val="decimal"/>
      <w:suff w:val="tab"/>
      <w:lvlText w:val="%1."/>
      <w:rPr>
        <w:color w:val="3370ff"/>
      </w:rPr>
    </w:lvl>
  </w:abstractNum>
  <w:abstractNum w:abstractNumId="753622">
    <w:lvl>
      <w:start w:val="2"/>
      <w:numFmt w:val="decimal"/>
      <w:suff w:val="tab"/>
      <w:lvlText w:val="%1."/>
      <w:rPr>
        <w:color w:val="3370ff"/>
      </w:rPr>
    </w:lvl>
  </w:abstractNum>
  <w:abstractNum w:abstractNumId="753623">
    <w:lvl>
      <w:start w:val="3"/>
      <w:numFmt w:val="decimal"/>
      <w:suff w:val="tab"/>
      <w:lvlText w:val="%1."/>
      <w:rPr>
        <w:color w:val="3370ff"/>
      </w:rPr>
    </w:lvl>
  </w:abstractNum>
  <w:abstractNum w:abstractNumId="753624">
    <w:lvl>
      <w:start w:val="4"/>
      <w:numFmt w:val="decimal"/>
      <w:suff w:val="tab"/>
      <w:lvlText w:val="%1."/>
      <w:rPr>
        <w:color w:val="3370ff"/>
      </w:rPr>
    </w:lvl>
  </w:abstractNum>
  <w:abstractNum w:abstractNumId="753625">
    <w:lvl>
      <w:start w:val="5"/>
      <w:numFmt w:val="decimal"/>
      <w:suff w:val="tab"/>
      <w:lvlText w:val="%1."/>
      <w:rPr>
        <w:color w:val="3370ff"/>
      </w:rPr>
    </w:lvl>
  </w:abstractNum>
  <w:abstractNum w:abstractNumId="753626">
    <w:lvl>
      <w:numFmt w:val="bullet"/>
      <w:suff w:val="tab"/>
      <w:lvlText w:val="•"/>
      <w:rPr>
        <w:color w:val="3370ff"/>
      </w:rPr>
    </w:lvl>
  </w:abstractNum>
  <w:abstractNum w:abstractNumId="753627">
    <w:lvl>
      <w:numFmt w:val="bullet"/>
      <w:suff w:val="tab"/>
      <w:lvlText w:val="•"/>
      <w:rPr>
        <w:color w:val="3370ff"/>
      </w:rPr>
    </w:lvl>
  </w:abstractNum>
  <w:abstractNum w:abstractNumId="753628">
    <w:lvl>
      <w:numFmt w:val="bullet"/>
      <w:suff w:val="tab"/>
      <w:lvlText w:val="•"/>
      <w:rPr>
        <w:color w:val="3370ff"/>
      </w:rPr>
    </w:lvl>
  </w:abstractNum>
  <w:abstractNum w:abstractNumId="753629">
    <w:lvl>
      <w:numFmt w:val="bullet"/>
      <w:suff w:val="tab"/>
      <w:lvlText w:val="•"/>
      <w:rPr>
        <w:color w:val="3370ff"/>
      </w:rPr>
    </w:lvl>
  </w:abstractNum>
  <w:abstractNum w:abstractNumId="753630">
    <w:lvl>
      <w:numFmt w:val="bullet"/>
      <w:suff w:val="tab"/>
      <w:lvlText w:val="•"/>
      <w:rPr>
        <w:color w:val="3370ff"/>
      </w:rPr>
    </w:lvl>
  </w:abstractNum>
  <w:abstractNum w:abstractNumId="753631">
    <w:lvl>
      <w:numFmt w:val="bullet"/>
      <w:suff w:val="tab"/>
      <w:lvlText w:val="￮"/>
      <w:rPr>
        <w:color w:val="3370ff"/>
      </w:rPr>
    </w:lvl>
  </w:abstractNum>
  <w:abstractNum w:abstractNumId="753632">
    <w:lvl>
      <w:numFmt w:val="bullet"/>
      <w:suff w:val="tab"/>
      <w:lvlText w:val="￮"/>
      <w:rPr>
        <w:color w:val="3370ff"/>
      </w:rPr>
    </w:lvl>
  </w:abstractNum>
  <w:abstractNum w:abstractNumId="753633">
    <w:lvl>
      <w:numFmt w:val="bullet"/>
      <w:suff w:val="tab"/>
      <w:lvlText w:val="•"/>
      <w:rPr>
        <w:color w:val="3370ff"/>
      </w:rPr>
    </w:lvl>
  </w:abstractNum>
  <w:abstractNum w:abstractNumId="753634">
    <w:lvl>
      <w:numFmt w:val="bullet"/>
      <w:suff w:val="tab"/>
      <w:lvlText w:val="•"/>
      <w:rPr>
        <w:color w:val="3370ff"/>
      </w:rPr>
    </w:lvl>
  </w:abstractNum>
  <w:abstractNum w:abstractNumId="753635">
    <w:lvl>
      <w:numFmt w:val="bullet"/>
      <w:suff w:val="tab"/>
      <w:lvlText w:val="•"/>
      <w:rPr>
        <w:color w:val="3370ff"/>
      </w:rPr>
    </w:lvl>
  </w:abstractNum>
  <w:abstractNum w:abstractNumId="753636">
    <w:lvl>
      <w:numFmt w:val="bullet"/>
      <w:suff w:val="tab"/>
      <w:lvlText w:val="•"/>
      <w:rPr>
        <w:color w:val="3370ff"/>
      </w:rPr>
    </w:lvl>
  </w:abstractNum>
  <w:abstractNum w:abstractNumId="753637">
    <w:lvl>
      <w:numFmt w:val="bullet"/>
      <w:suff w:val="tab"/>
      <w:lvlText w:val="•"/>
      <w:rPr>
        <w:color w:val="3370ff"/>
      </w:rPr>
    </w:lvl>
  </w:abstractNum>
  <w:abstractNum w:abstractNumId="753638">
    <w:lvl>
      <w:numFmt w:val="bullet"/>
      <w:suff w:val="tab"/>
      <w:lvlText w:val="•"/>
      <w:rPr>
        <w:color w:val="3370ff"/>
      </w:rPr>
    </w:lvl>
  </w:abstractNum>
  <w:abstractNum w:abstractNumId="753639">
    <w:lvl>
      <w:numFmt w:val="bullet"/>
      <w:suff w:val="tab"/>
      <w:lvlText w:val="•"/>
      <w:rPr>
        <w:color w:val="3370ff"/>
      </w:rPr>
    </w:lvl>
  </w:abstractNum>
  <w:abstractNum w:abstractNumId="753640">
    <w:lvl>
      <w:numFmt w:val="bullet"/>
      <w:suff w:val="tab"/>
      <w:lvlText w:val="•"/>
      <w:rPr>
        <w:color w:val="3370ff"/>
      </w:rPr>
    </w:lvl>
  </w:abstractNum>
  <w:abstractNum w:abstractNumId="753641">
    <w:lvl>
      <w:numFmt w:val="bullet"/>
      <w:suff w:val="tab"/>
      <w:lvlText w:val="•"/>
      <w:rPr>
        <w:color w:val="3370ff"/>
      </w:rPr>
    </w:lvl>
  </w:abstractNum>
  <w:abstractNum w:abstractNumId="753642">
    <w:lvl>
      <w:numFmt w:val="bullet"/>
      <w:suff w:val="tab"/>
      <w:lvlText w:val="•"/>
      <w:rPr>
        <w:color w:val="3370ff"/>
      </w:rPr>
    </w:lvl>
  </w:abstractNum>
  <w:abstractNum w:abstractNumId="753643">
    <w:lvl>
      <w:numFmt w:val="bullet"/>
      <w:suff w:val="tab"/>
      <w:lvlText w:val="•"/>
      <w:rPr>
        <w:color w:val="3370ff"/>
      </w:rPr>
    </w:lvl>
  </w:abstractNum>
  <w:abstractNum w:abstractNumId="753644">
    <w:lvl>
      <w:numFmt w:val="bullet"/>
      <w:suff w:val="tab"/>
      <w:lvlText w:val="•"/>
      <w:rPr>
        <w:color w:val="3370ff"/>
      </w:rPr>
    </w:lvl>
  </w:abstractNum>
  <w:abstractNum w:abstractNumId="753645">
    <w:lvl>
      <w:numFmt w:val="bullet"/>
      <w:suff w:val="tab"/>
      <w:lvlText w:val="•"/>
      <w:rPr>
        <w:color w:val="3370ff"/>
      </w:rPr>
    </w:lvl>
  </w:abstractNum>
  <w:abstractNum w:abstractNumId="753646">
    <w:lvl>
      <w:numFmt w:val="bullet"/>
      <w:suff w:val="tab"/>
      <w:lvlText w:val="•"/>
      <w:rPr>
        <w:color w:val="3370ff"/>
      </w:rPr>
    </w:lvl>
  </w:abstractNum>
  <w:abstractNum w:abstractNumId="753647">
    <w:lvl>
      <w:start w:val="1"/>
      <w:numFmt w:val="decimal"/>
      <w:suff w:val="tab"/>
      <w:lvlText w:val="%1."/>
      <w:rPr>
        <w:color w:val="3370ff"/>
      </w:rPr>
    </w:lvl>
  </w:abstractNum>
  <w:abstractNum w:abstractNumId="753648">
    <w:lvl>
      <w:start w:val="2"/>
      <w:numFmt w:val="decimal"/>
      <w:suff w:val="tab"/>
      <w:lvlText w:val="%1."/>
      <w:rPr>
        <w:color w:val="3370ff"/>
      </w:rPr>
    </w:lvl>
  </w:abstractNum>
  <w:abstractNum w:abstractNumId="753649">
    <w:lvl>
      <w:numFmt w:val="bullet"/>
      <w:suff w:val="tab"/>
      <w:lvlText w:val="•"/>
      <w:rPr>
        <w:color w:val="3370ff"/>
      </w:rPr>
    </w:lvl>
  </w:abstractNum>
  <w:abstractNum w:abstractNumId="753650">
    <w:lvl>
      <w:numFmt w:val="bullet"/>
      <w:suff w:val="tab"/>
      <w:lvlText w:val="•"/>
      <w:rPr>
        <w:color w:val="3370ff"/>
      </w:rPr>
    </w:lvl>
  </w:abstractNum>
  <w:abstractNum w:abstractNumId="753651">
    <w:lvl>
      <w:numFmt w:val="bullet"/>
      <w:suff w:val="tab"/>
      <w:lvlText w:val="￮"/>
      <w:rPr>
        <w:color w:val="3370ff"/>
      </w:rPr>
    </w:lvl>
  </w:abstractNum>
  <w:abstractNum w:abstractNumId="753652">
    <w:lvl>
      <w:numFmt w:val="bullet"/>
      <w:suff w:val="tab"/>
      <w:lvlText w:val="￮"/>
      <w:rPr>
        <w:color w:val="3370ff"/>
      </w:rPr>
    </w:lvl>
  </w:abstractNum>
  <w:abstractNum w:abstractNumId="753653">
    <w:lvl>
      <w:numFmt w:val="bullet"/>
      <w:suff w:val="tab"/>
      <w:lvlText w:val="•"/>
      <w:rPr>
        <w:color w:val="3370ff"/>
      </w:rPr>
    </w:lvl>
  </w:abstractNum>
  <w:abstractNum w:abstractNumId="753654">
    <w:lvl>
      <w:numFmt w:val="bullet"/>
      <w:suff w:val="tab"/>
      <w:lvlText w:val="￮"/>
      <w:rPr>
        <w:color w:val="3370ff"/>
      </w:rPr>
    </w:lvl>
  </w:abstractNum>
  <w:abstractNum w:abstractNumId="753655">
    <w:lvl>
      <w:numFmt w:val="bullet"/>
      <w:suff w:val="tab"/>
      <w:lvlText w:val="•"/>
      <w:rPr>
        <w:color w:val="3370ff"/>
      </w:rPr>
    </w:lvl>
  </w:abstractNum>
  <w:abstractNum w:abstractNumId="753656">
    <w:lvl>
      <w:numFmt w:val="bullet"/>
      <w:suff w:val="tab"/>
      <w:lvlText w:val="￮"/>
      <w:rPr>
        <w:color w:val="3370ff"/>
      </w:rPr>
    </w:lvl>
  </w:abstractNum>
  <w:abstractNum w:abstractNumId="753657">
    <w:lvl>
      <w:numFmt w:val="bullet"/>
      <w:suff w:val="tab"/>
      <w:lvlText w:val="￮"/>
      <w:rPr>
        <w:color w:val="3370ff"/>
      </w:rPr>
    </w:lvl>
  </w:abstractNum>
  <w:abstractNum w:abstractNumId="753658">
    <w:lvl>
      <w:numFmt w:val="bullet"/>
      <w:suff w:val="tab"/>
      <w:lvlText w:val="•"/>
      <w:rPr>
        <w:color w:val="3370ff"/>
      </w:rPr>
    </w:lvl>
  </w:abstractNum>
  <w:abstractNum w:abstractNumId="753659">
    <w:lvl>
      <w:numFmt w:val="bullet"/>
      <w:suff w:val="tab"/>
      <w:lvlText w:val="•"/>
      <w:rPr>
        <w:color w:val="3370ff"/>
      </w:rPr>
    </w:lvl>
  </w:abstractNum>
  <w:abstractNum w:abstractNumId="753660">
    <w:lvl>
      <w:start w:val="1"/>
      <w:numFmt w:val="lowerLetter"/>
      <w:suff w:val="tab"/>
      <w:lvlText w:val="%1."/>
      <w:rPr>
        <w:color w:val="3370ff"/>
      </w:rPr>
    </w:lvl>
  </w:abstractNum>
  <w:abstractNum w:abstractNumId="753661">
    <w:lvl>
      <w:start w:val="2"/>
      <w:numFmt w:val="lowerLetter"/>
      <w:suff w:val="tab"/>
      <w:lvlText w:val="%1."/>
      <w:rPr>
        <w:color w:val="3370ff"/>
      </w:rPr>
    </w:lvl>
  </w:abstractNum>
  <w:abstractNum w:abstractNumId="753662">
    <w:lvl>
      <w:numFmt w:val="bullet"/>
      <w:suff w:val="tab"/>
      <w:lvlText w:val="•"/>
      <w:rPr>
        <w:color w:val="3370ff"/>
      </w:rPr>
    </w:lvl>
  </w:abstractNum>
  <w:abstractNum w:abstractNumId="753663">
    <w:lvl>
      <w:numFmt w:val="bullet"/>
      <w:suff w:val="tab"/>
      <w:lvlText w:val="￮"/>
      <w:rPr>
        <w:color w:val="3370ff"/>
      </w:rPr>
    </w:lvl>
  </w:abstractNum>
  <w:abstractNum w:abstractNumId="753664">
    <w:lvl>
      <w:numFmt w:val="bullet"/>
      <w:suff w:val="tab"/>
      <w:lvlText w:val="￮"/>
      <w:rPr>
        <w:color w:val="3370ff"/>
      </w:rPr>
    </w:lvl>
  </w:abstractNum>
  <w:abstractNum w:abstractNumId="753665">
    <w:lvl>
      <w:numFmt w:val="bullet"/>
      <w:suff w:val="tab"/>
      <w:lvlText w:val="￮"/>
      <w:rPr>
        <w:color w:val="3370ff"/>
      </w:rPr>
    </w:lvl>
  </w:abstractNum>
  <w:abstractNum w:abstractNumId="753666">
    <w:lvl>
      <w:numFmt w:val="bullet"/>
      <w:suff w:val="tab"/>
      <w:lvlText w:val="•"/>
      <w:rPr>
        <w:color w:val="3370ff"/>
      </w:rPr>
    </w:lvl>
  </w:abstractNum>
  <w:abstractNum w:abstractNumId="753667">
    <w:lvl>
      <w:numFmt w:val="bullet"/>
      <w:suff w:val="tab"/>
      <w:lvlText w:val="•"/>
      <w:rPr>
        <w:color w:val="3370ff"/>
      </w:rPr>
    </w:lvl>
  </w:abstractNum>
  <w:abstractNum w:abstractNumId="753668">
    <w:lvl>
      <w:numFmt w:val="bullet"/>
      <w:suff w:val="tab"/>
      <w:lvlText w:val="•"/>
      <w:rPr>
        <w:color w:val="3370ff"/>
      </w:rPr>
    </w:lvl>
  </w:abstractNum>
  <w:abstractNum w:abstractNumId="753669">
    <w:lvl>
      <w:numFmt w:val="bullet"/>
      <w:suff w:val="tab"/>
      <w:lvlText w:val="•"/>
      <w:rPr>
        <w:color w:val="3370ff"/>
      </w:rPr>
    </w:lvl>
  </w:abstractNum>
  <w:abstractNum w:abstractNumId="753670">
    <w:lvl>
      <w:numFmt w:val="bullet"/>
      <w:suff w:val="tab"/>
      <w:lvlText w:val="•"/>
      <w:rPr>
        <w:color w:val="3370ff"/>
      </w:rPr>
    </w:lvl>
  </w:abstractNum>
  <w:abstractNum w:abstractNumId="753671">
    <w:lvl>
      <w:numFmt w:val="bullet"/>
      <w:suff w:val="tab"/>
      <w:lvlText w:val="•"/>
      <w:rPr>
        <w:color w:val="3370ff"/>
      </w:rPr>
    </w:lvl>
  </w:abstractNum>
  <w:abstractNum w:abstractNumId="753672">
    <w:lvl>
      <w:numFmt w:val="bullet"/>
      <w:suff w:val="tab"/>
      <w:lvlText w:val="•"/>
      <w:rPr>
        <w:color w:val="3370ff"/>
      </w:rPr>
    </w:lvl>
  </w:abstractNum>
  <w:abstractNum w:abstractNumId="753673">
    <w:lvl>
      <w:numFmt w:val="bullet"/>
      <w:suff w:val="tab"/>
      <w:lvlText w:val="•"/>
      <w:rPr>
        <w:color w:val="3370ff"/>
      </w:rPr>
    </w:lvl>
  </w:abstractNum>
  <w:abstractNum w:abstractNumId="753674">
    <w:lvl>
      <w:numFmt w:val="bullet"/>
      <w:suff w:val="tab"/>
      <w:lvlText w:val="•"/>
      <w:rPr>
        <w:color w:val="3370ff"/>
      </w:rPr>
    </w:lvl>
  </w:abstractNum>
  <w:abstractNum w:abstractNumId="753675">
    <w:lvl>
      <w:numFmt w:val="bullet"/>
      <w:suff w:val="tab"/>
      <w:lvlText w:val="•"/>
      <w:rPr>
        <w:color w:val="3370ff"/>
      </w:rPr>
    </w:lvl>
  </w:abstractNum>
  <w:abstractNum w:abstractNumId="753676">
    <w:lvl>
      <w:numFmt w:val="bullet"/>
      <w:suff w:val="tab"/>
      <w:lvlText w:val="•"/>
      <w:rPr>
        <w:color w:val="3370ff"/>
      </w:rPr>
    </w:lvl>
  </w:abstractNum>
  <w:abstractNum w:abstractNumId="753677">
    <w:lvl>
      <w:numFmt w:val="bullet"/>
      <w:suff w:val="tab"/>
      <w:lvlText w:val="•"/>
      <w:rPr>
        <w:color w:val="3370ff"/>
      </w:rPr>
    </w:lvl>
  </w:abstractNum>
  <w:abstractNum w:abstractNumId="753678">
    <w:lvl>
      <w:numFmt w:val="bullet"/>
      <w:suff w:val="tab"/>
      <w:lvlText w:val="•"/>
      <w:rPr>
        <w:color w:val="3370ff"/>
      </w:rPr>
    </w:lvl>
  </w:abstractNum>
  <w:abstractNum w:abstractNumId="753679">
    <w:lvl>
      <w:numFmt w:val="bullet"/>
      <w:suff w:val="tab"/>
      <w:lvlText w:val="•"/>
      <w:rPr>
        <w:color w:val="3370ff"/>
      </w:rPr>
    </w:lvl>
  </w:abstractNum>
  <w:abstractNum w:abstractNumId="753680">
    <w:lvl>
      <w:numFmt w:val="bullet"/>
      <w:suff w:val="tab"/>
      <w:lvlText w:val="•"/>
      <w:rPr>
        <w:color w:val="3370ff"/>
      </w:rPr>
    </w:lvl>
  </w:abstractNum>
  <w:abstractNum w:abstractNumId="753681">
    <w:lvl>
      <w:numFmt w:val="bullet"/>
      <w:suff w:val="tab"/>
      <w:lvlText w:val="•"/>
      <w:rPr>
        <w:color w:val="3370ff"/>
      </w:rPr>
    </w:lvl>
  </w:abstractNum>
  <w:abstractNum w:abstractNumId="753682">
    <w:lvl>
      <w:numFmt w:val="bullet"/>
      <w:suff w:val="tab"/>
      <w:lvlText w:val="•"/>
      <w:rPr>
        <w:color w:val="3370ff"/>
      </w:rPr>
    </w:lvl>
  </w:abstractNum>
  <w:abstractNum w:abstractNumId="753683">
    <w:lvl>
      <w:numFmt w:val="bullet"/>
      <w:suff w:val="tab"/>
      <w:lvlText w:val="•"/>
      <w:rPr>
        <w:color w:val="3370ff"/>
      </w:rPr>
    </w:lvl>
  </w:abstractNum>
  <w:abstractNum w:abstractNumId="753684">
    <w:lvl>
      <w:numFmt w:val="bullet"/>
      <w:suff w:val="tab"/>
      <w:lvlText w:val="•"/>
      <w:rPr>
        <w:color w:val="3370ff"/>
      </w:rPr>
    </w:lvl>
  </w:abstractNum>
  <w:abstractNum w:abstractNumId="753685">
    <w:lvl>
      <w:numFmt w:val="bullet"/>
      <w:suff w:val="tab"/>
      <w:lvlText w:val="•"/>
      <w:rPr>
        <w:color w:val="3370ff"/>
      </w:rPr>
    </w:lvl>
  </w:abstractNum>
  <w:abstractNum w:abstractNumId="753686">
    <w:lvl>
      <w:numFmt w:val="bullet"/>
      <w:suff w:val="tab"/>
      <w:lvlText w:val="•"/>
      <w:rPr>
        <w:color w:val="3370ff"/>
      </w:rPr>
    </w:lvl>
  </w:abstractNum>
  <w:abstractNum w:abstractNumId="753687">
    <w:lvl>
      <w:numFmt w:val="bullet"/>
      <w:suff w:val="tab"/>
      <w:lvlText w:val="•"/>
      <w:rPr>
        <w:color w:val="3370ff"/>
      </w:rPr>
    </w:lvl>
  </w:abstractNum>
  <w:abstractNum w:abstractNumId="753688">
    <w:lvl>
      <w:numFmt w:val="bullet"/>
      <w:suff w:val="tab"/>
      <w:lvlText w:val="•"/>
      <w:rPr>
        <w:color w:val="3370ff"/>
      </w:rPr>
    </w:lvl>
  </w:abstractNum>
  <w:abstractNum w:abstractNumId="753689">
    <w:lvl>
      <w:numFmt w:val="bullet"/>
      <w:suff w:val="tab"/>
      <w:lvlText w:val="•"/>
      <w:rPr>
        <w:color w:val="3370ff"/>
      </w:rPr>
    </w:lvl>
  </w:abstractNum>
  <w:abstractNum w:abstractNumId="753690">
    <w:lvl>
      <w:numFmt w:val="bullet"/>
      <w:suff w:val="tab"/>
      <w:lvlText w:val="•"/>
      <w:rPr>
        <w:color w:val="3370ff"/>
      </w:rPr>
    </w:lvl>
  </w:abstractNum>
  <w:abstractNum w:abstractNumId="753691">
    <w:lvl>
      <w:numFmt w:val="bullet"/>
      <w:suff w:val="tab"/>
      <w:lvlText w:val="•"/>
      <w:rPr>
        <w:color w:val="3370ff"/>
      </w:rPr>
    </w:lvl>
  </w:abstractNum>
  <w:abstractNum w:abstractNumId="753692">
    <w:lvl>
      <w:numFmt w:val="bullet"/>
      <w:suff w:val="tab"/>
      <w:lvlText w:val="•"/>
      <w:rPr>
        <w:color w:val="3370ff"/>
      </w:rPr>
    </w:lvl>
  </w:abstractNum>
  <w:abstractNum w:abstractNumId="753693">
    <w:lvl>
      <w:numFmt w:val="bullet"/>
      <w:suff w:val="tab"/>
      <w:lvlText w:val="•"/>
      <w:rPr>
        <w:color w:val="3370ff"/>
      </w:rPr>
    </w:lvl>
  </w:abstractNum>
  <w:abstractNum w:abstractNumId="753694">
    <w:lvl>
      <w:numFmt w:val="bullet"/>
      <w:suff w:val="tab"/>
      <w:lvlText w:val="•"/>
      <w:rPr>
        <w:color w:val="3370ff"/>
      </w:rPr>
    </w:lvl>
  </w:abstractNum>
  <w:abstractNum w:abstractNumId="753695">
    <w:lvl>
      <w:numFmt w:val="bullet"/>
      <w:suff w:val="tab"/>
      <w:lvlText w:val="•"/>
      <w:rPr>
        <w:color w:val="3370ff"/>
      </w:rPr>
    </w:lvl>
  </w:abstractNum>
  <w:abstractNum w:abstractNumId="753696">
    <w:lvl>
      <w:numFmt w:val="bullet"/>
      <w:suff w:val="tab"/>
      <w:lvlText w:val="•"/>
      <w:rPr>
        <w:color w:val="3370ff"/>
      </w:rPr>
    </w:lvl>
  </w:abstractNum>
  <w:abstractNum w:abstractNumId="753697">
    <w:lvl>
      <w:numFmt w:val="bullet"/>
      <w:suff w:val="tab"/>
      <w:lvlText w:val="•"/>
      <w:rPr>
        <w:color w:val="3370ff"/>
      </w:rPr>
    </w:lvl>
  </w:abstractNum>
  <w:abstractNum w:abstractNumId="753698">
    <w:lvl>
      <w:numFmt w:val="bullet"/>
      <w:suff w:val="tab"/>
      <w:lvlText w:val="•"/>
      <w:rPr>
        <w:color w:val="3370ff"/>
      </w:rPr>
    </w:lvl>
  </w:abstractNum>
  <w:abstractNum w:abstractNumId="753699">
    <w:lvl>
      <w:numFmt w:val="bullet"/>
      <w:suff w:val="tab"/>
      <w:lvlText w:val="•"/>
      <w:rPr>
        <w:color w:val="3370ff"/>
      </w:rPr>
    </w:lvl>
  </w:abstractNum>
  <w:abstractNum w:abstractNumId="753700">
    <w:lvl>
      <w:numFmt w:val="bullet"/>
      <w:suff w:val="tab"/>
      <w:lvlText w:val="•"/>
      <w:rPr>
        <w:color w:val="3370ff"/>
      </w:rPr>
    </w:lvl>
  </w:abstractNum>
  <w:abstractNum w:abstractNumId="753701">
    <w:lvl>
      <w:numFmt w:val="bullet"/>
      <w:suff w:val="tab"/>
      <w:lvlText w:val="•"/>
      <w:rPr>
        <w:color w:val="3370ff"/>
      </w:rPr>
    </w:lvl>
  </w:abstractNum>
  <w:abstractNum w:abstractNumId="753702">
    <w:lvl>
      <w:numFmt w:val="bullet"/>
      <w:suff w:val="tab"/>
      <w:lvlText w:val="•"/>
      <w:rPr>
        <w:color w:val="3370ff"/>
      </w:rPr>
    </w:lvl>
  </w:abstractNum>
  <w:abstractNum w:abstractNumId="753703">
    <w:lvl>
      <w:numFmt w:val="bullet"/>
      <w:suff w:val="tab"/>
      <w:lvlText w:val="￮"/>
      <w:rPr>
        <w:color w:val="3370ff"/>
      </w:rPr>
    </w:lvl>
  </w:abstractNum>
  <w:abstractNum w:abstractNumId="753704">
    <w:lvl>
      <w:numFmt w:val="bullet"/>
      <w:suff w:val="tab"/>
      <w:lvlText w:val="￮"/>
      <w:rPr>
        <w:color w:val="3370ff"/>
      </w:rPr>
    </w:lvl>
  </w:abstractNum>
  <w:abstractNum w:abstractNumId="753705">
    <w:lvl>
      <w:numFmt w:val="bullet"/>
      <w:suff w:val="tab"/>
      <w:lvlText w:val="￮"/>
      <w:rPr>
        <w:color w:val="3370ff"/>
      </w:rPr>
    </w:lvl>
  </w:abstractNum>
  <w:abstractNum w:abstractNumId="753706">
    <w:lvl>
      <w:numFmt w:val="bullet"/>
      <w:suff w:val="tab"/>
      <w:lvlText w:val="￮"/>
      <w:rPr>
        <w:color w:val="3370ff"/>
      </w:rPr>
    </w:lvl>
  </w:abstractNum>
  <w:abstractNum w:abstractNumId="753707">
    <w:lvl>
      <w:numFmt w:val="bullet"/>
      <w:suff w:val="tab"/>
      <w:lvlText w:val="•"/>
      <w:rPr>
        <w:color w:val="3370ff"/>
      </w:rPr>
    </w:lvl>
  </w:abstractNum>
  <w:abstractNum w:abstractNumId="753708">
    <w:lvl>
      <w:numFmt w:val="bullet"/>
      <w:suff w:val="tab"/>
      <w:lvlText w:val="￮"/>
      <w:rPr>
        <w:color w:val="3370ff"/>
      </w:rPr>
    </w:lvl>
  </w:abstractNum>
  <w:abstractNum w:abstractNumId="753709">
    <w:lvl>
      <w:numFmt w:val="bullet"/>
      <w:suff w:val="tab"/>
      <w:lvlText w:val="￮"/>
      <w:rPr>
        <w:color w:val="3370ff"/>
      </w:rPr>
    </w:lvl>
  </w:abstractNum>
  <w:abstractNum w:abstractNumId="753710">
    <w:lvl>
      <w:numFmt w:val="bullet"/>
      <w:suff w:val="tab"/>
      <w:lvlText w:val="￮"/>
      <w:rPr>
        <w:color w:val="3370ff"/>
      </w:rPr>
    </w:lvl>
  </w:abstractNum>
  <w:abstractNum w:abstractNumId="753711">
    <w:lvl>
      <w:numFmt w:val="bullet"/>
      <w:suff w:val="tab"/>
      <w:lvlText w:val="•"/>
      <w:rPr>
        <w:color w:val="3370ff"/>
      </w:rPr>
    </w:lvl>
  </w:abstractNum>
  <w:abstractNum w:abstractNumId="753712">
    <w:lvl>
      <w:numFmt w:val="bullet"/>
      <w:suff w:val="tab"/>
      <w:lvlText w:val="￮"/>
      <w:rPr>
        <w:color w:val="3370ff"/>
      </w:rPr>
    </w:lvl>
  </w:abstractNum>
  <w:abstractNum w:abstractNumId="753713">
    <w:lvl>
      <w:numFmt w:val="bullet"/>
      <w:suff w:val="tab"/>
      <w:lvlText w:val="￮"/>
      <w:rPr>
        <w:color w:val="3370ff"/>
      </w:rPr>
    </w:lvl>
  </w:abstractNum>
  <w:abstractNum w:abstractNumId="753714">
    <w:lvl>
      <w:numFmt w:val="bullet"/>
      <w:suff w:val="tab"/>
      <w:lvlText w:val="￮"/>
      <w:rPr>
        <w:color w:val="3370ff"/>
      </w:rPr>
    </w:lvl>
  </w:abstractNum>
  <w:abstractNum w:abstractNumId="753715">
    <w:lvl>
      <w:numFmt w:val="bullet"/>
      <w:suff w:val="tab"/>
      <w:lvlText w:val="•"/>
      <w:rPr>
        <w:color w:val="3370ff"/>
      </w:rPr>
    </w:lvl>
  </w:abstractNum>
  <w:abstractNum w:abstractNumId="753716">
    <w:lvl>
      <w:numFmt w:val="bullet"/>
      <w:suff w:val="tab"/>
      <w:lvlText w:val="￮"/>
      <w:rPr>
        <w:color w:val="3370ff"/>
      </w:rPr>
    </w:lvl>
  </w:abstractNum>
  <w:abstractNum w:abstractNumId="753717">
    <w:lvl>
      <w:numFmt w:val="bullet"/>
      <w:suff w:val="tab"/>
      <w:lvlText w:val="￮"/>
      <w:rPr>
        <w:color w:val="3370ff"/>
      </w:rPr>
    </w:lvl>
  </w:abstractNum>
  <w:abstractNum w:abstractNumId="753718">
    <w:lvl>
      <w:numFmt w:val="bullet"/>
      <w:suff w:val="tab"/>
      <w:lvlText w:val="￮"/>
      <w:rPr>
        <w:color w:val="3370ff"/>
      </w:rPr>
    </w:lvl>
  </w:abstractNum>
  <w:abstractNum w:abstractNumId="753719">
    <w:lvl>
      <w:numFmt w:val="bullet"/>
      <w:suff w:val="tab"/>
      <w:lvlText w:val="•"/>
      <w:rPr>
        <w:color w:val="3370ff"/>
      </w:rPr>
    </w:lvl>
  </w:abstractNum>
  <w:abstractNum w:abstractNumId="753720">
    <w:lvl>
      <w:numFmt w:val="bullet"/>
      <w:suff w:val="tab"/>
      <w:lvlText w:val="•"/>
      <w:rPr>
        <w:color w:val="3370ff"/>
      </w:rPr>
    </w:lvl>
  </w:abstractNum>
  <w:abstractNum w:abstractNumId="753721">
    <w:lvl>
      <w:start w:val="1"/>
      <w:numFmt w:val="decimal"/>
      <w:suff w:val="tab"/>
      <w:lvlText w:val="%1."/>
      <w:rPr>
        <w:color w:val="3370ff"/>
      </w:rPr>
    </w:lvl>
  </w:abstractNum>
  <w:abstractNum w:abstractNumId="753722">
    <w:lvl>
      <w:start w:val="2"/>
      <w:numFmt w:val="decimal"/>
      <w:suff w:val="tab"/>
      <w:lvlText w:val="%1."/>
      <w:rPr>
        <w:color w:val="3370ff"/>
      </w:rPr>
    </w:lvl>
  </w:abstractNum>
  <w:abstractNum w:abstractNumId="753723">
    <w:lvl>
      <w:start w:val="3"/>
      <w:numFmt w:val="decimal"/>
      <w:suff w:val="tab"/>
      <w:lvlText w:val="%1."/>
      <w:rPr>
        <w:color w:val="3370ff"/>
      </w:rPr>
    </w:lvl>
  </w:abstractNum>
  <w:abstractNum w:abstractNumId="753724">
    <w:lvl>
      <w:start w:val="4"/>
      <w:numFmt w:val="decimal"/>
      <w:suff w:val="tab"/>
      <w:lvlText w:val="%1."/>
      <w:rPr>
        <w:color w:val="3370ff"/>
      </w:rPr>
    </w:lvl>
  </w:abstractNum>
  <w:abstractNum w:abstractNumId="753725">
    <w:lvl>
      <w:numFmt w:val="bullet"/>
      <w:suff w:val="tab"/>
      <w:lvlText w:val="•"/>
      <w:rPr>
        <w:color w:val="3370ff"/>
      </w:rPr>
    </w:lvl>
  </w:abstractNum>
  <w:abstractNum w:abstractNumId="753726">
    <w:lvl>
      <w:numFmt w:val="bullet"/>
      <w:suff w:val="tab"/>
      <w:lvlText w:val="•"/>
      <w:rPr>
        <w:color w:val="3370ff"/>
      </w:rPr>
    </w:lvl>
  </w:abstractNum>
  <w:abstractNum w:abstractNumId="753727">
    <w:lvl>
      <w:numFmt w:val="bullet"/>
      <w:suff w:val="tab"/>
      <w:lvlText w:val="•"/>
      <w:rPr>
        <w:color w:val="3370ff"/>
      </w:rPr>
    </w:lvl>
  </w:abstractNum>
  <w:abstractNum w:abstractNumId="753728">
    <w:lvl>
      <w:numFmt w:val="bullet"/>
      <w:suff w:val="tab"/>
      <w:lvlText w:val="•"/>
      <w:rPr>
        <w:color w:val="3370ff"/>
      </w:rPr>
    </w:lvl>
  </w:abstractNum>
  <w:abstractNum w:abstractNumId="753729">
    <w:lvl>
      <w:numFmt w:val="bullet"/>
      <w:suff w:val="tab"/>
      <w:lvlText w:val="￮"/>
      <w:rPr>
        <w:color w:val="3370ff"/>
      </w:rPr>
    </w:lvl>
  </w:abstractNum>
  <w:abstractNum w:abstractNumId="753730">
    <w:lvl>
      <w:numFmt w:val="bullet"/>
      <w:suff w:val="tab"/>
      <w:lvlText w:val="￮"/>
      <w:rPr>
        <w:color w:val="3370ff"/>
      </w:rPr>
    </w:lvl>
  </w:abstractNum>
  <w:abstractNum w:abstractNumId="753731">
    <w:lvl>
      <w:numFmt w:val="bullet"/>
      <w:suff w:val="tab"/>
      <w:lvlText w:val="▪"/>
      <w:rPr>
        <w:color w:val="3370ff"/>
        <w:sz w:val="11"/>
      </w:rPr>
    </w:lvl>
  </w:abstractNum>
  <w:abstractNum w:abstractNumId="753732">
    <w:lvl>
      <w:numFmt w:val="bullet"/>
      <w:suff w:val="tab"/>
      <w:lvlText w:val="▪"/>
      <w:rPr>
        <w:color w:val="3370ff"/>
        <w:sz w:val="11"/>
      </w:rPr>
    </w:lvl>
  </w:abstractNum>
  <w:abstractNum w:abstractNumId="753733">
    <w:lvl>
      <w:numFmt w:val="bullet"/>
      <w:suff w:val="tab"/>
      <w:lvlText w:val="▪"/>
      <w:rPr>
        <w:color w:val="3370ff"/>
        <w:sz w:val="11"/>
      </w:rPr>
    </w:lvl>
  </w:abstractNum>
  <w:abstractNum w:abstractNumId="753734">
    <w:lvl>
      <w:numFmt w:val="bullet"/>
      <w:suff w:val="tab"/>
      <w:lvlText w:val="•"/>
      <w:rPr>
        <w:color w:val="3370ff"/>
      </w:rPr>
    </w:lvl>
  </w:abstractNum>
  <w:abstractNum w:abstractNumId="753735">
    <w:lvl>
      <w:numFmt w:val="bullet"/>
      <w:suff w:val="tab"/>
      <w:lvlText w:val="￮"/>
      <w:rPr>
        <w:color w:val="3370ff"/>
      </w:rPr>
    </w:lvl>
  </w:abstractNum>
  <w:abstractNum w:abstractNumId="753736">
    <w:lvl>
      <w:numFmt w:val="bullet"/>
      <w:suff w:val="tab"/>
      <w:lvlText w:val="￮"/>
      <w:rPr>
        <w:color w:val="3370ff"/>
      </w:rPr>
    </w:lvl>
  </w:abstractNum>
  <w:abstractNum w:abstractNumId="753737">
    <w:lvl>
      <w:numFmt w:val="bullet"/>
      <w:suff w:val="tab"/>
      <w:lvlText w:val="▪"/>
      <w:rPr>
        <w:color w:val="3370ff"/>
        <w:sz w:val="11"/>
      </w:rPr>
    </w:lvl>
  </w:abstractNum>
  <w:abstractNum w:abstractNumId="753738">
    <w:lvl>
      <w:numFmt w:val="bullet"/>
      <w:suff w:val="tab"/>
      <w:lvlText w:val="▪"/>
      <w:rPr>
        <w:color w:val="3370ff"/>
        <w:sz w:val="11"/>
      </w:rPr>
    </w:lvl>
  </w:abstractNum>
  <w:abstractNum w:abstractNumId="753739">
    <w:lvl>
      <w:numFmt w:val="bullet"/>
      <w:suff w:val="tab"/>
      <w:lvlText w:val="▪"/>
      <w:rPr>
        <w:color w:val="3370ff"/>
        <w:sz w:val="11"/>
      </w:rPr>
    </w:lvl>
  </w:abstractNum>
  <w:abstractNum w:abstractNumId="753740">
    <w:lvl>
      <w:numFmt w:val="bullet"/>
      <w:suff w:val="tab"/>
      <w:lvlText w:val="•"/>
      <w:rPr>
        <w:color w:val="3370ff"/>
      </w:rPr>
    </w:lvl>
  </w:abstractNum>
  <w:abstractNum w:abstractNumId="753741">
    <w:lvl>
      <w:numFmt w:val="bullet"/>
      <w:suff w:val="tab"/>
      <w:lvlText w:val="￮"/>
      <w:rPr>
        <w:color w:val="3370ff"/>
      </w:rPr>
    </w:lvl>
  </w:abstractNum>
  <w:abstractNum w:abstractNumId="753742">
    <w:lvl>
      <w:numFmt w:val="bullet"/>
      <w:suff w:val="tab"/>
      <w:lvlText w:val="￮"/>
      <w:rPr>
        <w:color w:val="3370ff"/>
      </w:rPr>
    </w:lvl>
  </w:abstractNum>
  <w:abstractNum w:abstractNumId="753743">
    <w:lvl>
      <w:numFmt w:val="bullet"/>
      <w:suff w:val="tab"/>
      <w:lvlText w:val="▪"/>
      <w:rPr>
        <w:color w:val="3370ff"/>
        <w:sz w:val="11"/>
      </w:rPr>
    </w:lvl>
  </w:abstractNum>
  <w:abstractNum w:abstractNumId="753744">
    <w:lvl>
      <w:numFmt w:val="bullet"/>
      <w:suff w:val="tab"/>
      <w:lvlText w:val="▪"/>
      <w:rPr>
        <w:color w:val="3370ff"/>
        <w:sz w:val="11"/>
      </w:rPr>
    </w:lvl>
  </w:abstractNum>
  <w:abstractNum w:abstractNumId="753745">
    <w:lvl>
      <w:numFmt w:val="bullet"/>
      <w:suff w:val="tab"/>
      <w:lvlText w:val="▪"/>
      <w:rPr>
        <w:color w:val="3370ff"/>
        <w:sz w:val="11"/>
      </w:rPr>
    </w:lvl>
  </w:abstractNum>
  <w:abstractNum w:abstractNumId="753746">
    <w:lvl>
      <w:numFmt w:val="bullet"/>
      <w:suff w:val="tab"/>
      <w:lvlText w:val="•"/>
      <w:rPr>
        <w:color w:val="3370ff"/>
      </w:rPr>
    </w:lvl>
  </w:abstractNum>
  <w:abstractNum w:abstractNumId="753747">
    <w:lvl>
      <w:numFmt w:val="bullet"/>
      <w:suff w:val="tab"/>
      <w:lvlText w:val="￮"/>
      <w:rPr>
        <w:color w:val="3370ff"/>
      </w:rPr>
    </w:lvl>
  </w:abstractNum>
  <w:abstractNum w:abstractNumId="753748">
    <w:lvl>
      <w:numFmt w:val="bullet"/>
      <w:suff w:val="tab"/>
      <w:lvlText w:val="￮"/>
      <w:rPr>
        <w:color w:val="3370ff"/>
      </w:rPr>
    </w:lvl>
  </w:abstractNum>
  <w:abstractNum w:abstractNumId="753749">
    <w:lvl>
      <w:numFmt w:val="bullet"/>
      <w:suff w:val="tab"/>
      <w:lvlText w:val="•"/>
      <w:rPr>
        <w:color w:val="3370ff"/>
      </w:rPr>
    </w:lvl>
  </w:abstractNum>
  <w:abstractNum w:abstractNumId="753750">
    <w:lvl>
      <w:numFmt w:val="bullet"/>
      <w:suff w:val="tab"/>
      <w:lvlText w:val="•"/>
      <w:rPr>
        <w:color w:val="3370ff"/>
      </w:rPr>
    </w:lvl>
  </w:abstractNum>
  <w:abstractNum w:abstractNumId="753751">
    <w:lvl>
      <w:numFmt w:val="bullet"/>
      <w:suff w:val="tab"/>
      <w:lvlText w:val="•"/>
      <w:rPr>
        <w:color w:val="3370ff"/>
      </w:rPr>
    </w:lvl>
  </w:abstractNum>
  <w:abstractNum w:abstractNumId="753752">
    <w:lvl>
      <w:numFmt w:val="bullet"/>
      <w:suff w:val="tab"/>
      <w:lvlText w:val="•"/>
      <w:rPr>
        <w:color w:val="3370ff"/>
      </w:rPr>
    </w:lvl>
  </w:abstractNum>
  <w:abstractNum w:abstractNumId="753753">
    <w:lvl>
      <w:numFmt w:val="bullet"/>
      <w:suff w:val="tab"/>
      <w:lvlText w:val="•"/>
      <w:rPr>
        <w:color w:val="3370ff"/>
      </w:rPr>
    </w:lvl>
  </w:abstractNum>
  <w:abstractNum w:abstractNumId="753754">
    <w:lvl>
      <w:numFmt w:val="bullet"/>
      <w:suff w:val="tab"/>
      <w:lvlText w:val="￮"/>
      <w:rPr>
        <w:color w:val="3370ff"/>
      </w:rPr>
    </w:lvl>
  </w:abstractNum>
  <w:abstractNum w:abstractNumId="753755">
    <w:lvl>
      <w:numFmt w:val="bullet"/>
      <w:suff w:val="tab"/>
      <w:lvlText w:val="￮"/>
      <w:rPr>
        <w:color w:val="3370ff"/>
      </w:rPr>
    </w:lvl>
  </w:abstractNum>
  <w:abstractNum w:abstractNumId="753756">
    <w:lvl>
      <w:numFmt w:val="bullet"/>
      <w:suff w:val="tab"/>
      <w:lvlText w:val="￮"/>
      <w:rPr>
        <w:color w:val="3370ff"/>
      </w:rPr>
    </w:lvl>
  </w:abstractNum>
  <w:abstractNum w:abstractNumId="753757">
    <w:lvl>
      <w:numFmt w:val="bullet"/>
      <w:suff w:val="tab"/>
      <w:lvlText w:val="￮"/>
      <w:rPr>
        <w:color w:val="3370ff"/>
      </w:rPr>
    </w:lvl>
  </w:abstractNum>
  <w:abstractNum w:abstractNumId="753758">
    <w:lvl>
      <w:numFmt w:val="bullet"/>
      <w:suff w:val="tab"/>
      <w:lvlText w:val="•"/>
      <w:rPr>
        <w:color w:val="3370ff"/>
      </w:rPr>
    </w:lvl>
  </w:abstractNum>
  <w:abstractNum w:abstractNumId="753759">
    <w:lvl>
      <w:start w:val="1"/>
      <w:numFmt w:val="lowerLetter"/>
      <w:suff w:val="tab"/>
      <w:lvlText w:val="%1."/>
      <w:rPr>
        <w:color w:val="3370ff"/>
      </w:rPr>
    </w:lvl>
  </w:abstractNum>
  <w:abstractNum w:abstractNumId="753760">
    <w:lvl>
      <w:start w:val="2"/>
      <w:numFmt w:val="lowerLetter"/>
      <w:suff w:val="tab"/>
      <w:lvlText w:val="%1."/>
      <w:rPr>
        <w:color w:val="3370ff"/>
      </w:rPr>
    </w:lvl>
  </w:abstractNum>
  <w:abstractNum w:abstractNumId="753761">
    <w:lvl>
      <w:start w:val="3"/>
      <w:numFmt w:val="lowerLetter"/>
      <w:suff w:val="tab"/>
      <w:lvlText w:val="%1."/>
      <w:rPr>
        <w:color w:val="3370ff"/>
      </w:rPr>
    </w:lvl>
  </w:abstractNum>
  <w:abstractNum w:abstractNumId="753762">
    <w:lvl>
      <w:start w:val="4"/>
      <w:numFmt w:val="lowerLetter"/>
      <w:suff w:val="tab"/>
      <w:lvlText w:val="%1."/>
      <w:rPr>
        <w:color w:val="3370ff"/>
      </w:rPr>
    </w:lvl>
  </w:abstractNum>
  <w:abstractNum w:abstractNumId="753763">
    <w:lvl>
      <w:numFmt w:val="bullet"/>
      <w:suff w:val="tab"/>
      <w:lvlText w:val="•"/>
      <w:rPr>
        <w:color w:val="3370ff"/>
      </w:rPr>
    </w:lvl>
  </w:abstractNum>
  <w:abstractNum w:abstractNumId="753764">
    <w:lvl>
      <w:numFmt w:val="bullet"/>
      <w:suff w:val="tab"/>
      <w:lvlText w:val="•"/>
      <w:rPr>
        <w:color w:val="3370ff"/>
      </w:rPr>
    </w:lvl>
  </w:abstractNum>
  <w:abstractNum w:abstractNumId="753765">
    <w:lvl>
      <w:numFmt w:val="bullet"/>
      <w:suff w:val="tab"/>
      <w:lvlText w:val="￮"/>
      <w:rPr>
        <w:color w:val="3370ff"/>
      </w:rPr>
    </w:lvl>
  </w:abstractNum>
  <w:abstractNum w:abstractNumId="753766">
    <w:lvl>
      <w:numFmt w:val="bullet"/>
      <w:suff w:val="tab"/>
      <w:lvlText w:val="￮"/>
      <w:rPr>
        <w:color w:val="3370ff"/>
      </w:rPr>
    </w:lvl>
  </w:abstractNum>
  <w:abstractNum w:abstractNumId="753767">
    <w:lvl>
      <w:numFmt w:val="bullet"/>
      <w:suff w:val="tab"/>
      <w:lvlText w:val="￮"/>
      <w:rPr>
        <w:color w:val="3370ff"/>
      </w:rPr>
    </w:lvl>
  </w:abstractNum>
  <w:abstractNum w:abstractNumId="753768">
    <w:lvl>
      <w:numFmt w:val="bullet"/>
      <w:suff w:val="tab"/>
      <w:lvlText w:val="•"/>
      <w:rPr>
        <w:color w:val="3370ff"/>
      </w:rPr>
    </w:lvl>
  </w:abstractNum>
  <w:abstractNum w:abstractNumId="753769">
    <w:lvl>
      <w:numFmt w:val="bullet"/>
      <w:suff w:val="tab"/>
      <w:lvlText w:val="￮"/>
      <w:rPr>
        <w:color w:val="3370ff"/>
      </w:rPr>
    </w:lvl>
  </w:abstractNum>
  <w:abstractNum w:abstractNumId="753770">
    <w:lvl>
      <w:numFmt w:val="bullet"/>
      <w:suff w:val="tab"/>
      <w:lvlText w:val="￮"/>
      <w:rPr>
        <w:color w:val="3370ff"/>
      </w:rPr>
    </w:lvl>
  </w:abstractNum>
  <w:abstractNum w:abstractNumId="753771">
    <w:lvl>
      <w:numFmt w:val="bullet"/>
      <w:suff w:val="tab"/>
      <w:lvlText w:val="￮"/>
      <w:rPr>
        <w:color w:val="3370ff"/>
      </w:rPr>
    </w:lvl>
  </w:abstractNum>
  <w:abstractNum w:abstractNumId="753772">
    <w:lvl>
      <w:numFmt w:val="bullet"/>
      <w:suff w:val="tab"/>
      <w:lvlText w:val="•"/>
      <w:rPr>
        <w:color w:val="3370ff"/>
      </w:rPr>
    </w:lvl>
  </w:abstractNum>
  <w:abstractNum w:abstractNumId="753773">
    <w:lvl>
      <w:numFmt w:val="bullet"/>
      <w:suff w:val="tab"/>
      <w:lvlText w:val="•"/>
      <w:rPr>
        <w:color w:val="3370ff"/>
      </w:rPr>
    </w:lvl>
  </w:abstractNum>
  <w:abstractNum w:abstractNumId="753774">
    <w:lvl>
      <w:numFmt w:val="bullet"/>
      <w:suff w:val="tab"/>
      <w:lvlText w:val="•"/>
      <w:rPr>
        <w:color w:val="3370ff"/>
      </w:rPr>
    </w:lvl>
  </w:abstractNum>
  <w:abstractNum w:abstractNumId="753775">
    <w:lvl>
      <w:numFmt w:val="bullet"/>
      <w:suff w:val="tab"/>
      <w:lvlText w:val="•"/>
      <w:rPr>
        <w:color w:val="3370ff"/>
      </w:rPr>
    </w:lvl>
  </w:abstractNum>
  <w:abstractNum w:abstractNumId="753776">
    <w:lvl>
      <w:numFmt w:val="bullet"/>
      <w:suff w:val="tab"/>
      <w:lvlText w:val="•"/>
      <w:rPr>
        <w:color w:val="3370ff"/>
      </w:rPr>
    </w:lvl>
  </w:abstractNum>
  <w:abstractNum w:abstractNumId="753777">
    <w:lvl>
      <w:numFmt w:val="bullet"/>
      <w:suff w:val="tab"/>
      <w:lvlText w:val="•"/>
      <w:rPr>
        <w:color w:val="3370ff"/>
      </w:rPr>
    </w:lvl>
  </w:abstractNum>
  <w:abstractNum w:abstractNumId="753778">
    <w:lvl>
      <w:numFmt w:val="bullet"/>
      <w:suff w:val="tab"/>
      <w:lvlText w:val="•"/>
      <w:rPr>
        <w:color w:val="3370ff"/>
      </w:rPr>
    </w:lvl>
  </w:abstractNum>
  <w:abstractNum w:abstractNumId="753779">
    <w:lvl>
      <w:numFmt w:val="bullet"/>
      <w:suff w:val="tab"/>
      <w:lvlText w:val="•"/>
      <w:rPr>
        <w:color w:val="3370ff"/>
      </w:rPr>
    </w:lvl>
  </w:abstractNum>
  <w:abstractNum w:abstractNumId="753780">
    <w:lvl>
      <w:numFmt w:val="bullet"/>
      <w:suff w:val="tab"/>
      <w:lvlText w:val="•"/>
      <w:rPr>
        <w:color w:val="3370ff"/>
      </w:rPr>
    </w:lvl>
  </w:abstractNum>
  <w:abstractNum w:abstractNumId="753781">
    <w:lvl>
      <w:numFmt w:val="bullet"/>
      <w:suff w:val="tab"/>
      <w:lvlText w:val="•"/>
      <w:rPr>
        <w:color w:val="3370ff"/>
      </w:rPr>
    </w:lvl>
  </w:abstractNum>
  <w:abstractNum w:abstractNumId="753782">
    <w:lvl>
      <w:numFmt w:val="bullet"/>
      <w:suff w:val="tab"/>
      <w:lvlText w:val="•"/>
      <w:rPr>
        <w:color w:val="3370ff"/>
      </w:rPr>
    </w:lvl>
  </w:abstractNum>
  <w:abstractNum w:abstractNumId="753783">
    <w:lvl>
      <w:numFmt w:val="bullet"/>
      <w:suff w:val="tab"/>
      <w:lvlText w:val="•"/>
      <w:rPr>
        <w:color w:val="3370ff"/>
      </w:rPr>
    </w:lvl>
  </w:abstractNum>
  <w:abstractNum w:abstractNumId="753784">
    <w:lvl>
      <w:numFmt w:val="bullet"/>
      <w:suff w:val="tab"/>
      <w:lvlText w:val="•"/>
      <w:rPr>
        <w:color w:val="3370ff"/>
      </w:rPr>
    </w:lvl>
  </w:abstractNum>
  <w:abstractNum w:abstractNumId="753785">
    <w:lvl>
      <w:numFmt w:val="bullet"/>
      <w:suff w:val="tab"/>
      <w:lvlText w:val="•"/>
      <w:rPr>
        <w:color w:val="3370ff"/>
      </w:rPr>
    </w:lvl>
  </w:abstractNum>
  <w:abstractNum w:abstractNumId="753786">
    <w:lvl>
      <w:numFmt w:val="bullet"/>
      <w:suff w:val="tab"/>
      <w:lvlText w:val="•"/>
      <w:rPr>
        <w:color w:val="3370ff"/>
      </w:rPr>
    </w:lvl>
  </w:abstractNum>
  <w:abstractNum w:abstractNumId="753787">
    <w:lvl>
      <w:numFmt w:val="bullet"/>
      <w:suff w:val="tab"/>
      <w:lvlText w:val="•"/>
      <w:rPr>
        <w:color w:val="3370ff"/>
      </w:rPr>
    </w:lvl>
  </w:abstractNum>
  <w:abstractNum w:abstractNumId="753788">
    <w:lvl>
      <w:numFmt w:val="bullet"/>
      <w:suff w:val="tab"/>
      <w:lvlText w:val="•"/>
      <w:rPr>
        <w:color w:val="3370ff"/>
      </w:rPr>
    </w:lvl>
  </w:abstractNum>
  <w:abstractNum w:abstractNumId="753789">
    <w:lvl>
      <w:numFmt w:val="bullet"/>
      <w:suff w:val="tab"/>
      <w:lvlText w:val="•"/>
      <w:rPr>
        <w:color w:val="3370ff"/>
      </w:rPr>
    </w:lvl>
  </w:abstractNum>
  <w:abstractNum w:abstractNumId="753790">
    <w:lvl>
      <w:numFmt w:val="bullet"/>
      <w:suff w:val="tab"/>
      <w:lvlText w:val="•"/>
      <w:rPr>
        <w:color w:val="3370ff"/>
      </w:rPr>
    </w:lvl>
  </w:abstractNum>
  <w:abstractNum w:abstractNumId="753791">
    <w:lvl>
      <w:numFmt w:val="bullet"/>
      <w:suff w:val="tab"/>
      <w:lvlText w:val="•"/>
      <w:rPr>
        <w:color w:val="3370ff"/>
      </w:rPr>
    </w:lvl>
  </w:abstractNum>
  <w:abstractNum w:abstractNumId="753792">
    <w:lvl>
      <w:numFmt w:val="bullet"/>
      <w:suff w:val="tab"/>
      <w:lvlText w:val="•"/>
      <w:rPr>
        <w:color w:val="3370ff"/>
      </w:rPr>
    </w:lvl>
  </w:abstractNum>
  <w:abstractNum w:abstractNumId="753793">
    <w:lvl>
      <w:numFmt w:val="bullet"/>
      <w:suff w:val="tab"/>
      <w:lvlText w:val="•"/>
      <w:rPr>
        <w:color w:val="3370ff"/>
      </w:rPr>
    </w:lvl>
  </w:abstractNum>
  <w:abstractNum w:abstractNumId="753794">
    <w:lvl>
      <w:numFmt w:val="bullet"/>
      <w:suff w:val="tab"/>
      <w:lvlText w:val="•"/>
      <w:rPr>
        <w:color w:val="3370ff"/>
      </w:rPr>
    </w:lvl>
  </w:abstractNum>
  <w:num w:numId="1">
    <w:abstractNumId w:val="753570"/>
  </w:num>
  <w:num w:numId="2">
    <w:abstractNumId w:val="753571"/>
  </w:num>
  <w:num w:numId="3">
    <w:abstractNumId w:val="753572"/>
  </w:num>
  <w:num w:numId="4">
    <w:abstractNumId w:val="753573"/>
  </w:num>
  <w:num w:numId="5">
    <w:abstractNumId w:val="753574"/>
  </w:num>
  <w:num w:numId="6">
    <w:abstractNumId w:val="753575"/>
  </w:num>
  <w:num w:numId="7">
    <w:abstractNumId w:val="753576"/>
  </w:num>
  <w:num w:numId="8">
    <w:abstractNumId w:val="753577"/>
  </w:num>
  <w:num w:numId="9">
    <w:abstractNumId w:val="753578"/>
  </w:num>
  <w:num w:numId="10">
    <w:abstractNumId w:val="753579"/>
  </w:num>
  <w:num w:numId="11">
    <w:abstractNumId w:val="753580"/>
  </w:num>
  <w:num w:numId="12">
    <w:abstractNumId w:val="753581"/>
  </w:num>
  <w:num w:numId="13">
    <w:abstractNumId w:val="753582"/>
  </w:num>
  <w:num w:numId="14">
    <w:abstractNumId w:val="753583"/>
  </w:num>
  <w:num w:numId="15">
    <w:abstractNumId w:val="753584"/>
  </w:num>
  <w:num w:numId="16">
    <w:abstractNumId w:val="753585"/>
  </w:num>
  <w:num w:numId="17">
    <w:abstractNumId w:val="753586"/>
  </w:num>
  <w:num w:numId="18">
    <w:abstractNumId w:val="753587"/>
  </w:num>
  <w:num w:numId="19">
    <w:abstractNumId w:val="753588"/>
  </w:num>
  <w:num w:numId="20">
    <w:abstractNumId w:val="753589"/>
  </w:num>
  <w:num w:numId="21">
    <w:abstractNumId w:val="753590"/>
  </w:num>
  <w:num w:numId="22">
    <w:abstractNumId w:val="753591"/>
  </w:num>
  <w:num w:numId="23">
    <w:abstractNumId w:val="753592"/>
  </w:num>
  <w:num w:numId="24">
    <w:abstractNumId w:val="753593"/>
  </w:num>
  <w:num w:numId="25">
    <w:abstractNumId w:val="753594"/>
  </w:num>
  <w:num w:numId="26">
    <w:abstractNumId w:val="753595"/>
  </w:num>
  <w:num w:numId="27">
    <w:abstractNumId w:val="753596"/>
  </w:num>
  <w:num w:numId="28">
    <w:abstractNumId w:val="753597"/>
  </w:num>
  <w:num w:numId="29">
    <w:abstractNumId w:val="753598"/>
  </w:num>
  <w:num w:numId="30">
    <w:abstractNumId w:val="753599"/>
  </w:num>
  <w:num w:numId="31">
    <w:abstractNumId w:val="753600"/>
  </w:num>
  <w:num w:numId="32">
    <w:abstractNumId w:val="753601"/>
  </w:num>
  <w:num w:numId="33">
    <w:abstractNumId w:val="753602"/>
  </w:num>
  <w:num w:numId="34">
    <w:abstractNumId w:val="753603"/>
  </w:num>
  <w:num w:numId="35">
    <w:abstractNumId w:val="753604"/>
  </w:num>
  <w:num w:numId="36">
    <w:abstractNumId w:val="753605"/>
  </w:num>
  <w:num w:numId="37">
    <w:abstractNumId w:val="753606"/>
  </w:num>
  <w:num w:numId="38">
    <w:abstractNumId w:val="753607"/>
  </w:num>
  <w:num w:numId="39">
    <w:abstractNumId w:val="753608"/>
  </w:num>
  <w:num w:numId="40">
    <w:abstractNumId w:val="753609"/>
  </w:num>
  <w:num w:numId="41">
    <w:abstractNumId w:val="753610"/>
  </w:num>
  <w:num w:numId="42">
    <w:abstractNumId w:val="753611"/>
  </w:num>
  <w:num w:numId="43">
    <w:abstractNumId w:val="753612"/>
  </w:num>
  <w:num w:numId="44">
    <w:abstractNumId w:val="753613"/>
  </w:num>
  <w:num w:numId="45">
    <w:abstractNumId w:val="753614"/>
  </w:num>
  <w:num w:numId="46">
    <w:abstractNumId w:val="753615"/>
  </w:num>
  <w:num w:numId="47">
    <w:abstractNumId w:val="753616"/>
  </w:num>
  <w:num w:numId="48">
    <w:abstractNumId w:val="753617"/>
  </w:num>
  <w:num w:numId="49">
    <w:abstractNumId w:val="753618"/>
  </w:num>
  <w:num w:numId="50">
    <w:abstractNumId w:val="753619"/>
  </w:num>
  <w:num w:numId="51">
    <w:abstractNumId w:val="753620"/>
  </w:num>
  <w:num w:numId="52">
    <w:abstractNumId w:val="753621"/>
  </w:num>
  <w:num w:numId="53">
    <w:abstractNumId w:val="753622"/>
  </w:num>
  <w:num w:numId="54">
    <w:abstractNumId w:val="753623"/>
  </w:num>
  <w:num w:numId="55">
    <w:abstractNumId w:val="753624"/>
  </w:num>
  <w:num w:numId="56">
    <w:abstractNumId w:val="753625"/>
  </w:num>
  <w:num w:numId="57">
    <w:abstractNumId w:val="753626"/>
  </w:num>
  <w:num w:numId="58">
    <w:abstractNumId w:val="753627"/>
  </w:num>
  <w:num w:numId="59">
    <w:abstractNumId w:val="753628"/>
  </w:num>
  <w:num w:numId="60">
    <w:abstractNumId w:val="753629"/>
  </w:num>
  <w:num w:numId="61">
    <w:abstractNumId w:val="753630"/>
  </w:num>
  <w:num w:numId="62">
    <w:abstractNumId w:val="753631"/>
  </w:num>
  <w:num w:numId="63">
    <w:abstractNumId w:val="753632"/>
  </w:num>
  <w:num w:numId="64">
    <w:abstractNumId w:val="753633"/>
  </w:num>
  <w:num w:numId="65">
    <w:abstractNumId w:val="753634"/>
  </w:num>
  <w:num w:numId="66">
    <w:abstractNumId w:val="753635"/>
  </w:num>
  <w:num w:numId="67">
    <w:abstractNumId w:val="753636"/>
  </w:num>
  <w:num w:numId="68">
    <w:abstractNumId w:val="753637"/>
  </w:num>
  <w:num w:numId="69">
    <w:abstractNumId w:val="753638"/>
  </w:num>
  <w:num w:numId="70">
    <w:abstractNumId w:val="753639"/>
  </w:num>
  <w:num w:numId="71">
    <w:abstractNumId w:val="753640"/>
  </w:num>
  <w:num w:numId="72">
    <w:abstractNumId w:val="753641"/>
  </w:num>
  <w:num w:numId="73">
    <w:abstractNumId w:val="753642"/>
  </w:num>
  <w:num w:numId="74">
    <w:abstractNumId w:val="753643"/>
  </w:num>
  <w:num w:numId="75">
    <w:abstractNumId w:val="753644"/>
  </w:num>
  <w:num w:numId="76">
    <w:abstractNumId w:val="753645"/>
  </w:num>
  <w:num w:numId="77">
    <w:abstractNumId w:val="753646"/>
  </w:num>
  <w:num w:numId="78">
    <w:abstractNumId w:val="753647"/>
  </w:num>
  <w:num w:numId="79">
    <w:abstractNumId w:val="753648"/>
  </w:num>
  <w:num w:numId="80">
    <w:abstractNumId w:val="753649"/>
  </w:num>
  <w:num w:numId="81">
    <w:abstractNumId w:val="753650"/>
  </w:num>
  <w:num w:numId="82">
    <w:abstractNumId w:val="753651"/>
  </w:num>
  <w:num w:numId="83">
    <w:abstractNumId w:val="753652"/>
  </w:num>
  <w:num w:numId="84">
    <w:abstractNumId w:val="753653"/>
  </w:num>
  <w:num w:numId="85">
    <w:abstractNumId w:val="753654"/>
  </w:num>
  <w:num w:numId="86">
    <w:abstractNumId w:val="753655"/>
  </w:num>
  <w:num w:numId="87">
    <w:abstractNumId w:val="753656"/>
  </w:num>
  <w:num w:numId="88">
    <w:abstractNumId w:val="753657"/>
  </w:num>
  <w:num w:numId="89">
    <w:abstractNumId w:val="753658"/>
  </w:num>
  <w:num w:numId="90">
    <w:abstractNumId w:val="753659"/>
  </w:num>
  <w:num w:numId="91">
    <w:abstractNumId w:val="753660"/>
  </w:num>
  <w:num w:numId="92">
    <w:abstractNumId w:val="753661"/>
  </w:num>
  <w:num w:numId="93">
    <w:abstractNumId w:val="753662"/>
  </w:num>
  <w:num w:numId="94">
    <w:abstractNumId w:val="753663"/>
  </w:num>
  <w:num w:numId="95">
    <w:abstractNumId w:val="753664"/>
  </w:num>
  <w:num w:numId="96">
    <w:abstractNumId w:val="753665"/>
  </w:num>
  <w:num w:numId="97">
    <w:abstractNumId w:val="753666"/>
  </w:num>
  <w:num w:numId="98">
    <w:abstractNumId w:val="753667"/>
  </w:num>
  <w:num w:numId="99">
    <w:abstractNumId w:val="753668"/>
  </w:num>
  <w:num w:numId="100">
    <w:abstractNumId w:val="753669"/>
  </w:num>
  <w:num w:numId="101">
    <w:abstractNumId w:val="753670"/>
  </w:num>
  <w:num w:numId="102">
    <w:abstractNumId w:val="753671"/>
  </w:num>
  <w:num w:numId="103">
    <w:abstractNumId w:val="753672"/>
  </w:num>
  <w:num w:numId="104">
    <w:abstractNumId w:val="753673"/>
  </w:num>
  <w:num w:numId="105">
    <w:abstractNumId w:val="753674"/>
  </w:num>
  <w:num w:numId="106">
    <w:abstractNumId w:val="753675"/>
  </w:num>
  <w:num w:numId="107">
    <w:abstractNumId w:val="753676"/>
  </w:num>
  <w:num w:numId="108">
    <w:abstractNumId w:val="753677"/>
  </w:num>
  <w:num w:numId="109">
    <w:abstractNumId w:val="753678"/>
  </w:num>
  <w:num w:numId="110">
    <w:abstractNumId w:val="753679"/>
  </w:num>
  <w:num w:numId="111">
    <w:abstractNumId w:val="753680"/>
  </w:num>
  <w:num w:numId="112">
    <w:abstractNumId w:val="753681"/>
  </w:num>
  <w:num w:numId="113">
    <w:abstractNumId w:val="753682"/>
  </w:num>
  <w:num w:numId="114">
    <w:abstractNumId w:val="753683"/>
  </w:num>
  <w:num w:numId="115">
    <w:abstractNumId w:val="753684"/>
  </w:num>
  <w:num w:numId="116">
    <w:abstractNumId w:val="753685"/>
  </w:num>
  <w:num w:numId="117">
    <w:abstractNumId w:val="753686"/>
  </w:num>
  <w:num w:numId="118">
    <w:abstractNumId w:val="753687"/>
  </w:num>
  <w:num w:numId="119">
    <w:abstractNumId w:val="753688"/>
  </w:num>
  <w:num w:numId="120">
    <w:abstractNumId w:val="753689"/>
  </w:num>
  <w:num w:numId="121">
    <w:abstractNumId w:val="753690"/>
  </w:num>
  <w:num w:numId="122">
    <w:abstractNumId w:val="753691"/>
  </w:num>
  <w:num w:numId="123">
    <w:abstractNumId w:val="753692"/>
  </w:num>
  <w:num w:numId="124">
    <w:abstractNumId w:val="753693"/>
  </w:num>
  <w:num w:numId="125">
    <w:abstractNumId w:val="753694"/>
  </w:num>
  <w:num w:numId="126">
    <w:abstractNumId w:val="753695"/>
  </w:num>
  <w:num w:numId="127">
    <w:abstractNumId w:val="753696"/>
  </w:num>
  <w:num w:numId="128">
    <w:abstractNumId w:val="753697"/>
  </w:num>
  <w:num w:numId="129">
    <w:abstractNumId w:val="753698"/>
  </w:num>
  <w:num w:numId="130">
    <w:abstractNumId w:val="753699"/>
  </w:num>
  <w:num w:numId="131">
    <w:abstractNumId w:val="753700"/>
  </w:num>
  <w:num w:numId="132">
    <w:abstractNumId w:val="753701"/>
  </w:num>
  <w:num w:numId="133">
    <w:abstractNumId w:val="753702"/>
  </w:num>
  <w:num w:numId="134">
    <w:abstractNumId w:val="753703"/>
  </w:num>
  <w:num w:numId="135">
    <w:abstractNumId w:val="753704"/>
  </w:num>
  <w:num w:numId="136">
    <w:abstractNumId w:val="753705"/>
  </w:num>
  <w:num w:numId="137">
    <w:abstractNumId w:val="753706"/>
  </w:num>
  <w:num w:numId="138">
    <w:abstractNumId w:val="753707"/>
  </w:num>
  <w:num w:numId="139">
    <w:abstractNumId w:val="753708"/>
  </w:num>
  <w:num w:numId="140">
    <w:abstractNumId w:val="753709"/>
  </w:num>
  <w:num w:numId="141">
    <w:abstractNumId w:val="753710"/>
  </w:num>
  <w:num w:numId="142">
    <w:abstractNumId w:val="753711"/>
  </w:num>
  <w:num w:numId="143">
    <w:abstractNumId w:val="753712"/>
  </w:num>
  <w:num w:numId="144">
    <w:abstractNumId w:val="753713"/>
  </w:num>
  <w:num w:numId="145">
    <w:abstractNumId w:val="753714"/>
  </w:num>
  <w:num w:numId="146">
    <w:abstractNumId w:val="753715"/>
  </w:num>
  <w:num w:numId="147">
    <w:abstractNumId w:val="753716"/>
  </w:num>
  <w:num w:numId="148">
    <w:abstractNumId w:val="753717"/>
  </w:num>
  <w:num w:numId="149">
    <w:abstractNumId w:val="753718"/>
  </w:num>
  <w:num w:numId="150">
    <w:abstractNumId w:val="753719"/>
  </w:num>
  <w:num w:numId="151">
    <w:abstractNumId w:val="753720"/>
  </w:num>
  <w:num w:numId="152">
    <w:abstractNumId w:val="753721"/>
  </w:num>
  <w:num w:numId="153">
    <w:abstractNumId w:val="753722"/>
  </w:num>
  <w:num w:numId="154">
    <w:abstractNumId w:val="753723"/>
  </w:num>
  <w:num w:numId="155">
    <w:abstractNumId w:val="753724"/>
  </w:num>
  <w:num w:numId="156">
    <w:abstractNumId w:val="753725"/>
  </w:num>
  <w:num w:numId="157">
    <w:abstractNumId w:val="753726"/>
  </w:num>
  <w:num w:numId="158">
    <w:abstractNumId w:val="753727"/>
  </w:num>
  <w:num w:numId="159">
    <w:abstractNumId w:val="753728"/>
  </w:num>
  <w:num w:numId="160">
    <w:abstractNumId w:val="753729"/>
  </w:num>
  <w:num w:numId="161">
    <w:abstractNumId w:val="753730"/>
  </w:num>
  <w:num w:numId="162">
    <w:abstractNumId w:val="753731"/>
  </w:num>
  <w:num w:numId="163">
    <w:abstractNumId w:val="753732"/>
  </w:num>
  <w:num w:numId="164">
    <w:abstractNumId w:val="753733"/>
  </w:num>
  <w:num w:numId="165">
    <w:abstractNumId w:val="753734"/>
  </w:num>
  <w:num w:numId="166">
    <w:abstractNumId w:val="753735"/>
  </w:num>
  <w:num w:numId="167">
    <w:abstractNumId w:val="753736"/>
  </w:num>
  <w:num w:numId="168">
    <w:abstractNumId w:val="753737"/>
  </w:num>
  <w:num w:numId="169">
    <w:abstractNumId w:val="753738"/>
  </w:num>
  <w:num w:numId="170">
    <w:abstractNumId w:val="753739"/>
  </w:num>
  <w:num w:numId="171">
    <w:abstractNumId w:val="753740"/>
  </w:num>
  <w:num w:numId="172">
    <w:abstractNumId w:val="753741"/>
  </w:num>
  <w:num w:numId="173">
    <w:abstractNumId w:val="753742"/>
  </w:num>
  <w:num w:numId="174">
    <w:abstractNumId w:val="753743"/>
  </w:num>
  <w:num w:numId="175">
    <w:abstractNumId w:val="753744"/>
  </w:num>
  <w:num w:numId="176">
    <w:abstractNumId w:val="753745"/>
  </w:num>
  <w:num w:numId="177">
    <w:abstractNumId w:val="753746"/>
  </w:num>
  <w:num w:numId="178">
    <w:abstractNumId w:val="753747"/>
  </w:num>
  <w:num w:numId="179">
    <w:abstractNumId w:val="753748"/>
  </w:num>
  <w:num w:numId="180">
    <w:abstractNumId w:val="753749"/>
  </w:num>
  <w:num w:numId="181">
    <w:abstractNumId w:val="753750"/>
  </w:num>
  <w:num w:numId="182">
    <w:abstractNumId w:val="753751"/>
  </w:num>
  <w:num w:numId="183">
    <w:abstractNumId w:val="753752"/>
  </w:num>
  <w:num w:numId="184">
    <w:abstractNumId w:val="753753"/>
  </w:num>
  <w:num w:numId="185">
    <w:abstractNumId w:val="753754"/>
  </w:num>
  <w:num w:numId="186">
    <w:abstractNumId w:val="753755"/>
  </w:num>
  <w:num w:numId="187">
    <w:abstractNumId w:val="753756"/>
  </w:num>
  <w:num w:numId="188">
    <w:abstractNumId w:val="753757"/>
  </w:num>
  <w:num w:numId="189">
    <w:abstractNumId w:val="753758"/>
  </w:num>
  <w:num w:numId="190">
    <w:abstractNumId w:val="753759"/>
  </w:num>
  <w:num w:numId="191">
    <w:abstractNumId w:val="753760"/>
  </w:num>
  <w:num w:numId="192">
    <w:abstractNumId w:val="753761"/>
  </w:num>
  <w:num w:numId="193">
    <w:abstractNumId w:val="753762"/>
  </w:num>
  <w:num w:numId="194">
    <w:abstractNumId w:val="753763"/>
  </w:num>
  <w:num w:numId="195">
    <w:abstractNumId w:val="753764"/>
  </w:num>
  <w:num w:numId="196">
    <w:abstractNumId w:val="753765"/>
  </w:num>
  <w:num w:numId="197">
    <w:abstractNumId w:val="753766"/>
  </w:num>
  <w:num w:numId="198">
    <w:abstractNumId w:val="753767"/>
  </w:num>
  <w:num w:numId="199">
    <w:abstractNumId w:val="753768"/>
  </w:num>
  <w:num w:numId="200">
    <w:abstractNumId w:val="753769"/>
  </w:num>
  <w:num w:numId="201">
    <w:abstractNumId w:val="753770"/>
  </w:num>
  <w:num w:numId="202">
    <w:abstractNumId w:val="753771"/>
  </w:num>
  <w:num w:numId="203">
    <w:abstractNumId w:val="753772"/>
  </w:num>
  <w:num w:numId="204">
    <w:abstractNumId w:val="753773"/>
  </w:num>
  <w:num w:numId="205">
    <w:abstractNumId w:val="753774"/>
  </w:num>
  <w:num w:numId="206">
    <w:abstractNumId w:val="753775"/>
  </w:num>
  <w:num w:numId="207">
    <w:abstractNumId w:val="753776"/>
  </w:num>
  <w:num w:numId="208">
    <w:abstractNumId w:val="753777"/>
  </w:num>
  <w:num w:numId="209">
    <w:abstractNumId w:val="753778"/>
  </w:num>
  <w:num w:numId="210">
    <w:abstractNumId w:val="753779"/>
  </w:num>
  <w:num w:numId="211">
    <w:abstractNumId w:val="753780"/>
  </w:num>
  <w:num w:numId="212">
    <w:abstractNumId w:val="753781"/>
  </w:num>
  <w:num w:numId="213">
    <w:abstractNumId w:val="753782"/>
  </w:num>
  <w:num w:numId="214">
    <w:abstractNumId w:val="753783"/>
  </w:num>
  <w:num w:numId="215">
    <w:abstractNumId w:val="753784"/>
  </w:num>
  <w:num w:numId="216">
    <w:abstractNumId w:val="753785"/>
  </w:num>
  <w:num w:numId="217">
    <w:abstractNumId w:val="753786"/>
  </w:num>
  <w:num w:numId="218">
    <w:abstractNumId w:val="753787"/>
  </w:num>
  <w:num w:numId="219">
    <w:abstractNumId w:val="753788"/>
  </w:num>
  <w:num w:numId="220">
    <w:abstractNumId w:val="753789"/>
  </w:num>
  <w:num w:numId="221">
    <w:abstractNumId w:val="753790"/>
  </w:num>
  <w:num w:numId="222">
    <w:abstractNumId w:val="753791"/>
  </w:num>
  <w:num w:numId="223">
    <w:abstractNumId w:val="753792"/>
  </w:num>
  <w:num w:numId="224">
    <w:abstractNumId w:val="753793"/>
  </w:num>
  <w:num w:numId="225">
    <w:abstractNumId w:val="7537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embeddings/Microsoft_Excel_Worksheet1.xlsx" Type="http://schemas.openxmlformats.org/officeDocument/2006/relationships/package"/><Relationship Id="rId14" Target="media/image9.png" Type="http://schemas.openxmlformats.org/officeDocument/2006/relationships/image"/><Relationship Id="rId15" Target="media/image10.jpeg" Type="http://schemas.openxmlformats.org/officeDocument/2006/relationships/image"/><Relationship Id="rId16" Target="media/image11.jpeg" Type="http://schemas.openxmlformats.org/officeDocument/2006/relationships/image"/><Relationship Id="rId17" Target="media/image12.jpeg" Type="http://schemas.openxmlformats.org/officeDocument/2006/relationships/image"/><Relationship Id="rId18" Target="media/image13.jpeg" Type="http://schemas.openxmlformats.org/officeDocument/2006/relationships/image"/><Relationship Id="rId19" Target="media/image14.jpeg" Type="http://schemas.openxmlformats.org/officeDocument/2006/relationships/image"/><Relationship Id="rId2" Target="styles.xml" Type="http://schemas.openxmlformats.org/officeDocument/2006/relationships/styles"/><Relationship Id="rId20" Target="media/image15.jpeg" Type="http://schemas.openxmlformats.org/officeDocument/2006/relationships/image"/><Relationship Id="rId21" Target="media/image16.jpeg" Type="http://schemas.openxmlformats.org/officeDocument/2006/relationships/image"/><Relationship Id="rId22" Target="media/image17.jpeg" Type="http://schemas.openxmlformats.org/officeDocument/2006/relationships/image"/><Relationship Id="rId23" Target="media/image18.jpeg" Type="http://schemas.openxmlformats.org/officeDocument/2006/relationships/image"/><Relationship Id="rId24" Target="media/image19.jpeg" Type="http://schemas.openxmlformats.org/officeDocument/2006/relationships/image"/><Relationship Id="rId25" Target="https://ruijie.feishu.cn/wiki/H0JIwRD6jiXZAeki6hEcn6Zjn6d" TargetMode="External" Type="http://schemas.openxmlformats.org/officeDocument/2006/relationships/hyperlink"/><Relationship Id="rId26" Target="https://ruijie.feishu.cn/wiki/DhLjwbeNJiqZSmkaitvcquT5n4f" TargetMode="External" Type="http://schemas.openxmlformats.org/officeDocument/2006/relationships/hyperlink"/><Relationship Id="rId27" Target="media/image20.png" Type="http://schemas.openxmlformats.org/officeDocument/2006/relationships/image"/><Relationship Id="rId28" Target="embeddings/Microsoft_Excel_Worksheet2.xlsx" Type="http://schemas.openxmlformats.org/officeDocument/2006/relationships/package"/><Relationship Id="rId29" Target="media/image21.png" Type="http://schemas.openxmlformats.org/officeDocument/2006/relationships/image"/><Relationship Id="rId3" Target="footer1.xml" Type="http://schemas.openxmlformats.org/officeDocument/2006/relationships/footer"/><Relationship Id="rId30" Target="https://ruijie.feishu.cn/wiki/VhaFw647EidhMCk6c6YcShLonrh?sheet=w5XxiR" TargetMode="External" Type="http://schemas.openxmlformats.org/officeDocument/2006/relationships/hyperlink"/><Relationship Id="rId31" Target="embeddings/Microsoft_Excel_Worksheet3.xlsx" Type="http://schemas.openxmlformats.org/officeDocument/2006/relationships/package"/><Relationship Id="rId32" Target="media/image22.png" Type="http://schemas.openxmlformats.org/officeDocument/2006/relationships/image"/><Relationship Id="rId33" Target="embeddings/Microsoft_Excel_Worksheet4.xlsx" Type="http://schemas.openxmlformats.org/officeDocument/2006/relationships/package"/><Relationship Id="rId34" Target="media/image23.png" Type="http://schemas.openxmlformats.org/officeDocument/2006/relationships/image"/><Relationship Id="rId35" Target="embeddings/Microsoft_Excel_Worksheet5.xlsx" Type="http://schemas.openxmlformats.org/officeDocument/2006/relationships/package"/><Relationship Id="rId36" Target="media/image24.png" Type="http://schemas.openxmlformats.org/officeDocument/2006/relationships/image"/><Relationship Id="rId37" Target="media/image25.jpeg" Type="http://schemas.openxmlformats.org/officeDocument/2006/relationships/image"/><Relationship Id="rId38" Target="https://ruijie.feishu.cn/wiki/YSBWw5B4OiwyvWkl2cAcrlKEnZ3?sheet=I4479X" TargetMode="External" Type="http://schemas.openxmlformats.org/officeDocument/2006/relationships/hyperlink"/><Relationship Id="rId39" Target="media/image26.png" Type="http://schemas.openxmlformats.org/officeDocument/2006/relationships/image"/><Relationship Id="rId4" Target="numbering.xml" Type="http://schemas.openxmlformats.org/officeDocument/2006/relationships/numbering"/><Relationship Id="rId40" Target="media/image27.png" Type="http://schemas.openxmlformats.org/officeDocument/2006/relationships/image"/><Relationship Id="rId41" Target="media/image28.png" Type="http://schemas.openxmlformats.org/officeDocument/2006/relationships/image"/><Relationship Id="rId42" Target="media/image29.jpeg" Type="http://schemas.openxmlformats.org/officeDocument/2006/relationships/image"/><Relationship Id="rId43" Target="media/image30.jpeg" Type="http://schemas.openxmlformats.org/officeDocument/2006/relationships/image"/><Relationship Id="rId44" Target="embeddings/Microsoft_Excel_Worksheet6.xlsx" Type="http://schemas.openxmlformats.org/officeDocument/2006/relationships/package"/><Relationship Id="rId45" Target="media/image31.png" Type="http://schemas.openxmlformats.org/officeDocument/2006/relationships/image"/><Relationship Id="rId46" Target="embeddings/Microsoft_Excel_Worksheet7.xlsx" Type="http://schemas.openxmlformats.org/officeDocument/2006/relationships/package"/><Relationship Id="rId47" Target="media/image32.png" Type="http://schemas.openxmlformats.org/officeDocument/2006/relationships/image"/><Relationship Id="rId48" Target="embeddings/Microsoft_Excel_Worksheet8.xlsx" Type="http://schemas.openxmlformats.org/officeDocument/2006/relationships/package"/><Relationship Id="rId49" Target="media/image33.png" Type="http://schemas.openxmlformats.org/officeDocument/2006/relationships/image"/><Relationship Id="rId5" Target="media/image1.jpeg" Type="http://schemas.openxmlformats.org/officeDocument/2006/relationships/image"/><Relationship Id="rId50" Target="embeddings/Microsoft_Excel_Worksheet9.xlsx" Type="http://schemas.openxmlformats.org/officeDocument/2006/relationships/package"/><Relationship Id="rId51" Target="media/image34.png" Type="http://schemas.openxmlformats.org/officeDocument/2006/relationships/image"/><Relationship Id="rId52" Target="media/image35.png" Type="http://schemas.openxmlformats.org/officeDocument/2006/relationships/image"/><Relationship Id="rId53" Target="media/image36.png" Type="http://schemas.openxmlformats.org/officeDocument/2006/relationships/image"/><Relationship Id="rId54" Target="media/image37.png" Type="http://schemas.openxmlformats.org/officeDocument/2006/relationships/image"/><Relationship Id="rId55" Target="header1.xml" Type="http://schemas.openxmlformats.org/officeDocument/2006/relationships/header"/><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_rels/header1.xml.rels><?xml version="1.0" encoding="UTF-8" standalone="yes"?><Relationships xmlns="http://schemas.openxmlformats.org/package/2006/relationships"><Relationship Id="rId1" Target="media/image3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2026-05-21T06:00:00Z</dcterms:created>
  <dc:creator>Apache POI</dc:creator>
</cp:coreProperties>
</file>