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720"/>
      </w:pPr>
      <w:r>
        <w:rPr>
          <w:rFonts w:ascii="Calibri" w:hAnsi="Calibri" w:eastAsia="Noto Sans CJK SC"/>
          <w:b/>
          <w:color w:val="102A43"/>
          <w:sz w:val="32"/>
        </w:rPr>
        <w:t>DeepAha</w:t>
      </w:r>
      <w:r>
        <w:rPr>
          <w:rFonts w:ascii="Calibri" w:hAnsi="Calibri" w:eastAsia="Noto Sans CJK SC"/>
          <w:b/>
          <w:color w:val="18B7A0"/>
          <w:sz w:val="17"/>
        </w:rPr>
        <w:t xml:space="preserve">   GO DEEP. FIND THE AHA.</w:t>
      </w:r>
    </w:p>
    <w:p>
      <w:pPr>
        <w:spacing w:before="840" w:after="120"/>
      </w:pPr>
      <w:r>
        <w:rPr>
          <w:rFonts w:ascii="Calibri" w:hAnsi="Calibri" w:eastAsia="Noto Sans CJK SC"/>
          <w:b/>
          <w:color w:val="FF8A3D"/>
          <w:sz w:val="20"/>
        </w:rPr>
        <w:t>BLUEPRINT  /  V1.0</w:t>
      </w:r>
    </w:p>
    <w:p>
      <w:pPr>
        <w:spacing w:after="160"/>
      </w:pPr>
      <w:r>
        <w:rPr>
          <w:rFonts w:ascii="Calibri" w:hAnsi="Calibri" w:eastAsia="Noto Sans CJK SC"/>
          <w:b/>
          <w:color w:val="102A43"/>
          <w:sz w:val="58"/>
        </w:rPr>
        <w:t>DeepAha 青年机会智能系统</w:t>
      </w:r>
    </w:p>
    <w:p>
      <w:pPr>
        <w:spacing w:after="520"/>
      </w:pPr>
      <w:r>
        <w:rPr>
          <w:rFonts w:ascii="Calibri" w:hAnsi="Calibri" w:eastAsia="Noto Sans CJK SC"/>
          <w:color w:val="18B7A0"/>
          <w:sz w:val="30"/>
        </w:rPr>
        <w:t>从公开世界信号到个人行动的可信机会情报基础设施</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一句话系统定义</w:t>
            </w:r>
          </w:p>
          <w:p>
            <w:pPr>
              <w:spacing w:after="0"/>
            </w:pPr>
            <w:r>
              <w:rPr>
                <w:rFonts w:ascii="Calibri" w:hAnsi="Calibri" w:eastAsia="Noto Sans CJK SC"/>
                <w:color w:val="233242"/>
                <w:sz w:val="20"/>
              </w:rPr>
              <w:t>持续监控权威公开信息，把分散公告组织成可追踪的 Opportunity；结合个人状态给出可解释的资格判断、行动优先级与变化提醒，并把真实反馈沉淀为可验证的系统学习资产。</w:t>
            </w:r>
          </w:p>
        </w:tc>
      </w:tr>
    </w:tbl>
    <w:p>
      <w:pPr>
        <w:spacing w:after="360"/>
      </w:pPr>
    </w:p>
    <w:p>
      <w:pPr>
        <w:spacing w:before="200" w:after="80"/>
      </w:pPr>
      <w:r>
        <w:rPr>
          <w:rFonts w:ascii="Calibri" w:hAnsi="Calibri" w:eastAsia="Noto Sans CJK SC"/>
          <w:b/>
          <w:color w:val="102A43"/>
          <w:sz w:val="28"/>
        </w:rPr>
        <w:t>Go Deep. Find the Aha.</w:t>
      </w:r>
    </w:p>
    <w:p>
      <w:pPr>
        <w:spacing w:after="1000"/>
      </w:pPr>
      <w:r>
        <w:rPr>
          <w:rFonts w:ascii="Calibri" w:hAnsi="Calibri" w:eastAsia="Noto Sans CJK SC"/>
          <w:color w:val="66788A"/>
          <w:sz w:val="21"/>
        </w:rPr>
        <w:t>深入复杂机会世界，只把真正值得行动的少量机会带给每一个人。</w:t>
      </w:r>
    </w:p>
    <w:p>
      <w:r>
        <w:rPr>
          <w:rFonts w:ascii="Calibri" w:hAnsi="Calibri" w:eastAsia="Noto Sans CJK SC"/>
          <w:color w:val="66788A"/>
          <w:sz w:val="19"/>
        </w:rPr>
        <w:t>版本：v1.0  |  日期：2026-08-21  |  状态：产品与技术立项基线</w:t>
      </w:r>
    </w:p>
    <w:p>
      <w:r>
        <w:rPr>
          <w:rFonts w:ascii="Calibri" w:hAnsi="Calibri" w:eastAsia="Noto Sans CJK SC"/>
          <w:color w:val="66788A"/>
          <w:sz w:val="19"/>
        </w:rPr>
        <w:t>母品牌：DeepAha  |  产品入口建议：青年机会雷达  |  验证模式：青年机会雷达实验室</w:t>
      </w:r>
    </w:p>
    <w:p>
      <w:r>
        <w:br w:type="page"/>
      </w:r>
    </w:p>
    <w:p>
      <w:pPr>
        <w:pStyle w:val="Heading1"/>
      </w:pPr>
      <w:r>
        <w:t>文档说明与决策状态</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74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项目</w:t>
            </w:r>
          </w:p>
        </w:tc>
        <w:tc>
          <w:tcPr>
            <w:tcW w:type="dxa" w:w="7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本蓝图确定的结论</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系统定位</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个人机会情报引擎；不是就业资讯站、AI 聊天机器人或招聘交易平台。</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母子品牌</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DeepAha 为母品牌；“青年机会雷达”作为用户入口；“实验室”是同一系统的验证模式。</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首发范围</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全国可扩展架构，浙江地方机会 + 全国中央级机会深度验证。</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AI 路线</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外部大模型 API + 确定性规则 + 持久化数据资产；MVP 不训练基础模型、不买 GPU。</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验证路线</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100 个高仿真模拟青年画像负责覆盖和压力测试；真人种子用户负责验证信任、价值与行动。</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学习方式</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用户反馈先成为候选证据，经校验后更新规则、检索、提示、排序与评估集；不自动当作真相。</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成功标准</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能持续发现用户原本会错过且确实可能有资格的机会，并促成可验证行动。</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停止条件</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若资格可信、未知机会发现和行动闭环不能同时成立，不以扩地域、加聊天或加内容掩盖失败。</w:t>
            </w:r>
          </w:p>
        </w:tc>
      </w:tr>
    </w:tbl>
    <w:p>
      <w:pPr>
        <w:pStyle w:val="Heading2"/>
      </w:pPr>
      <w:r>
        <w:t>本蓝图与既有材料的关系</w:t>
      </w:r>
    </w:p>
    <w:p>
      <w:pPr>
        <w:keepLines w:val="0"/>
        <w:spacing w:after="120" w:line="278" w:lineRule="auto"/>
        <w:jc w:val="left"/>
      </w:pPr>
      <w:r>
        <w:rPr>
          <w:rFonts w:ascii="Calibri" w:hAnsi="Calibri" w:eastAsia="Noto Sans CJK SC"/>
          <w:color w:val="233242"/>
          <w:sz w:val="21"/>
        </w:rPr>
        <w:t>既有《全面实施与商业化方案》《竞争格局深度分析与进入战略研究报告》《创业可行性研究报告 v2.0》已经回答了市场、竞品、数据源、商业化与基础技术问题。本蓝图不重复堆砌市场材料，而把后续讨论中最关键的系统问题统一为一份可执行基线：产品究竟是什么、实验室与完整产品是什么关系、模拟用户和真人如何协同、反馈如何转化为学习资产，以及只调用大模型 API 时系统如何持续进化。</w:t>
      </w:r>
    </w:p>
    <w:tbl>
      <w:tblPr>
        <w:tblW w:type="dxa" w:w="9360"/>
        <w:jc w:val="left"/>
        <w:tblLayout w:type="fixed"/>
        <w:tblLook w:firstColumn="1" w:firstRow="1" w:lastColumn="0" w:lastRow="0" w:noHBand="0" w:noVBand="1" w:val="04A0"/>
        <w:tblInd w:w="180" w:type="dxa"/>
        <w:tblBorders>
          <w:top w:val="single" w:sz="8" w:space="0" w:color="102A43"/>
          <w:left w:val="single" w:sz="8" w:space="0" w:color="102A43"/>
          <w:bottom w:val="single" w:sz="8" w:space="0" w:color="102A43"/>
          <w:right w:val="single" w:sz="8" w:space="0" w:color="102A43"/>
          <w:insideH w:val="single" w:sz="8" w:space="0" w:color="102A43"/>
          <w:insideV w:val="single" w:sz="8" w:space="0" w:color="102A43"/>
        </w:tblBorders>
      </w:tblPr>
      <w:tblGrid>
        <w:gridCol w:w="9360"/>
      </w:tblGrid>
      <w:tr>
        <w:trPr>
          <w:tblHeader w:val="true"/>
        </w:trPr>
        <w:tc>
          <w:tcPr>
            <w:tcW w:type="dxa" w:w="9360"/>
            <w:shd w:fill="EAF1F7"/>
            <w:tcMar>
              <w:top w:w="150" w:type="dxa"/>
              <w:start w:w="180" w:type="dxa"/>
              <w:bottom w:w="150" w:type="dxa"/>
              <w:end w:w="180" w:type="dxa"/>
            </w:tcMar>
            <w:vAlign w:val="center"/>
          </w:tcPr>
          <w:p>
            <w:pPr>
              <w:spacing w:after="40"/>
            </w:pPr>
            <w:r>
              <w:rPr>
                <w:rFonts w:ascii="Calibri" w:hAnsi="Calibri" w:eastAsia="Noto Sans CJK SC"/>
                <w:b/>
                <w:color w:val="102A43"/>
                <w:sz w:val="21"/>
              </w:rPr>
              <w:t>蓝图使用方法</w:t>
            </w:r>
          </w:p>
          <w:p>
            <w:pPr>
              <w:spacing w:after="0"/>
            </w:pPr>
            <w:r>
              <w:rPr>
                <w:rFonts w:ascii="Calibri" w:hAnsi="Calibri" w:eastAsia="Noto Sans CJK SC"/>
                <w:color w:val="233242"/>
                <w:sz w:val="20"/>
              </w:rPr>
              <w:t>所有后续 PRD、数据契约、实验方案、技术设计和里程碑都应能追溯到本蓝图。若某项新功能不能改善“可信发现—判断—行动—学习”闭环，就不应进入当前阶段。</w:t>
            </w:r>
          </w:p>
        </w:tc>
      </w:tr>
    </w:tbl>
    <w:p>
      <w:pPr>
        <w:spacing w:after="160"/>
      </w:pPr>
    </w:p>
    <w:p>
      <w:pPr>
        <w:pStyle w:val="Heading2"/>
      </w:pPr>
      <w:r>
        <w:t>目录</w:t>
      </w:r>
    </w:p>
    <w:p>
      <w:pPr>
        <w:numPr>
          <w:ilvl w:val="0"/>
          <w:numId w:val="10"/>
        </w:numPr>
        <w:spacing w:after="100"/>
      </w:pPr>
      <w:r>
        <w:rPr>
          <w:rFonts w:ascii="Calibri" w:hAnsi="Calibri" w:eastAsia="Noto Sans CJK SC"/>
          <w:color w:val="233242"/>
          <w:sz w:val="20"/>
        </w:rPr>
        <w:t>01 第一性原理与战略定位</w:t>
      </w:r>
    </w:p>
    <w:p>
      <w:pPr>
        <w:numPr>
          <w:ilvl w:val="0"/>
          <w:numId w:val="10"/>
        </w:numPr>
        <w:spacing w:after="100"/>
      </w:pPr>
      <w:r>
        <w:rPr>
          <w:rFonts w:ascii="Calibri" w:hAnsi="Calibri" w:eastAsia="Noto Sans CJK SC"/>
          <w:color w:val="233242"/>
          <w:sz w:val="20"/>
        </w:rPr>
        <w:t>02 目标用户、机会边界与核心承诺</w:t>
      </w:r>
    </w:p>
    <w:p>
      <w:pPr>
        <w:numPr>
          <w:ilvl w:val="0"/>
          <w:numId w:val="10"/>
        </w:numPr>
        <w:spacing w:after="100"/>
      </w:pPr>
      <w:r>
        <w:rPr>
          <w:rFonts w:ascii="Calibri" w:hAnsi="Calibri" w:eastAsia="Noto Sans CJK SC"/>
          <w:color w:val="233242"/>
          <w:sz w:val="20"/>
        </w:rPr>
        <w:t>03 同一系统的两种运行模式</w:t>
      </w:r>
    </w:p>
    <w:p>
      <w:pPr>
        <w:numPr>
          <w:ilvl w:val="0"/>
          <w:numId w:val="10"/>
        </w:numPr>
        <w:spacing w:after="100"/>
      </w:pPr>
      <w:r>
        <w:rPr>
          <w:rFonts w:ascii="Calibri" w:hAnsi="Calibri" w:eastAsia="Noto Sans CJK SC"/>
          <w:color w:val="233242"/>
          <w:sz w:val="20"/>
        </w:rPr>
        <w:t>04 从世界信号到用户行动的产品闭环</w:t>
      </w:r>
    </w:p>
    <w:p>
      <w:pPr>
        <w:numPr>
          <w:ilvl w:val="0"/>
          <w:numId w:val="10"/>
        </w:numPr>
        <w:spacing w:after="100"/>
      </w:pPr>
      <w:r>
        <w:rPr>
          <w:rFonts w:ascii="Calibri" w:hAnsi="Calibri" w:eastAsia="Noto Sans CJK SC"/>
          <w:color w:val="233242"/>
          <w:sz w:val="20"/>
        </w:rPr>
        <w:t>05 100 个模拟青年画像实验体系</w:t>
      </w:r>
    </w:p>
    <w:p>
      <w:pPr>
        <w:numPr>
          <w:ilvl w:val="0"/>
          <w:numId w:val="10"/>
        </w:numPr>
        <w:spacing w:after="100"/>
      </w:pPr>
      <w:r>
        <w:rPr>
          <w:rFonts w:ascii="Calibri" w:hAnsi="Calibri" w:eastAsia="Noto Sans CJK SC"/>
          <w:color w:val="233242"/>
          <w:sz w:val="20"/>
        </w:rPr>
        <w:t>06 真人种子用户与双轨验证</w:t>
      </w:r>
    </w:p>
    <w:p>
      <w:pPr>
        <w:numPr>
          <w:ilvl w:val="0"/>
          <w:numId w:val="10"/>
        </w:numPr>
        <w:spacing w:after="100"/>
      </w:pPr>
      <w:r>
        <w:rPr>
          <w:rFonts w:ascii="Calibri" w:hAnsi="Calibri" w:eastAsia="Noto Sans CJK SC"/>
          <w:color w:val="233242"/>
          <w:sz w:val="20"/>
        </w:rPr>
        <w:t>07 反馈数据与持续学习飞轮</w:t>
      </w:r>
    </w:p>
    <w:p>
      <w:pPr>
        <w:numPr>
          <w:ilvl w:val="0"/>
          <w:numId w:val="10"/>
        </w:numPr>
        <w:spacing w:after="100"/>
      </w:pPr>
      <w:r>
        <w:rPr>
          <w:rFonts w:ascii="Calibri" w:hAnsi="Calibri" w:eastAsia="Noto Sans CJK SC"/>
          <w:color w:val="233242"/>
          <w:sz w:val="20"/>
        </w:rPr>
        <w:t>08 只调用大模型 API 时的“世界模型”实现</w:t>
      </w:r>
    </w:p>
    <w:p>
      <w:pPr>
        <w:numPr>
          <w:ilvl w:val="0"/>
          <w:numId w:val="10"/>
        </w:numPr>
        <w:spacing w:after="100"/>
      </w:pPr>
      <w:r>
        <w:rPr>
          <w:rFonts w:ascii="Calibri" w:hAnsi="Calibri" w:eastAsia="Noto Sans CJK SC"/>
          <w:color w:val="233242"/>
          <w:sz w:val="20"/>
        </w:rPr>
        <w:t>09 产品与技术总体架构</w:t>
      </w:r>
    </w:p>
    <w:p>
      <w:pPr>
        <w:numPr>
          <w:ilvl w:val="0"/>
          <w:numId w:val="10"/>
        </w:numPr>
        <w:spacing w:after="100"/>
      </w:pPr>
      <w:r>
        <w:rPr>
          <w:rFonts w:ascii="Calibri" w:hAnsi="Calibri" w:eastAsia="Noto Sans CJK SC"/>
          <w:color w:val="233242"/>
          <w:sz w:val="20"/>
        </w:rPr>
        <w:t>10 关键数据对象与契约</w:t>
      </w:r>
    </w:p>
    <w:p>
      <w:pPr>
        <w:numPr>
          <w:ilvl w:val="0"/>
          <w:numId w:val="10"/>
        </w:numPr>
        <w:spacing w:after="100"/>
      </w:pPr>
      <w:r>
        <w:rPr>
          <w:rFonts w:ascii="Calibri" w:hAnsi="Calibri" w:eastAsia="Noto Sans CJK SC"/>
          <w:color w:val="233242"/>
          <w:sz w:val="20"/>
        </w:rPr>
        <w:t>11 用户体验与功能边界</w:t>
      </w:r>
    </w:p>
    <w:p>
      <w:pPr>
        <w:numPr>
          <w:ilvl w:val="0"/>
          <w:numId w:val="10"/>
        </w:numPr>
        <w:spacing w:after="100"/>
      </w:pPr>
      <w:r>
        <w:rPr>
          <w:rFonts w:ascii="Calibri" w:hAnsi="Calibri" w:eastAsia="Noto Sans CJK SC"/>
          <w:color w:val="233242"/>
          <w:sz w:val="20"/>
        </w:rPr>
        <w:t>12 质量、指标、实验和发布门</w:t>
      </w:r>
    </w:p>
    <w:p>
      <w:pPr>
        <w:numPr>
          <w:ilvl w:val="0"/>
          <w:numId w:val="10"/>
        </w:numPr>
        <w:spacing w:after="100"/>
      </w:pPr>
      <w:r>
        <w:rPr>
          <w:rFonts w:ascii="Calibri" w:hAnsi="Calibri" w:eastAsia="Noto Sans CJK SC"/>
          <w:color w:val="233242"/>
          <w:sz w:val="20"/>
        </w:rPr>
        <w:t>13 十二周路线图、团队与运营机制</w:t>
      </w:r>
    </w:p>
    <w:p>
      <w:pPr>
        <w:numPr>
          <w:ilvl w:val="0"/>
          <w:numId w:val="10"/>
        </w:numPr>
        <w:spacing w:after="100"/>
      </w:pPr>
      <w:r>
        <w:rPr>
          <w:rFonts w:ascii="Calibri" w:hAnsi="Calibri" w:eastAsia="Noto Sans CJK SC"/>
          <w:color w:val="233242"/>
          <w:sz w:val="20"/>
        </w:rPr>
        <w:t>14 商业化、风险与最终 Go / No-Go</w:t>
      </w:r>
    </w:p>
    <w:p>
      <w:pPr>
        <w:numPr>
          <w:ilvl w:val="0"/>
          <w:numId w:val="10"/>
        </w:numPr>
        <w:spacing w:after="100"/>
      </w:pPr>
      <w:r>
        <w:rPr>
          <w:rFonts w:ascii="Calibri" w:hAnsi="Calibri" w:eastAsia="Noto Sans CJK SC"/>
          <w:color w:val="233242"/>
          <w:sz w:val="20"/>
        </w:rPr>
        <w:t>15 未来十四天立即行动清单</w:t>
      </w:r>
    </w:p>
    <w:p>
      <w:pPr>
        <w:numPr>
          <w:ilvl w:val="0"/>
          <w:numId w:val="10"/>
        </w:numPr>
        <w:spacing w:after="100"/>
      </w:pPr>
      <w:r>
        <w:rPr>
          <w:rFonts w:ascii="Calibri" w:hAnsi="Calibri" w:eastAsia="Noto Sans CJK SC"/>
          <w:color w:val="233242"/>
          <w:sz w:val="20"/>
        </w:rPr>
        <w:t>附录：画像、反馈、实验与验收模板</w:t>
      </w:r>
    </w:p>
    <w:p>
      <w:pPr>
        <w:pStyle w:val="Heading1"/>
        <w:pageBreakBefore/>
      </w:pPr>
      <w:r>
        <w:t>执行摘要：这套系统真正要证明什么</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最重要的产品命题</w:t>
            </w:r>
          </w:p>
          <w:p>
            <w:pPr>
              <w:spacing w:after="0"/>
            </w:pPr>
            <w:r>
              <w:rPr>
                <w:rFonts w:ascii="Calibri" w:hAnsi="Calibri" w:eastAsia="Noto Sans CJK SC"/>
                <w:color w:val="233242"/>
                <w:sz w:val="20"/>
              </w:rPr>
              <w:t>用户不是缺少公告，而是缺少一个长期知道“我是谁”、知道“什么算同一个机会”、能解释“我为什么可能符合”、会在关键变化发生时主动提醒，并能把反馈变成更可靠判断的个人机会情报系统。</w:t>
            </w:r>
          </w:p>
        </w:tc>
      </w:tr>
    </w:tbl>
    <w:p>
      <w:pPr>
        <w:spacing w:after="160"/>
      </w:pPr>
    </w:p>
    <w:p>
      <w:pPr>
        <w:keepLines w:val="0"/>
        <w:spacing w:after="120" w:line="278" w:lineRule="auto"/>
        <w:jc w:val="left"/>
      </w:pPr>
      <w:r>
        <w:rPr>
          <w:rFonts w:ascii="Calibri" w:hAnsi="Calibri" w:eastAsia="Noto Sans CJK SC"/>
          <w:color w:val="233242"/>
          <w:sz w:val="21"/>
        </w:rPr>
        <w:t>项目值得进入十二周验证，但当前不值得以“全国青年机会平台”进行重资产扩张。第一阶段只需要证明一句话：你不用每天到处找；系统知道你的条件，会持续替你盯着权威来源；只有真正与你有关且需要行动时，才来找你。</w:t>
      </w:r>
    </w:p>
    <w:p>
      <w:pPr>
        <w:keepLines w:val="0"/>
        <w:spacing w:after="120" w:line="278" w:lineRule="auto"/>
        <w:jc w:val="left"/>
      </w:pPr>
      <w:r>
        <w:rPr>
          <w:rFonts w:ascii="Calibri" w:hAnsi="Calibri" w:eastAsia="Noto Sans CJK SC"/>
          <w:color w:val="233242"/>
          <w:sz w:val="21"/>
        </w:rPr>
        <w:t>Blueprint v1.0 的关键新增判断是：所谓“持续学习的世界模型”不等于训练一个新的大模型。DeepAha 可以把世界状态、机会历史、资格规则、用户状态、反馈证据和评估结果保存在自己可控的数据库与版本系统中；大模型 API 负责在特定环节读懂自然语言，规则引擎负责高影响裁决，反馈通过离线评估和发布门推动系统迭代。这套价值在不训练基础模型的条件下完全可以成立。</w:t>
      </w:r>
    </w:p>
    <w:p>
      <w:pPr>
        <w:keepNext/>
        <w:jc w:val="center"/>
      </w:pPr>
      <w:r>
        <w:drawing>
          <wp:inline xmlns:a="http://schemas.openxmlformats.org/drawingml/2006/main" xmlns:pic="http://schemas.openxmlformats.org/drawingml/2006/picture">
            <wp:extent cx="5669280" cy="1588061"/>
            <wp:docPr id="1" name="Picture 1" descr="图 1  价值闭环：世界信号经过结构化、判断和行动，最终沉淀为可验证学习资产" title="图 1  价值闭环：世界信号经过结构化、判断和行动，最终沉淀为可验证学习资产"/>
            <wp:cNvGraphicFramePr>
              <a:graphicFrameLocks noChangeAspect="1"/>
            </wp:cNvGraphicFramePr>
            <a:graphic>
              <a:graphicData uri="http://schemas.openxmlformats.org/drawingml/2006/picture">
                <pic:pic>
                  <pic:nvPicPr>
                    <pic:cNvPr id="0" name="value_loop.png"/>
                    <pic:cNvPicPr/>
                  </pic:nvPicPr>
                  <pic:blipFill>
                    <a:blip r:embed="rId11"/>
                    <a:stretch>
                      <a:fillRect/>
                    </a:stretch>
                  </pic:blipFill>
                  <pic:spPr>
                    <a:xfrm>
                      <a:off x="0" y="0"/>
                      <a:ext cx="5669280" cy="1588061"/>
                    </a:xfrm>
                    <a:prstGeom prst="rect"/>
                  </pic:spPr>
                </pic:pic>
              </a:graphicData>
            </a:graphic>
          </wp:inline>
        </w:drawing>
      </w:r>
    </w:p>
    <w:p>
      <w:pPr>
        <w:spacing w:before="40" w:after="160"/>
        <w:jc w:val="center"/>
      </w:pPr>
      <w:r>
        <w:rPr>
          <w:rFonts w:ascii="Calibri" w:hAnsi="Calibri" w:eastAsia="Noto Sans CJK SC"/>
          <w:i/>
          <w:color w:val="66788A"/>
          <w:sz w:val="17"/>
        </w:rPr>
        <w:t>图 1  价值闭环：世界信号经过结构化、判断和行动，最终沉淀为可验证学习资产</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200"/>
        <w:gridCol w:w="2500"/>
        <w:gridCol w:w="4660"/>
      </w:tblGrid>
      <w:tr>
        <w:trPr>
          <w:cantSplit/>
          <w:tblHeader w:val="true"/>
        </w:trPr>
        <w:tc>
          <w:tcPr>
            <w:tcW w:type="dxa" w:w="2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如果只做到……</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结果</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Blueprint 的要求</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抓很多公告</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资讯聚合器</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必须形成稳定 Opportunity 与历史变化。</w:t>
            </w:r>
          </w:p>
        </w:tc>
      </w:tr>
      <w:tr>
        <w:trPr>
          <w:cantSplit/>
        </w:trPr>
        <w:tc>
          <w:tcPr>
            <w:tcW w:type="dxa" w:w="2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用 AI 解读公告</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通用聊天能力的包装</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必须有证据、规则、版本和回归评估。</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做高匹配推荐</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黑盒推荐器</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资格与偏好必须分离，硬结论逐条解释。</w:t>
            </w:r>
          </w:p>
        </w:tc>
      </w:tr>
      <w:tr>
        <w:trPr>
          <w:cantSplit/>
        </w:trPr>
        <w:tc>
          <w:tcPr>
            <w:tcW w:type="dxa" w:w="22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做 100 个模拟用户</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内部演示</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模拟只负责覆盖与校准，不能替代真人价值验证。</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收集大量反馈</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噪声数据池</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反馈需授权、校验、裁决、版本化，才能进入规则或评估资产。</w:t>
            </w:r>
          </w:p>
        </w:tc>
      </w:tr>
    </w:tbl>
    <w:p>
      <w:pPr>
        <w:pStyle w:val="Heading1"/>
        <w:pageBreakBefore/>
      </w:pPr>
      <w:r>
        <w:t>01  第一性原理与战略定位</w:t>
      </w:r>
    </w:p>
    <w:p>
      <w:pPr>
        <w:pStyle w:val="Heading2"/>
      </w:pPr>
      <w:r>
        <w:t>1.1 用户真正购买的不是信息</w:t>
      </w:r>
    </w:p>
    <w:p>
      <w:pPr>
        <w:keepLines w:val="0"/>
        <w:spacing w:after="120" w:line="278" w:lineRule="auto"/>
        <w:jc w:val="left"/>
      </w:pPr>
      <w:r>
        <w:rPr>
          <w:rFonts w:ascii="Calibri" w:hAnsi="Calibri" w:eastAsia="Noto Sans CJK SC"/>
          <w:color w:val="233242"/>
          <w:sz w:val="21"/>
        </w:rPr>
        <w:t>公开机会的信息本身大量免费。用户愿意投入时间或付费，是为了减少三种损失：漏掉真正适合自己的机会；把时间浪费在根本不符合的机会；因为公告更正、延期或材料节点变化而错过行动。</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OpportunityValue = Relevance × Eligibility × Timeliness × Trust × Actionability</w:t>
            </w:r>
          </w:p>
        </w:tc>
      </w:tr>
    </w:tbl>
    <w:p>
      <w:pPr>
        <w:spacing w:after="80"/>
      </w:pPr>
    </w:p>
    <w:p>
      <w:pPr>
        <w:keepLines w:val="0"/>
        <w:spacing w:after="120" w:line="278" w:lineRule="auto"/>
        <w:jc w:val="left"/>
      </w:pPr>
      <w:r>
        <w:rPr>
          <w:rFonts w:ascii="Calibri" w:hAnsi="Calibri" w:eastAsia="Noto Sans CJK SC"/>
          <w:color w:val="233242"/>
          <w:sz w:val="21"/>
        </w:rPr>
        <w:t>这五个因子采用乘法思维而非简单加法：任何一项接近零，机会对个人的现实价值都会坍塌。相关但不符合、符合但已截止、及时但不可信、可信但无法行动，都不是值得推送的好机会。</w:t>
      </w:r>
    </w:p>
    <w:p>
      <w:pPr>
        <w:pStyle w:val="Heading2"/>
      </w:pPr>
      <w:r>
        <w:t>1.2 产品的准确定位</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正式定位</w:t>
            </w:r>
          </w:p>
          <w:p>
            <w:pPr>
              <w:spacing w:after="0"/>
            </w:pPr>
            <w:r>
              <w:rPr>
                <w:rFonts w:ascii="Calibri" w:hAnsi="Calibri" w:eastAsia="Noto Sans CJK SC"/>
                <w:color w:val="233242"/>
                <w:sz w:val="20"/>
              </w:rPr>
              <w:t>DeepAha 青年机会智能系统是一套个人机会情报基础设施；“青年机会雷达”是它面向用户的第一入口。系统把公开世界中的升学、就业、公职、国央企、基层项目和青年政策等信号组织成可追踪、可解释、可行动的个人机会。</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3500"/>
        <w:gridCol w:w="41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不是</w:t>
            </w:r>
          </w:p>
        </w:tc>
        <w:tc>
          <w:tcPr>
            <w:tcW w:type="dxa" w:w="3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原因</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正确替代</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青年就业平台</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范围过宽，容易滑向岗位大全和内容运营。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从高确定性、高时效机会切入。</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AI 版公考雷达</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公职/国企选岗已有强势玩家，差异不足。</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跨赛道统一画像与长期 Opportunity History。</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Noto Sans CJK SC"/>
                <w:b/>
                <w:color w:val="233242"/>
                <w:sz w:val="17"/>
              </w:rPr>
              <w:t>AI 生涯咨询聊天机器人</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对话易复制，不能持续监控真实世界。</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数据库、规则、证据与主动行动。</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官方平台替代者</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官方才是报名与资格最终裁决者。</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官方信源之上的理解、匹配和提醒层。</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Noto Sans CJK SC"/>
                <w:b/>
                <w:color w:val="233242"/>
                <w:sz w:val="17"/>
              </w:rPr>
              <w:t>自动代报名 Agent</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授权、账号、隐私与法律后果过高。</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候选建议、材料计划与官方跳转。</w:t>
            </w:r>
          </w:p>
        </w:tc>
      </w:tr>
    </w:tbl>
    <w:p>
      <w:pPr>
        <w:pStyle w:val="Heading2"/>
      </w:pPr>
      <w:r>
        <w:t>1.3 战略楔子与长期方向</w:t>
      </w:r>
    </w:p>
    <w:p>
      <w:pPr>
        <w:keepLines w:val="0"/>
        <w:spacing w:after="120" w:line="278" w:lineRule="auto"/>
        <w:jc w:val="left"/>
      </w:pPr>
      <w:r>
        <w:rPr>
          <w:rFonts w:ascii="Calibri" w:hAnsi="Calibri" w:eastAsia="Noto Sans CJK SC"/>
          <w:color w:val="233242"/>
          <w:sz w:val="21"/>
        </w:rPr>
        <w:t>短期楔子是“浙江青年机会体检”：用最小画像扫描未来 90 天的事业单位、国央企、基层项目与青年政策权益，给出值得行动、即将截止、发生变化和需要补充信息的结果。中期扩展长三角和推免/夏令营；长期才有资格发展为跨人生阶段的 Personal Opportunity Infrastructure。</w:t>
      </w:r>
    </w:p>
    <w:p>
      <w:pPr>
        <w:numPr>
          <w:ilvl w:val="0"/>
          <w:numId w:val="10"/>
        </w:numPr>
        <w:spacing w:after="100"/>
      </w:pPr>
      <w:r>
        <w:rPr>
          <w:rFonts w:ascii="Calibri" w:hAnsi="Calibri" w:eastAsia="Noto Sans CJK SC"/>
          <w:color w:val="233242"/>
          <w:sz w:val="20"/>
        </w:rPr>
        <w:t>全国化的是数据模型、服务边界和技术架构，不是第一天的运营覆盖。</w:t>
      </w:r>
    </w:p>
    <w:p>
      <w:pPr>
        <w:numPr>
          <w:ilvl w:val="0"/>
          <w:numId w:val="10"/>
        </w:numPr>
        <w:spacing w:after="100"/>
      </w:pPr>
      <w:r>
        <w:rPr>
          <w:rFonts w:ascii="Calibri" w:hAnsi="Calibri" w:eastAsia="Noto Sans CJK SC"/>
          <w:color w:val="233242"/>
          <w:sz w:val="20"/>
        </w:rPr>
        <w:t>区域化的是信源运营、规则质量、人工复核和真实用户验证。</w:t>
      </w:r>
    </w:p>
    <w:p>
      <w:pPr>
        <w:numPr>
          <w:ilvl w:val="0"/>
          <w:numId w:val="10"/>
        </w:numPr>
        <w:spacing w:after="100"/>
      </w:pPr>
      <w:r>
        <w:rPr>
          <w:rFonts w:ascii="Calibri" w:hAnsi="Calibri" w:eastAsia="Noto Sans CJK SC"/>
          <w:color w:val="233242"/>
          <w:sz w:val="20"/>
        </w:rPr>
        <w:t>第一阶段的竞争优势不是“更多”，而是“更少、更准、更及时、更可解释”。</w:t>
      </w:r>
    </w:p>
    <w:p>
      <w:pPr>
        <w:pStyle w:val="Heading1"/>
        <w:pageBreakBefore/>
      </w:pPr>
      <w:r>
        <w:t>02  目标用户、机会边界与核心承诺</w:t>
      </w:r>
    </w:p>
    <w:p>
      <w:pPr>
        <w:pStyle w:val="Heading2"/>
      </w:pPr>
      <w:r>
        <w:t>2.1 首发核心人群</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550"/>
        <w:gridCol w:w="2200"/>
        <w:gridCol w:w="2450"/>
        <w:gridCol w:w="3160"/>
      </w:tblGrid>
      <w:tr>
        <w:trPr>
          <w:cantSplit/>
          <w:tblHeader w:val="true"/>
        </w:trPr>
        <w:tc>
          <w:tcPr>
            <w:tcW w:type="dxa" w:w="15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人群</w:t>
            </w:r>
          </w:p>
        </w:tc>
        <w:tc>
          <w:tcPr>
            <w:tcW w:type="dxa" w:w="2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典型状态</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首要任务</w:t>
            </w:r>
          </w:p>
        </w:tc>
        <w:tc>
          <w:tcPr>
            <w:tcW w:type="dxa" w:w="3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第一个 Aha Moment</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Noto Sans CJK SC"/>
                <w:b/>
                <w:color w:val="233242"/>
                <w:sz w:val="16"/>
              </w:rPr>
              <w:t>大三/大四、研二/研三</w:t>
            </w:r>
          </w:p>
        </w:tc>
        <w:tc>
          <w:tcPr>
            <w:tcW w:type="dxa" w:w="22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方向并未完全确定</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发现可走的真实路径</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6"/>
              </w:rPr>
              <w:t>找到此前不知道但确实可能申请的机会</w:t>
            </w:r>
          </w:p>
        </w:tc>
      </w:tr>
      <w:tr>
        <w:trPr>
          <w:cantSplit/>
        </w:trPr>
        <w:tc>
          <w:tcPr>
            <w:tcW w:type="dxa" w:w="15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毕业 1–2 年青年</w:t>
            </w:r>
          </w:p>
        </w:tc>
        <w:tc>
          <w:tcPr>
            <w:tcW w:type="dxa" w:w="2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边工作边寻找更稳定机会</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持续盯公职、国企与政策</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一个与当前专业和城市高度相关的机会及时出现</w:t>
            </w:r>
          </w:p>
        </w:tc>
      </w:tr>
      <w:tr>
        <w:trPr>
          <w:cantSplit/>
        </w:trPr>
        <w:tc>
          <w:tcPr>
            <w:tcW w:type="dxa" w:w="155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信息资源弱的学生</w:t>
            </w:r>
          </w:p>
        </w:tc>
        <w:tc>
          <w:tcPr>
            <w:tcW w:type="dxa" w:w="22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家庭和学校指导不足</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把制度翻译成行动</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6"/>
              </w:rPr>
              <w:t>系统明确说明现在先做哪三件事</w:t>
            </w:r>
          </w:p>
        </w:tc>
      </w:tr>
      <w:tr>
        <w:trPr>
          <w:cantSplit/>
        </w:trPr>
        <w:tc>
          <w:tcPr>
            <w:tcW w:type="dxa" w:w="15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推免/升学准备者</w:t>
            </w:r>
          </w:p>
        </w:tc>
        <w:tc>
          <w:tcPr>
            <w:tcW w:type="dxa" w:w="22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同时关注多校多项目</w:t>
            </w:r>
          </w:p>
        </w:tc>
        <w:tc>
          <w:tcPr>
            <w:tcW w:type="dxa" w:w="245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追踪规则与窗口变化</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目标院校关键条件变化被主动捕捉</w:t>
            </w:r>
          </w:p>
        </w:tc>
      </w:tr>
    </w:tbl>
    <w:p>
      <w:pPr>
        <w:keepLines w:val="0"/>
        <w:spacing w:after="120" w:line="278" w:lineRule="auto"/>
        <w:jc w:val="left"/>
      </w:pPr>
      <w:r>
        <w:rPr>
          <w:rFonts w:ascii="Calibri" w:hAnsi="Calibri" w:eastAsia="Noto Sans CJK SC"/>
          <w:color w:val="233242"/>
          <w:sz w:val="21"/>
        </w:rPr>
        <w:t>MVP 不是面向所有“青年”。首发用户必须具备近期机会决策：未来 90 天内可能报名、申请、准备材料或领取权益。没有近期决策的人会稀释行为指标，也会把系统拉向泛内容社区。</w:t>
      </w:r>
    </w:p>
    <w:p>
      <w:pPr>
        <w:pStyle w:val="Heading2"/>
      </w:pPr>
      <w:r>
        <w:t>2.2 Opportunity 的定义</w:t>
      </w:r>
    </w:p>
    <w:tbl>
      <w:tblPr>
        <w:tblW w:type="dxa" w:w="9360"/>
        <w:jc w:val="left"/>
        <w:tblLayout w:type="fixed"/>
        <w:tblLook w:firstColumn="1" w:firstRow="1" w:lastColumn="0" w:lastRow="0" w:noHBand="0" w:noVBand="1" w:val="04A0"/>
        <w:tblInd w:w="180" w:type="dxa"/>
        <w:tblBorders>
          <w:top w:val="single" w:sz="8" w:space="0" w:color="102A43"/>
          <w:left w:val="single" w:sz="8" w:space="0" w:color="102A43"/>
          <w:bottom w:val="single" w:sz="8" w:space="0" w:color="102A43"/>
          <w:right w:val="single" w:sz="8" w:space="0" w:color="102A43"/>
          <w:insideH w:val="single" w:sz="8" w:space="0" w:color="102A43"/>
          <w:insideV w:val="single" w:sz="8" w:space="0" w:color="102A43"/>
        </w:tblBorders>
      </w:tblPr>
      <w:tblGrid>
        <w:gridCol w:w="9360"/>
      </w:tblGrid>
      <w:tr>
        <w:trPr>
          <w:tblHeader w:val="true"/>
        </w:trPr>
        <w:tc>
          <w:tcPr>
            <w:tcW w:type="dxa" w:w="9360"/>
            <w:shd w:fill="EAF1F7"/>
            <w:tcMar>
              <w:top w:w="150" w:type="dxa"/>
              <w:start w:w="180" w:type="dxa"/>
              <w:bottom w:w="150" w:type="dxa"/>
              <w:end w:w="180" w:type="dxa"/>
            </w:tcMar>
            <w:vAlign w:val="center"/>
          </w:tcPr>
          <w:p>
            <w:pPr>
              <w:spacing w:after="40"/>
            </w:pPr>
            <w:r>
              <w:rPr>
                <w:rFonts w:ascii="Calibri" w:hAnsi="Calibri" w:eastAsia="Noto Sans CJK SC"/>
                <w:b/>
                <w:color w:val="102A43"/>
                <w:sz w:val="21"/>
              </w:rPr>
              <w:t>核心数据观</w:t>
            </w:r>
          </w:p>
          <w:p>
            <w:pPr>
              <w:spacing w:after="0"/>
            </w:pPr>
            <w:r>
              <w:rPr>
                <w:rFonts w:ascii="Calibri" w:hAnsi="Calibri" w:eastAsia="Noto Sans CJK SC"/>
                <w:color w:val="233242"/>
                <w:sz w:val="20"/>
              </w:rPr>
              <w:t>一个网页不等于一个机会。一个 Opportunity 是围绕同一资格、名额、时间窗口和行动入口持续演化的实体；公告、岗位表、补充说明、更正、延期、笔试与结果只是它的文档或生命周期事件。</w:t>
            </w:r>
          </w:p>
        </w:tc>
      </w:tr>
    </w:tbl>
    <w:p>
      <w:pPr>
        <w:spacing w:after="160"/>
      </w:pP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Source → RawArtifact → Document → Opportunity → Version / Event → RuleSet → Match → Action</w:t>
            </w:r>
          </w:p>
        </w:tc>
      </w:tr>
    </w:tbl>
    <w:p>
      <w:pPr>
        <w:spacing w:after="80"/>
      </w:pPr>
    </w:p>
    <w:p>
      <w:pPr>
        <w:pStyle w:val="Heading2"/>
        <w:pageBreakBefore/>
      </w:pPr>
      <w:r>
        <w:t>2.3 首版机会边界</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900"/>
        <w:gridCol w:w="2500"/>
        <w:gridCol w:w="1800"/>
        <w:gridCol w:w="4160"/>
      </w:tblGrid>
      <w:tr>
        <w:trPr>
          <w:cantSplit/>
          <w:tblHeader w:val="true"/>
        </w:trPr>
        <w:tc>
          <w:tcPr>
            <w:tcW w:type="dxa" w:w="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优先级</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类别</w:t>
            </w:r>
          </w:p>
        </w:tc>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首版处理</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判断</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事业单位公开招聘</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公开、结构化程度较高、时效强</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中央/地方国央企校招</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应届用户需求强，官方源相对清晰</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三支一扶等基层项目</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政策性强，资格与周期明确</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青年就业/人才政策权益</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未知价值发现与传播性强</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P1</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公务员国考/浙江省考</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保证基本完整</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不是差异化中心</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P1</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推免/夏令营/招生变化</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第二阶段</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价值高，但规则与专业语义更复杂</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P2</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普通民企全量岗位</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体量巨大且会进入招聘交易红海</w:t>
            </w:r>
          </w:p>
        </w:tc>
      </w:tr>
    </w:tbl>
    <w:p>
      <w:pPr>
        <w:pStyle w:val="Heading1"/>
        <w:pageBreakBefore/>
      </w:pPr>
      <w:r>
        <w:t>03  同一系统的两种运行模式</w:t>
      </w:r>
    </w:p>
    <w:p>
      <w:pPr>
        <w:pStyle w:val="Heading2"/>
      </w:pPr>
      <w:r>
        <w:t>3.1 实验室和完整 App 不是两个软件</w:t>
      </w:r>
    </w:p>
    <w:p>
      <w:pPr>
        <w:keepNext/>
        <w:jc w:val="center"/>
      </w:pPr>
      <w:r>
        <w:drawing>
          <wp:inline xmlns:a="http://schemas.openxmlformats.org/drawingml/2006/main" xmlns:pic="http://schemas.openxmlformats.org/drawingml/2006/picture">
            <wp:extent cx="5669280" cy="3108192"/>
            <wp:docPr id="2" name="Picture 2" descr="图 2  一套共享智能核心，两种运行模式" title="图 2  一套共享智能核心，两种运行模式"/>
            <wp:cNvGraphicFramePr>
              <a:graphicFrameLocks noChangeAspect="1"/>
            </wp:cNvGraphicFramePr>
            <a:graphic>
              <a:graphicData uri="http://schemas.openxmlformats.org/drawingml/2006/picture">
                <pic:pic>
                  <pic:nvPicPr>
                    <pic:cNvPr id="0" name="two_modes.png"/>
                    <pic:cNvPicPr/>
                  </pic:nvPicPr>
                  <pic:blipFill>
                    <a:blip r:embed="rId12"/>
                    <a:stretch>
                      <a:fillRect/>
                    </a:stretch>
                  </pic:blipFill>
                  <pic:spPr>
                    <a:xfrm>
                      <a:off x="0" y="0"/>
                      <a:ext cx="5669280" cy="3108192"/>
                    </a:xfrm>
                    <a:prstGeom prst="rect"/>
                  </pic:spPr>
                </pic:pic>
              </a:graphicData>
            </a:graphic>
          </wp:inline>
        </w:drawing>
      </w:r>
    </w:p>
    <w:p>
      <w:pPr>
        <w:spacing w:before="40" w:after="160"/>
        <w:jc w:val="center"/>
      </w:pPr>
      <w:r>
        <w:rPr>
          <w:rFonts w:ascii="Calibri" w:hAnsi="Calibri" w:eastAsia="Noto Sans CJK SC"/>
          <w:i/>
          <w:color w:val="66788A"/>
          <w:sz w:val="17"/>
        </w:rPr>
        <w:t>图 2  一套共享智能核心，两种运行模式</w:t>
      </w:r>
    </w:p>
    <w:p>
      <w:pPr>
        <w:keepLines w:val="0"/>
        <w:spacing w:after="120" w:line="278" w:lineRule="auto"/>
        <w:jc w:val="left"/>
      </w:pPr>
      <w:r>
        <w:rPr>
          <w:rFonts w:ascii="Calibri" w:hAnsi="Calibri" w:eastAsia="Noto Sans CJK SC"/>
          <w:color w:val="233242"/>
          <w:sz w:val="21"/>
        </w:rPr>
        <w:t>“青年机会雷达实验室”不是一次性原型，也不是功能缩水的另一套产品。它是同一系统的验证运行模式：对研究者开放批量画像、测试集、版本对比、错误分析和人工裁决；用户侧只保留完成核心实验所需的薄界面。完整产品模式则增加面向公众的账户、提醒、计划、支付、运营、隐私和规模化能力。</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300"/>
        <w:gridCol w:w="2450"/>
        <w:gridCol w:w="2450"/>
        <w:gridCol w:w="3160"/>
      </w:tblGrid>
      <w:tr>
        <w:trPr>
          <w:cantSplit/>
          <w:tblHeader w:val="true"/>
        </w:trPr>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维度</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实验室模式</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产品模式</w:t>
            </w:r>
          </w:p>
        </w:tc>
        <w:tc>
          <w:tcPr>
            <w:tcW w:type="dxa" w:w="3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共享资产</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主要使用者</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产品、数据、审核、研究团队</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真实青年用户</w:t>
            </w:r>
          </w:p>
        </w:tc>
        <w:tc>
          <w:tcPr>
            <w:tcW w:type="dxa" w:w="31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同一账号与权限系统</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核心目标</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证明判断是否可靠、机会是否真实</w:t>
            </w:r>
          </w:p>
        </w:tc>
        <w:tc>
          <w:tcPr>
            <w:tcW w:type="dxa" w:w="245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长期提供可信机会服务</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Opportunity、规则、证据、画像</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交互</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批量运行、对比、回放、人工标注</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体检、推荐、提醒、计划、反馈</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5"/>
              </w:rPr>
              <w:t>同一 API 与事件模型</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用户规模</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100–300 模拟画像 + 小样真人</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200–500 封测后逐步扩张</w:t>
            </w:r>
          </w:p>
        </w:tc>
        <w:tc>
          <w:tcPr>
            <w:tcW w:type="dxa" w:w="3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同一数据与版本体系</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允许变化</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快速试验提示、权重、解释方式</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受发布门控制的稳定版本</w:t>
            </w:r>
          </w:p>
        </w:tc>
        <w:tc>
          <w:tcPr>
            <w:tcW w:type="dxa" w:w="31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同一评估集与审计记录</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不包含</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大规模营销、复杂支付、社区</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内部调试轨迹和未审规则</w:t>
            </w:r>
          </w:p>
        </w:tc>
        <w:tc>
          <w:tcPr>
            <w:tcW w:type="dxa" w:w="3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同一安全边界</w:t>
            </w:r>
          </w:p>
        </w:tc>
      </w:tr>
    </w:tbl>
    <w:p>
      <w:pPr>
        <w:pStyle w:val="Heading2"/>
      </w:pPr>
      <w:r>
        <w:t>3.2 为什么必须先以实验室方式运行</w:t>
      </w:r>
    </w:p>
    <w:p>
      <w:pPr>
        <w:numPr>
          <w:ilvl w:val="0"/>
          <w:numId w:val="10"/>
        </w:numPr>
        <w:spacing w:after="100"/>
      </w:pPr>
      <w:r>
        <w:rPr>
          <w:rFonts w:ascii="Calibri" w:hAnsi="Calibri" w:eastAsia="Noto Sans CJK SC"/>
          <w:color w:val="233242"/>
          <w:sz w:val="20"/>
        </w:rPr>
        <w:t>资格误判是非对称风险：错把可申请用户判为不符合，可能让用户直接错过窗口。</w:t>
      </w:r>
    </w:p>
    <w:p>
      <w:pPr>
        <w:numPr>
          <w:ilvl w:val="0"/>
          <w:numId w:val="10"/>
        </w:numPr>
        <w:spacing w:after="100"/>
      </w:pPr>
      <w:r>
        <w:rPr>
          <w:rFonts w:ascii="Calibri" w:hAnsi="Calibri" w:eastAsia="Noto Sans CJK SC"/>
          <w:color w:val="233242"/>
          <w:sz w:val="20"/>
        </w:rPr>
        <w:t>机会数据存在附件、修订、专业目录和时间计算等长尾组合，必须批量回放。</w:t>
      </w:r>
    </w:p>
    <w:p>
      <w:pPr>
        <w:numPr>
          <w:ilvl w:val="0"/>
          <w:numId w:val="10"/>
        </w:numPr>
        <w:spacing w:after="100"/>
      </w:pPr>
      <w:r>
        <w:rPr>
          <w:rFonts w:ascii="Calibri" w:hAnsi="Calibri" w:eastAsia="Noto Sans CJK SC"/>
          <w:color w:val="233242"/>
          <w:sz w:val="20"/>
        </w:rPr>
        <w:t>推荐排序需要先证明“值得行动”，不能让真实用户承担每一次权重试错。</w:t>
      </w:r>
    </w:p>
    <w:p>
      <w:pPr>
        <w:numPr>
          <w:ilvl w:val="0"/>
          <w:numId w:val="10"/>
        </w:numPr>
        <w:spacing w:after="100"/>
      </w:pPr>
      <w:r>
        <w:rPr>
          <w:rFonts w:ascii="Calibri" w:hAnsi="Calibri" w:eastAsia="Noto Sans CJK SC"/>
          <w:color w:val="233242"/>
          <w:sz w:val="20"/>
        </w:rPr>
        <w:t>实验室提供可审计的版本差异，避免产品随着 Prompt 变化而不可解释地漂移。</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产品原则</w:t>
            </w:r>
          </w:p>
          <w:p>
            <w:pPr>
              <w:spacing w:after="0"/>
            </w:pPr>
            <w:r>
              <w:rPr>
                <w:rFonts w:ascii="Calibri" w:hAnsi="Calibri" w:eastAsia="Noto Sans CJK SC"/>
                <w:color w:val="233242"/>
                <w:sz w:val="20"/>
              </w:rPr>
              <w:t>实验室不是推迟接触真人的理由。模拟画像从第一周开始，真人设计伙伴从第二至三周进入；二者并行而非串行。</w:t>
            </w:r>
          </w:p>
        </w:tc>
      </w:tr>
    </w:tbl>
    <w:p>
      <w:pPr>
        <w:spacing w:after="160"/>
      </w:pPr>
    </w:p>
    <w:p>
      <w:pPr>
        <w:pStyle w:val="Heading1"/>
        <w:pageBreakBefore/>
      </w:pPr>
      <w:r>
        <w:t>04  从世界信号到用户行动的产品闭环</w:t>
      </w:r>
    </w:p>
    <w:p>
      <w:pPr>
        <w:pStyle w:val="Heading2"/>
      </w:pPr>
      <w:r>
        <w:t>4.1 八段核心链路</w:t>
      </w:r>
    </w:p>
    <w:p>
      <w:pPr>
        <w:numPr>
          <w:ilvl w:val="0"/>
          <w:numId w:val="11"/>
        </w:numPr>
        <w:spacing w:after="120"/>
      </w:pPr>
      <w:r>
        <w:rPr>
          <w:rFonts w:ascii="Calibri" w:hAnsi="Calibri" w:eastAsia="Noto Sans CJK SC"/>
          <w:color w:val="233242"/>
          <w:sz w:val="20"/>
        </w:rPr>
        <w:t>Source Monitoring：注册权威源，记录栏目、抓取策略、更新规律与健康状态。</w:t>
      </w:r>
    </w:p>
    <w:p>
      <w:pPr>
        <w:numPr>
          <w:ilvl w:val="0"/>
          <w:numId w:val="11"/>
        </w:numPr>
        <w:spacing w:after="120"/>
      </w:pPr>
      <w:r>
        <w:rPr>
          <w:rFonts w:ascii="Calibri" w:hAnsi="Calibri" w:eastAsia="Noto Sans CJK SC"/>
          <w:color w:val="233242"/>
          <w:sz w:val="20"/>
        </w:rPr>
        <w:t>Artifact Capture：保存 HTML、PDF、Excel、图片附件的原始快照、时间戳与内容哈希。</w:t>
      </w:r>
    </w:p>
    <w:p>
      <w:pPr>
        <w:numPr>
          <w:ilvl w:val="0"/>
          <w:numId w:val="11"/>
        </w:numPr>
        <w:spacing w:after="120"/>
      </w:pPr>
      <w:r>
        <w:rPr>
          <w:rFonts w:ascii="Calibri" w:hAnsi="Calibri" w:eastAsia="Noto Sans CJK SC"/>
          <w:color w:val="233242"/>
          <w:sz w:val="20"/>
        </w:rPr>
        <w:t>Document Understanding：使用解析器与 LLM API 抽取结构化字段，同时保留证据定位。</w:t>
      </w:r>
    </w:p>
    <w:p>
      <w:pPr>
        <w:numPr>
          <w:ilvl w:val="0"/>
          <w:numId w:val="11"/>
        </w:numPr>
        <w:spacing w:after="120"/>
      </w:pPr>
      <w:r>
        <w:rPr>
          <w:rFonts w:ascii="Calibri" w:hAnsi="Calibri" w:eastAsia="Noto Sans CJK SC"/>
          <w:color w:val="233242"/>
          <w:sz w:val="20"/>
        </w:rPr>
        <w:t>Opportunity Resolution：把公告正文、岗位表、更正和后续事件归并为同一 Opportunity。</w:t>
      </w:r>
    </w:p>
    <w:p>
      <w:pPr>
        <w:numPr>
          <w:ilvl w:val="0"/>
          <w:numId w:val="11"/>
        </w:numPr>
        <w:spacing w:after="120"/>
      </w:pPr>
      <w:r>
        <w:rPr>
          <w:rFonts w:ascii="Calibri" w:hAnsi="Calibri" w:eastAsia="Noto Sans CJK SC"/>
          <w:color w:val="233242"/>
          <w:sz w:val="20"/>
        </w:rPr>
        <w:t>Rule Compilation：把学历、专业、年龄、应届身份等硬条件编译为可执行、可测试规则。</w:t>
      </w:r>
    </w:p>
    <w:p>
      <w:pPr>
        <w:numPr>
          <w:ilvl w:val="0"/>
          <w:numId w:val="11"/>
        </w:numPr>
        <w:spacing w:after="120"/>
      </w:pPr>
      <w:r>
        <w:rPr>
          <w:rFonts w:ascii="Calibri" w:hAnsi="Calibri" w:eastAsia="Noto Sans CJK SC"/>
          <w:color w:val="233242"/>
          <w:sz w:val="20"/>
        </w:rPr>
        <w:t>Personal Decision：先给资格四态，再计算价值、紧迫性、偏好与不确定性形成优先级。</w:t>
      </w:r>
    </w:p>
    <w:p>
      <w:pPr>
        <w:numPr>
          <w:ilvl w:val="0"/>
          <w:numId w:val="11"/>
        </w:numPr>
        <w:spacing w:after="120"/>
      </w:pPr>
      <w:r>
        <w:rPr>
          <w:rFonts w:ascii="Calibri" w:hAnsi="Calibri" w:eastAsia="Noto Sans CJK SC"/>
          <w:color w:val="233242"/>
          <w:sz w:val="20"/>
        </w:rPr>
        <w:t>Action Support：提供官方原文、材料清单、截止提醒、加入计划与状态回填。</w:t>
      </w:r>
    </w:p>
    <w:p>
      <w:pPr>
        <w:numPr>
          <w:ilvl w:val="0"/>
          <w:numId w:val="11"/>
        </w:numPr>
        <w:spacing w:after="120"/>
      </w:pPr>
      <w:r>
        <w:rPr>
          <w:rFonts w:ascii="Calibri" w:hAnsi="Calibri" w:eastAsia="Noto Sans CJK SC"/>
          <w:color w:val="233242"/>
          <w:sz w:val="20"/>
        </w:rPr>
        <w:t>Learning Loop：把错误、遗漏、用户动作、真实结果和人工裁决沉淀到评估与版本资产。</w:t>
      </w:r>
    </w:p>
    <w:p>
      <w:pPr>
        <w:pStyle w:val="Heading2"/>
      </w:pPr>
      <w:r>
        <w:t>4.2 资格和推荐必须分离</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Eligibility ∈ {ELIGIBLE, LIKELY_ELIGIBLE, UNCERTAIN, INELIGIBLE}</w:t>
              <w:br/>
              <w:br/>
              <w:t>PriorityScore = f(PreferenceFit, OpportunityValue, Urgency, SourceConfidence, UserIntent, Uncertainty)</w:t>
            </w:r>
          </w:p>
        </w:tc>
      </w:tr>
    </w:tbl>
    <w:p>
      <w:pPr>
        <w:spacing w:after="80"/>
      </w:pPr>
    </w:p>
    <w:p>
      <w:pPr>
        <w:keepLines w:val="0"/>
        <w:spacing w:after="120" w:line="278" w:lineRule="auto"/>
        <w:jc w:val="left"/>
      </w:pPr>
      <w:r>
        <w:rPr>
          <w:rFonts w:ascii="Calibri" w:hAnsi="Calibri" w:eastAsia="Noto Sans CJK SC"/>
          <w:color w:val="233242"/>
          <w:sz w:val="21"/>
        </w:rPr>
        <w:t>系统不能用“匹配度 92%”掩盖硬资格与软偏好的差异。INELIGIBLE 必须由一条明确冲突的确定性规则和官方证据支持；如果只有模型语义推断或信息缺失，结论最多进入 UNCERTAIN。排序模型可以学习用户行为，但永远不能覆盖硬资格裁决。</w:t>
      </w:r>
    </w:p>
    <w:p>
      <w:pPr>
        <w:pStyle w:val="Heading2"/>
      </w:pPr>
      <w:r>
        <w:t>4.3 首页不是信息流，而是行动台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3300"/>
        <w:gridCol w:w="41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栏目</w:t>
            </w:r>
          </w:p>
        </w:tc>
        <w:tc>
          <w:tcPr>
            <w:tcW w:type="dxa" w:w="3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触发条件</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用户得到什么</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今天必须处理</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7"/>
              </w:rPr>
              <w:t>72 小时内截止、报名开放、重大更正</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防止错过</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强烈建议</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资格明确 + 价值高 + 偏好高</w:t>
            </w:r>
          </w:p>
        </w:tc>
        <w:tc>
          <w:tcPr>
            <w:tcW w:type="dxa" w:w="4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减少选择成本</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值得看看</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7"/>
              </w:rPr>
              <w:t>可能符合，但非当前主目标</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拓宽机会视野</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补充一项即可判断</w:t>
            </w:r>
          </w:p>
        </w:tc>
        <w:tc>
          <w:tcPr>
            <w:tcW w:type="dxa" w:w="3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缺少一个关键画像字段</w:t>
            </w:r>
          </w:p>
        </w:tc>
        <w:tc>
          <w:tcPr>
            <w:tcW w:type="dxa" w:w="4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渐进完善画像</w:t>
            </w:r>
          </w:p>
        </w:tc>
      </w:tr>
    </w:tbl>
    <w:p>
      <w:pPr>
        <w:pStyle w:val="Heading1"/>
        <w:pageBreakBefore/>
      </w:pPr>
      <w:r>
        <w:t>05  100 个模拟青年画像实验体系</w:t>
      </w:r>
    </w:p>
    <w:p>
      <w:pPr>
        <w:pStyle w:val="Heading2"/>
      </w:pPr>
      <w:r>
        <w:t>5.1 名称与边界：可以叫“数字分身”，但不能自欺</w:t>
      </w:r>
    </w:p>
    <w:p>
      <w:pPr>
        <w:keepLines w:val="0"/>
        <w:spacing w:after="120" w:line="278" w:lineRule="auto"/>
        <w:jc w:val="left"/>
      </w:pPr>
      <w:r>
        <w:rPr>
          <w:rFonts w:ascii="Calibri" w:hAnsi="Calibri" w:eastAsia="Noto Sans CJK SC"/>
          <w:color w:val="233242"/>
          <w:sz w:val="21"/>
        </w:rPr>
        <w:t>内部可以使用“高仿真青年数字分身库”这一工作名称，但这些对象不是对真实个体的数字孪生。更准确的技术定义是：带有稳定身份、动态状态、目标、约束、行为策略和已知真值的模拟青年代理。它们用于覆盖测试、反事实实验和排序校准，不能替代真实用户的信任、情绪、认知负担与实际行动。</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模拟的正确用途</w:t>
            </w:r>
          </w:p>
          <w:p>
            <w:pPr>
              <w:spacing w:after="0"/>
            </w:pPr>
            <w:r>
              <w:rPr>
                <w:rFonts w:ascii="Calibri" w:hAnsi="Calibri" w:eastAsia="Noto Sans CJK SC"/>
                <w:color w:val="233242"/>
                <w:sz w:val="20"/>
              </w:rPr>
              <w:t>模拟用户回答“系统在不同人群和边界条件下是否逻辑自洽”；真人用户回答“这个判断是否可信、是否有价值、是否真的会行动”。两者不是同一种证据。</w:t>
            </w:r>
          </w:p>
        </w:tc>
      </w:tr>
    </w:tbl>
    <w:p>
      <w:pPr>
        <w:spacing w:after="160"/>
      </w:pPr>
    </w:p>
    <w:p>
      <w:pPr>
        <w:pStyle w:val="Heading2"/>
      </w:pPr>
      <w:r>
        <w:t>5.2 100 个画像如何生成</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3100"/>
        <w:gridCol w:w="46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分层轴</w:t>
            </w:r>
          </w:p>
        </w:tc>
        <w:tc>
          <w:tcPr>
            <w:tcW w:type="dxa" w:w="3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示例取值</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进入画像的方式</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人生阶段</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大二、大三、大四、研二、研三、毕业 1–2 年</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决定近期任务和机会窗口</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教育与专业</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学历、专业代码、大类、学校层次、证书</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驱动硬资格与语义映射</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地域与流动</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户籍、现居、目标城市、可迁移范围</w:t>
            </w:r>
          </w:p>
        </w:tc>
        <w:tc>
          <w:tcPr>
            <w:tcW w:type="dxa" w:w="4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驱动地区资格和偏好</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目标组合</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公职、国企、升学、基层、政策、未定</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至少一个主目标和一个备选</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约束</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时间、经济、家庭、健康、证书、基层经历</w:t>
            </w:r>
          </w:p>
        </w:tc>
        <w:tc>
          <w:tcPr>
            <w:tcW w:type="dxa" w:w="4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形成真实冲突与取舍</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信息资源</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高/中/低信息获得能力</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影响“未知机会”基线</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行为风格</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谨慎、探索、拖延、目标明确、易受提醒干扰</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用于模拟保存、忽略和行动</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风险偏好</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稳定优先、成长优先、地域优先、收益优先</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驱动排序而非硬资格</w:t>
            </w:r>
          </w:p>
        </w:tc>
      </w:tr>
    </w:tbl>
    <w:p>
      <w:pPr>
        <w:keepLines w:val="0"/>
        <w:spacing w:after="120" w:line="278" w:lineRule="auto"/>
        <w:jc w:val="left"/>
      </w:pPr>
      <w:r>
        <w:rPr>
          <w:rFonts w:ascii="Calibri" w:hAnsi="Calibri" w:eastAsia="Noto Sans CJK SC"/>
          <w:color w:val="233242"/>
          <w:sz w:val="21"/>
        </w:rPr>
        <w:t>建议先人工设计 20 个极具代表性的“母画像”，再按分层配额生成 80 个变体；随后可为每个画像生成 2–3 个时间状态，得到 200–300 个测试场景。随机生成不能替代分层设计，否则容易产生看似丰富、实则集中在同一类普通学生的样本。</w:t>
      </w:r>
    </w:p>
    <w:p>
      <w:pPr>
        <w:pStyle w:val="Heading2"/>
      </w:pPr>
      <w:r>
        <w:t>5.3 每个画像的结构</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profile_core: education, major_code, graduation_year, region</w:t>
              <w:br/>
              <w:t>profile_state: goals, constraints, readiness, recent_actions</w:t>
              <w:br/>
              <w:t>preference_policy: stability, mobility, income, growth, public_service</w:t>
              <w:br/>
              <w:t>behavior_policy: explore / save / verify / act / ignore</w:t>
              <w:br/>
              <w:t>hidden_ground_truth: known_eligible, known_ineligible, missing_fields</w:t>
              <w:br/>
              <w:t>expected_opportunity_set: must_find, should_find, must_not_reject</w:t>
              <w:br/>
              <w:t>scenario_clock: today, deadlines, revisions, stage_transition</w:t>
            </w:r>
          </w:p>
        </w:tc>
      </w:tr>
    </w:tbl>
    <w:p>
      <w:pPr>
        <w:spacing w:after="80"/>
      </w:pPr>
    </w:p>
    <w:p>
      <w:pPr>
        <w:pStyle w:val="Heading2"/>
      </w:pPr>
      <w:r>
        <w:t>5.4 六类模拟实验</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3800"/>
        <w:gridCol w:w="38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实验</w:t>
            </w:r>
          </w:p>
        </w:tc>
        <w:tc>
          <w:tcPr>
            <w:tcW w:type="dxa" w:w="3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主要问题</w:t>
            </w:r>
          </w:p>
        </w:tc>
        <w:tc>
          <w:tcPr>
            <w:tcW w:type="dxa" w:w="3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判定方式</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资格一致性</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同一规则对边界画像是否稳定</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6"/>
              </w:rPr>
              <w:t>规则真值对照；统计误杀、漏判和不确定</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机会覆盖</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系统是否找到应找到的机会</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must_find 集合召回率</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排序敏感性</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改变一个偏好是否合理改变顺序</w:t>
            </w:r>
          </w:p>
        </w:tc>
        <w:tc>
          <w:tcPr>
            <w:tcW w:type="dxa" w:w="38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成对反事实测试</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变化影响</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更正/延期是否正确改变资格与提醒</w:t>
            </w:r>
          </w:p>
        </w:tc>
        <w:tc>
          <w:tcPr>
            <w:tcW w:type="dxa" w:w="38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版本回放与差异断言</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提醒噪声</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不同频率下是否过度打扰</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6"/>
              </w:rPr>
              <w:t>模拟行为策略 + 真人校准</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反馈鲁棒性</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错误或冲突反馈是否污染系统</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恶意/噪声反馈注入与人工门测试</w:t>
            </w:r>
          </w:p>
        </w:tc>
      </w:tr>
    </w:tbl>
    <w:p>
      <w:pPr>
        <w:pStyle w:val="Heading2"/>
      </w:pPr>
      <w:r>
        <w:t>5.5 模拟实验的硬限制</w:t>
      </w:r>
    </w:p>
    <w:p>
      <w:pPr>
        <w:numPr>
          <w:ilvl w:val="0"/>
          <w:numId w:val="10"/>
        </w:numPr>
        <w:spacing w:after="100"/>
      </w:pPr>
      <w:r>
        <w:rPr>
          <w:rFonts w:ascii="Calibri" w:hAnsi="Calibri" w:eastAsia="Noto Sans CJK SC"/>
          <w:color w:val="233242"/>
          <w:sz w:val="20"/>
        </w:rPr>
        <w:t>不能让同一个大模型既生成画像、又生成机会真值、再给自己打分；这会形成闭环自证。</w:t>
      </w:r>
    </w:p>
    <w:p>
      <w:pPr>
        <w:numPr>
          <w:ilvl w:val="0"/>
          <w:numId w:val="10"/>
        </w:numPr>
        <w:spacing w:after="100"/>
      </w:pPr>
      <w:r>
        <w:rPr>
          <w:rFonts w:ascii="Calibri" w:hAnsi="Calibri" w:eastAsia="Noto Sans CJK SC"/>
          <w:color w:val="233242"/>
          <w:sz w:val="20"/>
        </w:rPr>
        <w:t>资格真值优先来自人工标注规则和可执行断言；LLM 只用于生成语言变体和候选场景。</w:t>
      </w:r>
    </w:p>
    <w:p>
      <w:pPr>
        <w:numPr>
          <w:ilvl w:val="0"/>
          <w:numId w:val="10"/>
        </w:numPr>
        <w:spacing w:after="100"/>
      </w:pPr>
      <w:r>
        <w:rPr>
          <w:rFonts w:ascii="Calibri" w:hAnsi="Calibri" w:eastAsia="Noto Sans CJK SC"/>
          <w:color w:val="233242"/>
          <w:sz w:val="20"/>
        </w:rPr>
        <w:t>模拟点击率、付费率和留存率没有现实意义，只能用于比较策略，不可作为商业结论。</w:t>
      </w:r>
    </w:p>
    <w:p>
      <w:pPr>
        <w:numPr>
          <w:ilvl w:val="0"/>
          <w:numId w:val="10"/>
        </w:numPr>
        <w:spacing w:after="100"/>
      </w:pPr>
      <w:r>
        <w:rPr>
          <w:rFonts w:ascii="Calibri" w:hAnsi="Calibri" w:eastAsia="Noto Sans CJK SC"/>
          <w:color w:val="233242"/>
          <w:sz w:val="20"/>
        </w:rPr>
        <w:t>模拟画像库必须版本化，保留高风险边界样本，不能每次运行都重新随机生成。</w:t>
      </w:r>
    </w:p>
    <w:p>
      <w:pPr>
        <w:pStyle w:val="Heading1"/>
        <w:pageBreakBefore/>
      </w:pPr>
      <w:r>
        <w:t>06  真人种子用户与双轨验证</w:t>
      </w:r>
    </w:p>
    <w:p>
      <w:pPr>
        <w:pStyle w:val="Heading2"/>
      </w:pPr>
      <w:r>
        <w:t>6.1 真人不是最后一周才出现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1400"/>
        <w:gridCol w:w="2500"/>
        <w:gridCol w:w="38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阶段</w:t>
            </w:r>
          </w:p>
        </w:tc>
        <w:tc>
          <w:tcPr>
            <w:tcW w:type="dxa" w:w="1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真人规模</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角色</w:t>
            </w:r>
          </w:p>
        </w:tc>
        <w:tc>
          <w:tcPr>
            <w:tcW w:type="dxa" w:w="3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主要证据</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共创小样</w:t>
            </w:r>
          </w:p>
        </w:tc>
        <w:tc>
          <w:tcPr>
            <w:tcW w:type="dxa" w:w="14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20–30 人</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设计伙伴</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7"/>
              </w:rPr>
              <w:t>能否理解、信任和完成首次体检</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校内定向试验</w:t>
            </w:r>
          </w:p>
        </w:tc>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50–100 人</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连续使用者</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未知机会发现、纠错与高意图行动</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封闭 Beta</w:t>
            </w:r>
          </w:p>
        </w:tc>
        <w:tc>
          <w:tcPr>
            <w:tcW w:type="dxa" w:w="14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200–500 人</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真实用户</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7"/>
              </w:rPr>
              <w:t>提醒价值、留存、价格与渠道</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区域扩张前</w:t>
            </w:r>
          </w:p>
        </w:tc>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稳定活跃样本</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付费或高校服务对象</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真实付费、续用和长期结果</w:t>
            </w:r>
          </w:p>
        </w:tc>
      </w:tr>
    </w:tbl>
    <w:p>
      <w:pPr>
        <w:keepLines w:val="0"/>
        <w:spacing w:after="120" w:line="278" w:lineRule="auto"/>
        <w:jc w:val="left"/>
      </w:pPr>
      <w:r>
        <w:rPr>
          <w:rFonts w:ascii="Calibri" w:hAnsi="Calibri" w:eastAsia="Noto Sans CJK SC"/>
          <w:color w:val="233242"/>
          <w:sz w:val="21"/>
        </w:rPr>
        <w:t>最适合的首批真人不是“免费注册越多越好”，而是近期确有报名或政策需求、愿意连续四周回填、能够提供正确/错误/遗漏反馈的人。免费试用可以成立，但必须换取明确的研究承诺与数据授权，而不是无条件送会员。</w:t>
      </w:r>
    </w:p>
    <w:p>
      <w:pPr>
        <w:pStyle w:val="Heading2"/>
      </w:pPr>
      <w:r>
        <w:t>6.2 双轨实验如何合并</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2500"/>
        <w:gridCol w:w="2600"/>
        <w:gridCol w:w="26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同一版本发布前</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模拟轨</w:t>
            </w:r>
          </w:p>
        </w:tc>
        <w:tc>
          <w:tcPr>
            <w:tcW w:type="dxa" w:w="2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真人轨</w:t>
            </w:r>
          </w:p>
        </w:tc>
        <w:tc>
          <w:tcPr>
            <w:tcW w:type="dxa" w:w="2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合并规则</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资格</w:t>
            </w:r>
          </w:p>
        </w:tc>
        <w:tc>
          <w:tcPr>
            <w:tcW w:type="dxa" w:w="2500"/>
            <w:tcMar>
              <w:top w:w="100" w:type="dxa"/>
              <w:start w:w="120" w:type="dxa"/>
              <w:bottom w:w="100" w:type="dxa"/>
              <w:end w:w="120" w:type="dxa"/>
            </w:tcMar>
            <w:vAlign w:val="center"/>
          </w:tcPr>
          <w:p>
            <w:pPr>
              <w:spacing w:after="0"/>
            </w:pPr>
            <w:r>
              <w:rPr>
                <w:rFonts w:ascii="Calibri" w:hAnsi="Calibri" w:eastAsia="Noto Sans CJK SC"/>
                <w:b w:val="0"/>
                <w:color w:val="233242"/>
                <w:sz w:val="15"/>
              </w:rPr>
              <w:t>100 画像 × Gold Opportunity 回放</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5"/>
              </w:rPr>
              <w:t>用户核验 + 官方/电话确认记录</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真人高质量证据优先；冲突进人工裁决</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排序</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反事实稳定性和多样性</w:t>
            </w:r>
          </w:p>
        </w:tc>
        <w:tc>
          <w:tcPr>
            <w:tcW w:type="dxa" w:w="2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保存、官方跳转、加入计划</w:t>
            </w:r>
          </w:p>
        </w:tc>
        <w:tc>
          <w:tcPr>
            <w:tcW w:type="dxa" w:w="2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只学习软排序，不改变硬资格</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解释</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覆盖不同规则组合</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5"/>
              </w:rPr>
              <w:t>是否看懂、是否仍需追问</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以理解率和错误定位改写解释</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提醒</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截止/变化场景压力测试</w:t>
            </w:r>
          </w:p>
        </w:tc>
        <w:tc>
          <w:tcPr>
            <w:tcW w:type="dxa" w:w="2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打开、关闭、忽略、完成动作</w:t>
            </w:r>
          </w:p>
        </w:tc>
        <w:tc>
          <w:tcPr>
            <w:tcW w:type="dxa" w:w="2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优化阈值和频率，保留用户控制</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反馈</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噪声与恶意注入</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真实纠错和结果回填</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先质检再入资产，永不直接在线改规则</w:t>
            </w:r>
          </w:p>
        </w:tc>
      </w:tr>
    </w:tbl>
    <w:p>
      <w:pPr>
        <w:pStyle w:val="Heading2"/>
      </w:pPr>
      <w:r>
        <w:t>6.3 种子用户交换价值</w:t>
      </w:r>
    </w:p>
    <w:p>
      <w:pPr>
        <w:numPr>
          <w:ilvl w:val="0"/>
          <w:numId w:val="10"/>
        </w:numPr>
        <w:spacing w:after="100"/>
      </w:pPr>
      <w:r>
        <w:rPr>
          <w:rFonts w:ascii="Calibri" w:hAnsi="Calibri" w:eastAsia="Noto Sans CJK SC"/>
          <w:color w:val="233242"/>
          <w:sz w:val="20"/>
        </w:rPr>
        <w:t>用户获得：免费体检、人工复核的高风险资格说明、重大变化提醒和个人行动报告。</w:t>
      </w:r>
    </w:p>
    <w:p>
      <w:pPr>
        <w:numPr>
          <w:ilvl w:val="0"/>
          <w:numId w:val="10"/>
        </w:numPr>
        <w:spacing w:after="100"/>
      </w:pPr>
      <w:r>
        <w:rPr>
          <w:rFonts w:ascii="Calibri" w:hAnsi="Calibri" w:eastAsia="Noto Sans CJK SC"/>
          <w:color w:val="233242"/>
          <w:sz w:val="20"/>
        </w:rPr>
        <w:t>项目获得：至少 3 次结构化反馈、真实行动状态、一次访谈或周回顾及必要授权。</w:t>
      </w:r>
    </w:p>
    <w:p>
      <w:pPr>
        <w:numPr>
          <w:ilvl w:val="0"/>
          <w:numId w:val="10"/>
        </w:numPr>
        <w:spacing w:after="100"/>
      </w:pPr>
      <w:r>
        <w:rPr>
          <w:rFonts w:ascii="Calibri" w:hAnsi="Calibri" w:eastAsia="Noto Sans CJK SC"/>
          <w:color w:val="233242"/>
          <w:sz w:val="20"/>
        </w:rPr>
        <w:t>平台只采集实验所需最小数据；允许跳过与撤回；明确初筛不替代官方审核。</w:t>
      </w:r>
    </w:p>
    <w:p>
      <w:pPr>
        <w:pStyle w:val="Heading1"/>
        <w:pageBreakBefore/>
      </w:pPr>
      <w:r>
        <w:t>07  反馈数据与持续学习飞轮</w:t>
      </w:r>
    </w:p>
    <w:p>
      <w:pPr>
        <w:pStyle w:val="Heading2"/>
      </w:pPr>
      <w:r>
        <w:t>7.1 用户的每一次回复都是数据，但不是自动真相</w:t>
      </w:r>
    </w:p>
    <w:p>
      <w:pPr>
        <w:keepLines w:val="0"/>
        <w:spacing w:after="120" w:line="278" w:lineRule="auto"/>
        <w:jc w:val="left"/>
      </w:pPr>
      <w:r>
        <w:rPr>
          <w:rFonts w:ascii="Calibri" w:hAnsi="Calibri" w:eastAsia="Noto Sans CJK SC"/>
          <w:color w:val="233242"/>
          <w:sz w:val="21"/>
        </w:rPr>
        <w:t>用户对推荐的回复确实具有训练价值：它揭示专业映射错误、资格规则遗漏、机会价值偏好、提醒噪声和真实结果。但反馈可能受到误解、情绪、样本偏差、利益冲突或恶意输入影响。因此正确做法不是“收到反馈就训练”，而是把它作为候选证据进入质量流程。</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Raw Feedback → Consent &amp; Identity Check → Evidence Link → Confidence → Review / Adjudication →</w:t>
              <w:br/>
              <w:t>Label Asset → Offline Evaluation → Rule / Prompt / Rank Update → Shadow Test → Release Gate</w:t>
            </w:r>
          </w:p>
        </w:tc>
      </w:tr>
    </w:tbl>
    <w:p>
      <w:pPr>
        <w:spacing w:after="80"/>
      </w:pPr>
    </w:p>
    <w:p>
      <w:pPr>
        <w:pStyle w:val="Heading2"/>
      </w:pPr>
      <w:r>
        <w:t>7.2 反馈事件分级</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400"/>
        <w:gridCol w:w="2800"/>
        <w:gridCol w:w="1700"/>
        <w:gridCol w:w="3460"/>
      </w:tblGrid>
      <w:tr>
        <w:trPr>
          <w:cantSplit/>
          <w:tblHeader w:val="true"/>
        </w:trPr>
        <w:tc>
          <w:tcPr>
            <w:tcW w:type="dxa" w:w="1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级别</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示例</w:t>
            </w:r>
          </w:p>
        </w:tc>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可信度</w:t>
            </w:r>
          </w:p>
        </w:tc>
        <w:tc>
          <w:tcPr>
            <w:tcW w:type="dxa" w:w="3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允许影响</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L0 隐式行为</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查看、保存、忽略、关闭提醒</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低至中</w:t>
            </w:r>
          </w:p>
        </w:tc>
        <w:tc>
          <w:tcPr>
            <w:tcW w:type="dxa" w:w="3460"/>
            <w:tcMar>
              <w:top w:w="100" w:type="dxa"/>
              <w:start w:w="120" w:type="dxa"/>
              <w:bottom w:w="100" w:type="dxa"/>
              <w:end w:w="120" w:type="dxa"/>
            </w:tcMar>
            <w:vAlign w:val="center"/>
          </w:tcPr>
          <w:p>
            <w:pPr>
              <w:spacing w:after="0"/>
            </w:pPr>
            <w:r>
              <w:rPr>
                <w:rFonts w:ascii="Calibri" w:hAnsi="Calibri" w:eastAsia="Noto Sans CJK SC"/>
                <w:b w:val="0"/>
                <w:color w:val="233242"/>
                <w:sz w:val="16"/>
              </w:rPr>
              <w:t>排序候选信号；不得改变资格</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L1 明确评价</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相关/不相关、解释没看懂</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解释与排序评估</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L2 结构化纠错</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专业判断错、截止时间错、公告已更正</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中至高</w:t>
            </w:r>
          </w:p>
        </w:tc>
        <w:tc>
          <w:tcPr>
            <w:tcW w:type="dxa" w:w="34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进入审核队列</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L3 行动结果</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已报名、审核通过、被拒、放弃</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高但需核验</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结果模型与价值排序</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L4 外部证据</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官方回函、电话确认记录、页面更新</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高</w:t>
            </w:r>
          </w:p>
        </w:tc>
        <w:tc>
          <w:tcPr>
            <w:tcW w:type="dxa" w:w="3460"/>
            <w:tcMar>
              <w:top w:w="100" w:type="dxa"/>
              <w:start w:w="120" w:type="dxa"/>
              <w:bottom w:w="100" w:type="dxa"/>
              <w:end w:w="120" w:type="dxa"/>
            </w:tcMar>
            <w:vAlign w:val="center"/>
          </w:tcPr>
          <w:p>
            <w:pPr>
              <w:spacing w:after="0"/>
            </w:pPr>
            <w:r>
              <w:rPr>
                <w:rFonts w:ascii="Calibri" w:hAnsi="Calibri" w:eastAsia="Noto Sans CJK SC"/>
                <w:b w:val="0"/>
                <w:color w:val="233242"/>
                <w:sz w:val="16"/>
              </w:rPr>
              <w:t>规则候选和 Gold 样本</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L5 人工裁决</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审核员完成证据对照并批准</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最高</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版本化规则与回归集</w:t>
            </w:r>
          </w:p>
        </w:tc>
      </w:tr>
    </w:tbl>
    <w:p>
      <w:pPr>
        <w:pStyle w:val="Heading2"/>
      </w:pPr>
      <w:r>
        <w:t>7.3 系统真正积累的六类资产</w:t>
      </w:r>
    </w:p>
    <w:p>
      <w:pPr>
        <w:numPr>
          <w:ilvl w:val="0"/>
          <w:numId w:val="10"/>
        </w:numPr>
        <w:spacing w:after="100"/>
      </w:pPr>
      <w:r>
        <w:rPr>
          <w:rFonts w:ascii="Calibri" w:hAnsi="Calibri" w:eastAsia="Noto Sans CJK SC"/>
          <w:color w:val="233242"/>
          <w:sz w:val="20"/>
        </w:rPr>
        <w:t>Source Graph：一手源、更新规律、可靠性与采集策略。</w:t>
      </w:r>
    </w:p>
    <w:p>
      <w:pPr>
        <w:numPr>
          <w:ilvl w:val="0"/>
          <w:numId w:val="10"/>
        </w:numPr>
        <w:spacing w:after="100"/>
      </w:pPr>
      <w:r>
        <w:rPr>
          <w:rFonts w:ascii="Calibri" w:hAnsi="Calibri" w:eastAsia="Noto Sans CJK SC"/>
          <w:color w:val="233242"/>
          <w:sz w:val="20"/>
        </w:rPr>
        <w:t>Opportunity History：从发布、更正、延期到结果的完整演化。</w:t>
      </w:r>
    </w:p>
    <w:p>
      <w:pPr>
        <w:numPr>
          <w:ilvl w:val="0"/>
          <w:numId w:val="10"/>
        </w:numPr>
        <w:spacing w:after="100"/>
      </w:pPr>
      <w:r>
        <w:rPr>
          <w:rFonts w:ascii="Calibri" w:hAnsi="Calibri" w:eastAsia="Noto Sans CJK SC"/>
          <w:color w:val="233242"/>
          <w:sz w:val="20"/>
        </w:rPr>
        <w:t>Rule &amp; Evidence：资格规则、边界案例、官方证据与回归断言。</w:t>
      </w:r>
    </w:p>
    <w:p>
      <w:pPr>
        <w:numPr>
          <w:ilvl w:val="0"/>
          <w:numId w:val="10"/>
        </w:numPr>
        <w:spacing w:after="100"/>
      </w:pPr>
      <w:r>
        <w:rPr>
          <w:rFonts w:ascii="Calibri" w:hAnsi="Calibri" w:eastAsia="Noto Sans CJK SC"/>
          <w:color w:val="233242"/>
          <w:sz w:val="20"/>
        </w:rPr>
        <w:t>User State：人生阶段、目标、约束和已采取行动的连续状态。</w:t>
      </w:r>
    </w:p>
    <w:p>
      <w:pPr>
        <w:numPr>
          <w:ilvl w:val="0"/>
          <w:numId w:val="10"/>
        </w:numPr>
        <w:spacing w:after="100"/>
      </w:pPr>
      <w:r>
        <w:rPr>
          <w:rFonts w:ascii="Calibri" w:hAnsi="Calibri" w:eastAsia="Noto Sans CJK SC"/>
          <w:color w:val="233242"/>
          <w:sz w:val="20"/>
        </w:rPr>
        <w:t>Feedback, Outcome &amp; Evaluation Versions：纠错、申请、结果、裁决及各组件版本的对照结果。</w:t>
      </w:r>
    </w:p>
    <w:p>
      <w:pPr>
        <w:pStyle w:val="Heading1"/>
        <w:pageBreakBefore/>
      </w:pPr>
      <w:r>
        <w:t>08  只调用大模型 API 时的“世界模型”实现</w:t>
      </w:r>
    </w:p>
    <w:p>
      <w:pPr>
        <w:pStyle w:val="Heading2"/>
      </w:pPr>
      <w:r>
        <w:t>8.1 先纠正一个容易误导的概念</w:t>
      </w:r>
    </w:p>
    <w:p>
      <w:pPr>
        <w:keepLines w:val="0"/>
        <w:spacing w:after="120" w:line="278" w:lineRule="auto"/>
        <w:jc w:val="left"/>
      </w:pPr>
      <w:r>
        <w:rPr>
          <w:rFonts w:ascii="Calibri" w:hAnsi="Calibri" w:eastAsia="Noto Sans CJK SC"/>
          <w:color w:val="233242"/>
          <w:sz w:val="21"/>
        </w:rPr>
        <w:t>本项目不应把“世界模型”描述为自行训练了一个理解世界的基础神经网络。Blueprint 中的世界模型是工程意义上的 Living Opportunity State：系统持续维护公开机会世界当前是什么状态、发生了什么变化、哪些规则适用、这些变化对某个用户意味着什么。它是数据库、知识图谱、规则、检索、评估与版本系统的组合。</w:t>
      </w:r>
    </w:p>
    <w:p>
      <w:pPr>
        <w:keepNext/>
        <w:jc w:val="center"/>
      </w:pPr>
      <w:r>
        <w:drawing>
          <wp:inline xmlns:a="http://schemas.openxmlformats.org/drawingml/2006/main" xmlns:pic="http://schemas.openxmlformats.org/drawingml/2006/picture">
            <wp:extent cx="5669280" cy="2932138"/>
            <wp:docPr id="3" name="Picture 3" descr="图 3  不训练基础模型权重，也能建立受产品控制的持续学习系统" title="图 3  不训练基础模型权重，也能建立受产品控制的持续学习系统"/>
            <wp:cNvGraphicFramePr>
              <a:graphicFrameLocks noChangeAspect="1"/>
            </wp:cNvGraphicFramePr>
            <a:graphic>
              <a:graphicData uri="http://schemas.openxmlformats.org/drawingml/2006/picture">
                <pic:pic>
                  <pic:nvPicPr>
                    <pic:cNvPr id="0" name="learning_without_training.png"/>
                    <pic:cNvPicPr/>
                  </pic:nvPicPr>
                  <pic:blipFill>
                    <a:blip r:embed="rId13"/>
                    <a:stretch>
                      <a:fillRect/>
                    </a:stretch>
                  </pic:blipFill>
                  <pic:spPr>
                    <a:xfrm>
                      <a:off x="0" y="0"/>
                      <a:ext cx="5669280" cy="2932138"/>
                    </a:xfrm>
                    <a:prstGeom prst="rect"/>
                  </pic:spPr>
                </pic:pic>
              </a:graphicData>
            </a:graphic>
          </wp:inline>
        </w:drawing>
      </w:r>
    </w:p>
    <w:p>
      <w:pPr>
        <w:spacing w:before="40" w:after="160"/>
        <w:jc w:val="center"/>
      </w:pPr>
      <w:r>
        <w:rPr>
          <w:rFonts w:ascii="Calibri" w:hAnsi="Calibri" w:eastAsia="Noto Sans CJK SC"/>
          <w:i/>
          <w:color w:val="66788A"/>
          <w:sz w:val="17"/>
        </w:rPr>
        <w:t>图 3  不训练基础模型权重，也能建立受产品控制的持续学习系统</w:t>
      </w:r>
    </w:p>
    <w:p>
      <w:pPr>
        <w:pStyle w:val="Heading2"/>
      </w:pPr>
      <w:r>
        <w:t>8.2 API 条件下能做到什么</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1300"/>
        <w:gridCol w:w="3300"/>
        <w:gridCol w:w="30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能力</w:t>
            </w:r>
          </w:p>
        </w:tc>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能否实现</w:t>
            </w:r>
          </w:p>
        </w:tc>
        <w:tc>
          <w:tcPr>
            <w:tcW w:type="dxa" w:w="3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实现方式</w:t>
            </w:r>
          </w:p>
        </w:tc>
        <w:tc>
          <w:tcPr>
            <w:tcW w:type="dxa" w:w="30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边界</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持久记住世界变化</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Opportunity/Version/Event 数据库</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6"/>
              </w:rPr>
              <w:t>不是模型上下文窗口记忆</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从历史反馈改进</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规则、检索、Prompt、排序、评估集迭代</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必须经过离线评估和发布门</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稳定资格判断</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LLM 抽取 + 确定性 Rule Engine</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官方审核仍是最终结论</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个性化长期服务</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版本化用户状态 + 事件历史 + 渐进画像</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最小必要、可查看和删除</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自动改变模型权重</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默认不做</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未来可选微调或开源模型训练</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6"/>
              </w:rPr>
              <w:t>MVP 不需要，也不应成为依赖</w:t>
            </w:r>
          </w:p>
        </w:tc>
      </w:tr>
      <w:tr>
        <w:trPr>
          <w:cantSplit/>
        </w:trPr>
        <w:tc>
          <w:tcPr>
            <w:tcW w:type="dxa" w:w="17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高保真预测真实人类行为</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有限</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模拟只能校准逻辑，真人实验验证行为</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不能用模拟付费率替代市场</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自主作出重大人生决定</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不应</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系统提供候选与证据，人做决定</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不代报名、不承诺结果</w:t>
            </w:r>
          </w:p>
        </w:tc>
      </w:tr>
    </w:tbl>
    <w:p>
      <w:pPr>
        <w:pStyle w:val="Heading2"/>
      </w:pPr>
      <w:r>
        <w:t>8.3 Write-time Intelligence</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错误：10000 个用户查看同一公告 → 10000 次 LLM 解读</w:t>
              <w:br/>
              <w:br/>
              <w:t>正确：公告入库 → LLM 解析一次 → 保存结构化事实与证据 → 10000 用户共享事实 → Rule Engine 个性化计算</w:t>
            </w:r>
          </w:p>
        </w:tc>
      </w:tr>
    </w:tbl>
    <w:p>
      <w:pPr>
        <w:spacing w:after="80"/>
      </w:pPr>
    </w:p>
    <w:p>
      <w:pPr>
        <w:keepLines w:val="0"/>
        <w:spacing w:after="120" w:line="278" w:lineRule="auto"/>
        <w:jc w:val="left"/>
      </w:pPr>
      <w:r>
        <w:rPr>
          <w:rFonts w:ascii="Calibri" w:hAnsi="Calibri" w:eastAsia="Noto Sans CJK SC"/>
          <w:color w:val="233242"/>
          <w:sz w:val="21"/>
        </w:rPr>
        <w:t>这让系统的成本、稳定性和可审计性都优于“每次打开页面临时问大模型”。强模型只处理复杂自然语言、跨附件冲突和专业语义候选；日期、枚举、规则计算和大量匹配由确定性组件完成。</w:t>
      </w:r>
    </w:p>
    <w:p>
      <w:pPr>
        <w:pStyle w:val="Heading2"/>
      </w:pPr>
      <w:r>
        <w:t>8.4 模型供应商可替换，系统资产不可替换</w:t>
      </w:r>
    </w:p>
    <w:p>
      <w:pPr>
        <w:numPr>
          <w:ilvl w:val="0"/>
          <w:numId w:val="10"/>
        </w:numPr>
        <w:spacing w:after="100"/>
      </w:pPr>
      <w:r>
        <w:rPr>
          <w:rFonts w:ascii="Calibri" w:hAnsi="Calibri" w:eastAsia="Noto Sans CJK SC"/>
          <w:color w:val="233242"/>
          <w:sz w:val="20"/>
        </w:rPr>
        <w:t>所有模型通过 Model Gateway 调用，记录 provider、model、prompt、temperature、schema 和成本。</w:t>
      </w:r>
    </w:p>
    <w:p>
      <w:pPr>
        <w:numPr>
          <w:ilvl w:val="0"/>
          <w:numId w:val="10"/>
        </w:numPr>
        <w:spacing w:after="100"/>
      </w:pPr>
      <w:r>
        <w:rPr>
          <w:rFonts w:ascii="Calibri" w:hAnsi="Calibri" w:eastAsia="Noto Sans CJK SC"/>
          <w:color w:val="233242"/>
          <w:sz w:val="20"/>
        </w:rPr>
        <w:t>结构化输出必须通过 JSON Schema；高影响字段必须有证据片段和定位。</w:t>
      </w:r>
    </w:p>
    <w:p>
      <w:pPr>
        <w:numPr>
          <w:ilvl w:val="0"/>
          <w:numId w:val="10"/>
        </w:numPr>
        <w:spacing w:after="100"/>
      </w:pPr>
      <w:r>
        <w:rPr>
          <w:rFonts w:ascii="Calibri" w:hAnsi="Calibri" w:eastAsia="Noto Sans CJK SC"/>
          <w:color w:val="233242"/>
          <w:sz w:val="20"/>
        </w:rPr>
        <w:t>同一任务保留小模型、强模型和规则路径的路由策略，供应商变化不改变业务契约。</w:t>
      </w:r>
    </w:p>
    <w:p>
      <w:pPr>
        <w:numPr>
          <w:ilvl w:val="0"/>
          <w:numId w:val="10"/>
        </w:numPr>
        <w:spacing w:after="100"/>
      </w:pPr>
      <w:r>
        <w:rPr>
          <w:rFonts w:ascii="Calibri" w:hAnsi="Calibri" w:eastAsia="Noto Sans CJK SC"/>
          <w:color w:val="233242"/>
          <w:sz w:val="20"/>
        </w:rPr>
        <w:t>模型升级先在 Golden Dataset 与模拟画像库影子运行，比较差异后才进入真人版本。</w:t>
      </w:r>
    </w:p>
    <w:p>
      <w:pPr>
        <w:pStyle w:val="Heading1"/>
        <w:pageBreakBefore/>
      </w:pPr>
      <w:r>
        <w:t>09  产品与技术总体架构</w:t>
      </w:r>
    </w:p>
    <w:p>
      <w:pPr>
        <w:pStyle w:val="Heading2"/>
      </w:pPr>
      <w:r>
        <w:t>9.1 六层架构</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300"/>
        <w:gridCol w:w="3400"/>
        <w:gridCol w:w="4660"/>
      </w:tblGrid>
      <w:tr>
        <w:trPr>
          <w:cantSplit/>
          <w:tblHeader w:val="true"/>
        </w:trPr>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层</w:t>
            </w:r>
          </w:p>
        </w:tc>
        <w:tc>
          <w:tcPr>
            <w:tcW w:type="dxa" w:w="3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核心组件</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职责</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体验层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小程序、H5、管理后台、研究控制台</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机会体检、今日行动、详情、计划、反馈与审计</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决策层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Eligibility、Ranking、Alert、Action Planner</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资格四态、优先级、提醒和行动建议</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机会智能层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Extractor、Resolver、Revision、Rule Compiler</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读懂、归并、追踪变化并生成规则</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数据与记忆层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PostgreSQL、pgvector、Object Storage、Redis</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事实、历史、检索、队列和缓存</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采集层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Source Registry、HTTP/DOM、Playwright、PDF/Excel</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持续获取并留存原始证据</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治理层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Review Queue、Evaluation、Observability、Privacy</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人工门、回归、审计、告警与用户权利</w:t>
            </w:r>
          </w:p>
        </w:tc>
      </w:tr>
    </w:tbl>
    <w:p>
      <w:pPr>
        <w:pStyle w:val="Heading2"/>
      </w:pPr>
      <w:r>
        <w:t>9.2 推荐服务边界</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Source Registry → Collectors → Raw Artifact Store → Parser / Extractor</w:t>
              <w:br/>
              <w:t xml:space="preserve">                                         ↓</w:t>
              <w:br/>
              <w:t>User Profile → Eligibility Engine ← Rule Compiler ← Opportunity Resolver ← Revision Engine</w:t>
              <w:br/>
              <w:t xml:space="preserve">                  ↓                                      ↓</w:t>
              <w:br/>
              <w:t xml:space="preserve">             Ranking Engine → Notification → Web / Mini Program → Action / Feedback</w:t>
              <w:br/>
              <w:t xml:space="preserve">                  ↑                                      ↓</w:t>
              <w:br/>
              <w:t xml:space="preserve">             Evaluation &amp; Release Gate ← Review Queue ← Feedback Pipeline</w:t>
            </w:r>
          </w:p>
        </w:tc>
      </w:tr>
    </w:tbl>
    <w:p>
      <w:pPr>
        <w:spacing w:after="80"/>
      </w:pPr>
    </w:p>
    <w:p>
      <w:pPr>
        <w:pStyle w:val="Heading2"/>
      </w:pPr>
      <w:r>
        <w:t>9.3 不要过度 Agent 化</w:t>
      </w:r>
    </w:p>
    <w:p>
      <w:pPr>
        <w:keepLines w:val="0"/>
        <w:spacing w:after="120" w:line="278" w:lineRule="auto"/>
        <w:jc w:val="left"/>
      </w:pPr>
      <w:r>
        <w:rPr>
          <w:rFonts w:ascii="Calibri" w:hAnsi="Calibri" w:eastAsia="Noto Sans CJK SC"/>
          <w:color w:val="233242"/>
          <w:sz w:val="21"/>
        </w:rPr>
        <w:t>系统可以把不同任务封装为“采集、抽取、归并、证据核验、用户解释”等智能组件，但生产主链应以可恢复的工作流和状态机为主，而不是让多个 Agent 自由对话后决定结果。高影响资格判断必须走确定性路径；Agent 最适合提出候选、处理长尾和辅助人工，不适合成为不可审计的最终裁决者。</w:t>
      </w:r>
    </w:p>
    <w:p>
      <w:pPr>
        <w:pStyle w:val="Heading2"/>
      </w:pPr>
      <w:r>
        <w:t>9.4 推荐技术栈（V1）</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500"/>
        <w:gridCol w:w="2900"/>
        <w:gridCol w:w="4960"/>
      </w:tblGrid>
      <w:tr>
        <w:trPr>
          <w:cantSplit/>
          <w:tblHeader w:val="true"/>
        </w:trPr>
        <w:tc>
          <w:tcPr>
            <w:tcW w:type="dxa" w:w="1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域</w:t>
            </w:r>
          </w:p>
        </w:tc>
        <w:tc>
          <w:tcPr>
            <w:tcW w:type="dxa" w:w="2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建议</w:t>
            </w:r>
          </w:p>
        </w:tc>
        <w:tc>
          <w:tcPr>
            <w:tcW w:type="dxa" w:w="49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理由</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API</w:t>
            </w:r>
          </w:p>
        </w:tc>
        <w:tc>
          <w:tcPr>
            <w:tcW w:type="dxa" w:w="29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FastAPI</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与 Python 数据/AI 工作流一致，契约清晰</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异步任务</w:t>
            </w:r>
          </w:p>
        </w:tc>
        <w:tc>
          <w:tcPr>
            <w:tcW w:type="dxa" w:w="2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Python Worker + 队列</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采集、解析、LLM、差异和通知可重试</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主数据库</w:t>
            </w:r>
          </w:p>
        </w:tc>
        <w:tc>
          <w:tcPr>
            <w:tcW w:type="dxa" w:w="2900"/>
            <w:tcMar>
              <w:top w:w="100" w:type="dxa"/>
              <w:start w:w="120" w:type="dxa"/>
              <w:bottom w:w="100" w:type="dxa"/>
              <w:end w:w="120" w:type="dxa"/>
            </w:tcMar>
            <w:vAlign w:val="center"/>
          </w:tcPr>
          <w:p>
            <w:pPr>
              <w:spacing w:after="0"/>
            </w:pPr>
            <w:r>
              <w:rPr>
                <w:rFonts w:ascii="Calibri" w:hAnsi="Calibri" w:eastAsia="Noto Sans CJK SC"/>
                <w:b w:val="0"/>
                <w:color w:val="233242"/>
                <w:sz w:val="17"/>
              </w:rPr>
              <w:t>PostgreSQL 17/18</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关系、规则、审计和生命周期适配</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语义检索</w:t>
            </w:r>
          </w:p>
        </w:tc>
        <w:tc>
          <w:tcPr>
            <w:tcW w:type="dxa" w:w="2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pgvector</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用于候选召回、去重和专业语义映射；不裁决硬资格</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对象存储</w:t>
            </w:r>
          </w:p>
        </w:tc>
        <w:tc>
          <w:tcPr>
            <w:tcW w:type="dxa" w:w="29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S3 兼容存储</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原始 HTML/PDF/Excel 与快照</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缓存/队列</w:t>
            </w:r>
          </w:p>
        </w:tc>
        <w:tc>
          <w:tcPr>
            <w:tcW w:type="dxa" w:w="2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Redis</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队列、锁、限流和热点缓存；不做事实源</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用户端</w:t>
            </w:r>
          </w:p>
        </w:tc>
        <w:tc>
          <w:tcPr>
            <w:tcW w:type="dxa" w:w="29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微信小程序 + H5</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冷启动和分享成本低；App 后置</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模型</w:t>
            </w:r>
          </w:p>
        </w:tc>
        <w:tc>
          <w:tcPr>
            <w:tcW w:type="dxa" w:w="2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外部 LLM API，经 Gateway 访问</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MVP 不买 GPU，不绑定单一模型</w:t>
            </w:r>
          </w:p>
        </w:tc>
      </w:tr>
    </w:tbl>
    <w:p>
      <w:pPr>
        <w:pStyle w:val="Heading1"/>
        <w:pageBreakBefore/>
      </w:pPr>
      <w:r>
        <w:t>10  关键数据对象与契约</w:t>
      </w:r>
    </w:p>
    <w:p>
      <w:pPr>
        <w:pStyle w:val="Heading2"/>
      </w:pPr>
      <w:r>
        <w:t>10.1 核心实体</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3900"/>
        <w:gridCol w:w="36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实体</w:t>
            </w:r>
          </w:p>
        </w:tc>
        <w:tc>
          <w:tcPr>
            <w:tcW w:type="dxa" w:w="3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关键字段</w:t>
            </w:r>
          </w:p>
        </w:tc>
        <w:tc>
          <w:tcPr>
            <w:tcW w:type="dxa" w:w="3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不可妥协的约束</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Source</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tier、authority、url、fetch_policy、health</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一手源与线索源分级</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RawArtifact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hash、fetched_at、object_key、mime</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原始证据不可被解析结果覆盖</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Document</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text、parser_version、evidence_locator</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正文、附件和表格保留定位</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Opportunity</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public_id、type、org、region、status</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稳定 ID；合并后保留 alias</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OpportunityVersion</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version、diff、source_doc、effective_at</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可回放、可解释条件变化</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RuleSet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field、operator、value、evidence、review</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高影响规则必须可执行且有证据</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UserState</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profile、goals、constraints、preferences</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核心与动态状态分离；最小必要</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MatchSnapshot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eligibility、priority、reasons、versions</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任何历史推荐都能复现</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FeedbackEvent</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type、claim、evidence、confidence、status</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原始事件与批准标签分离</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EvaluationRun</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dataset、component_versions、metrics、diff</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所有发布都有评估证据</w:t>
            </w:r>
          </w:p>
        </w:tc>
      </w:tr>
    </w:tbl>
    <w:p>
      <w:pPr>
        <w:pStyle w:val="Heading2"/>
      </w:pPr>
      <w:r>
        <w:t>10.2 高影响资格四态</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3600"/>
        <w:gridCol w:w="39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状态</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准入条件</w:t>
            </w:r>
          </w:p>
        </w:tc>
        <w:tc>
          <w:tcPr>
            <w:tcW w:type="dxa" w:w="39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用户文案原则</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ELIGIBLE</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6"/>
              </w:rPr>
              <w:t>所有已知硬条件满足，关键字段已验证</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按目前官方条件，符合已识别硬要求；最终以官方审核为准</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LIKELY_ELIGIBLE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主要条件满足，但有非关键未解析项</w:t>
            </w:r>
          </w:p>
        </w:tc>
        <w:tc>
          <w:tcPr>
            <w:tcW w:type="dxa" w:w="3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很可能符合，建议核对以下事项</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UNCERTAIN</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6"/>
              </w:rPr>
              <w:t>缺用户信息、公告模糊或证据冲突</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暂时无法判断；补充 X 或核对官方说明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INELIGIBLE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至少一条确定性规则明确冲突</w:t>
            </w:r>
          </w:p>
        </w:tc>
        <w:tc>
          <w:tcPr>
            <w:tcW w:type="dxa" w:w="3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指出哪一条不满足，并展示官方证据</w:t>
            </w:r>
          </w:p>
        </w:tc>
      </w:tr>
    </w:tbl>
    <w:p>
      <w:pPr>
        <w:pStyle w:val="Heading2"/>
      </w:pPr>
      <w:r>
        <w:t>10.3 规则冲突优先级</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最新官方更正 &gt; 正式岗位/政策附件 &gt; 原始正式公告 &gt; 官方 FAQ/指南 &gt;</w:t>
              <w:br/>
              <w:t>人工批准的目录映射 &gt; LLM 语义推断</w:t>
            </w:r>
          </w:p>
        </w:tc>
      </w:tr>
    </w:tbl>
    <w:p>
      <w:pPr>
        <w:spacing w:after="80"/>
      </w:pPr>
    </w:p>
    <w:p>
      <w:pPr>
        <w:keepLines w:val="0"/>
        <w:spacing w:after="120" w:line="278" w:lineRule="auto"/>
        <w:jc w:val="left"/>
      </w:pPr>
      <w:r>
        <w:rPr>
          <w:rFonts w:ascii="Calibri" w:hAnsi="Calibri" w:eastAsia="Noto Sans CJK SC"/>
          <w:color w:val="233242"/>
          <w:sz w:val="21"/>
        </w:rPr>
        <w:t>LLM 推断本身最多把结论推到 UNCERTAIN 或产生审核候选，不能单独造成 INELIGIBLE。专业匹配必须优先按公告指定目录与代码裁决，向量和语义模型只做候选召回。</w:t>
      </w:r>
    </w:p>
    <w:p>
      <w:pPr>
        <w:pStyle w:val="Heading2"/>
      </w:pPr>
      <w:r>
        <w:t>10.4 一次判断如何被完整复现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4460"/>
        <w:gridCol w:w="310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记录</w:t>
            </w:r>
          </w:p>
        </w:tc>
        <w:tc>
          <w:tcPr>
            <w:tcW w:type="dxa" w:w="4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必须保存</w:t>
            </w:r>
          </w:p>
        </w:tc>
        <w:tc>
          <w:tcPr>
            <w:tcW w:type="dxa" w:w="3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用途</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请求上下文</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opportunity_version、user_state_version、evaluated_at</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锁定当时世界与个人状态</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组件版本</w:t>
            </w:r>
          </w:p>
        </w:tc>
        <w:tc>
          <w:tcPr>
            <w:tcW w:type="dxa" w:w="4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parser、rule、prompt、model、ranker</w:t>
            </w:r>
          </w:p>
        </w:tc>
        <w:tc>
          <w:tcPr>
            <w:tcW w:type="dxa" w:w="3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定位版本差异与回归</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判断输出</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eligibility、priority、reasons、missing_fields</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复现用户当时看到的结论</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证据定位</w:t>
            </w:r>
          </w:p>
        </w:tc>
        <w:tc>
          <w:tcPr>
            <w:tcW w:type="dxa" w:w="4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document_id、locator、quote_hash</w:t>
            </w:r>
          </w:p>
        </w:tc>
        <w:tc>
          <w:tcPr>
            <w:tcW w:type="dxa" w:w="3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回到官方原文核验</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后续结果</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feedback、action、review、evaluation_run</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连接真实行动与迭代依据</w:t>
            </w:r>
          </w:p>
        </w:tc>
      </w:tr>
    </w:tbl>
    <w:p>
      <w:pPr>
        <w:pStyle w:val="Heading1"/>
        <w:pageBreakBefore/>
      </w:pPr>
      <w:r>
        <w:t>11  用户体验与功能边界</w:t>
      </w:r>
    </w:p>
    <w:p>
      <w:pPr>
        <w:pStyle w:val="Heading2"/>
      </w:pPr>
      <w:r>
        <w:t>11.1 90 秒首次机会体检</w:t>
      </w:r>
    </w:p>
    <w:p>
      <w:pPr>
        <w:numPr>
          <w:ilvl w:val="0"/>
          <w:numId w:val="12"/>
        </w:numPr>
        <w:spacing w:after="120"/>
      </w:pPr>
      <w:r>
        <w:rPr>
          <w:rFonts w:ascii="Calibri" w:hAnsi="Calibri" w:eastAsia="Noto Sans CJK SC"/>
          <w:color w:val="233242"/>
          <w:sz w:val="20"/>
        </w:rPr>
        <w:t>选择当前阶段：在校、应届、毕业 1–2 年、在职转向。</w:t>
      </w:r>
    </w:p>
    <w:p>
      <w:pPr>
        <w:numPr>
          <w:ilvl w:val="0"/>
          <w:numId w:val="12"/>
        </w:numPr>
        <w:spacing w:after="120"/>
      </w:pPr>
      <w:r>
        <w:rPr>
          <w:rFonts w:ascii="Calibri" w:hAnsi="Calibri" w:eastAsia="Noto Sans CJK SC"/>
          <w:color w:val="233242"/>
          <w:sz w:val="20"/>
        </w:rPr>
        <w:t>填写最小画像：学历、专业、毕业年份、现居/目标城市、近期目标。</w:t>
      </w:r>
    </w:p>
    <w:p>
      <w:pPr>
        <w:numPr>
          <w:ilvl w:val="0"/>
          <w:numId w:val="12"/>
        </w:numPr>
        <w:spacing w:after="120"/>
      </w:pPr>
      <w:r>
        <w:rPr>
          <w:rFonts w:ascii="Calibri" w:hAnsi="Calibri" w:eastAsia="Noto Sans CJK SC"/>
          <w:color w:val="233242"/>
          <w:sz w:val="20"/>
        </w:rPr>
        <w:t>立即给出未来 90 天结果，而不是继续索取大量敏感字段。</w:t>
      </w:r>
    </w:p>
    <w:p>
      <w:pPr>
        <w:numPr>
          <w:ilvl w:val="0"/>
          <w:numId w:val="12"/>
        </w:numPr>
        <w:spacing w:after="120"/>
      </w:pPr>
      <w:r>
        <w:rPr>
          <w:rFonts w:ascii="Calibri" w:hAnsi="Calibri" w:eastAsia="Noto Sans CJK SC"/>
          <w:color w:val="233242"/>
          <w:sz w:val="20"/>
        </w:rPr>
        <w:t>优先展示 3 个值得行动的机会，同时说明符合、缺失和风险项。</w:t>
      </w:r>
    </w:p>
    <w:p>
      <w:pPr>
        <w:numPr>
          <w:ilvl w:val="0"/>
          <w:numId w:val="12"/>
        </w:numPr>
        <w:spacing w:after="120"/>
      </w:pPr>
      <w:r>
        <w:rPr>
          <w:rFonts w:ascii="Calibri" w:hAnsi="Calibri" w:eastAsia="Noto Sans CJK SC"/>
          <w:color w:val="233242"/>
          <w:sz w:val="20"/>
        </w:rPr>
        <w:t>遇到具体规则时再渐进询问户籍、年龄、政治面貌、证书或经历；允许跳过。</w:t>
      </w:r>
    </w:p>
    <w:p>
      <w:pPr>
        <w:pStyle w:val="Heading2"/>
      </w:pPr>
      <w:r>
        <w:t>11.2 机会卡必须回答五个问题</w:t>
      </w:r>
    </w:p>
    <w:p>
      <w:pPr>
        <w:numPr>
          <w:ilvl w:val="0"/>
          <w:numId w:val="10"/>
        </w:numPr>
        <w:spacing w:after="100"/>
      </w:pPr>
      <w:r>
        <w:rPr>
          <w:rFonts w:ascii="Calibri" w:hAnsi="Calibri" w:eastAsia="Noto Sans CJK SC"/>
          <w:color w:val="233242"/>
          <w:sz w:val="20"/>
        </w:rPr>
        <w:t>这是什么机会，官方发布者是谁？</w:t>
      </w:r>
    </w:p>
    <w:p>
      <w:pPr>
        <w:numPr>
          <w:ilvl w:val="0"/>
          <w:numId w:val="10"/>
        </w:numPr>
        <w:spacing w:after="100"/>
      </w:pPr>
      <w:r>
        <w:rPr>
          <w:rFonts w:ascii="Calibri" w:hAnsi="Calibri" w:eastAsia="Noto Sans CJK SC"/>
          <w:color w:val="233242"/>
          <w:sz w:val="20"/>
        </w:rPr>
        <w:t>我为什么可能符合，哪条条件尚不确定？</w:t>
      </w:r>
    </w:p>
    <w:p>
      <w:pPr>
        <w:numPr>
          <w:ilvl w:val="0"/>
          <w:numId w:val="10"/>
        </w:numPr>
        <w:spacing w:after="100"/>
      </w:pPr>
      <w:r>
        <w:rPr>
          <w:rFonts w:ascii="Calibri" w:hAnsi="Calibri" w:eastAsia="Noto Sans CJK SC"/>
          <w:color w:val="233242"/>
          <w:sz w:val="20"/>
        </w:rPr>
        <w:t>为什么现在值得处理，截止或变化是什么？</w:t>
      </w:r>
    </w:p>
    <w:p>
      <w:pPr>
        <w:numPr>
          <w:ilvl w:val="0"/>
          <w:numId w:val="10"/>
        </w:numPr>
        <w:spacing w:after="100"/>
      </w:pPr>
      <w:r>
        <w:rPr>
          <w:rFonts w:ascii="Calibri" w:hAnsi="Calibri" w:eastAsia="Noto Sans CJK SC"/>
          <w:color w:val="233242"/>
          <w:sz w:val="20"/>
        </w:rPr>
        <w:t>下一步具体做什么，官方入口在哪里？</w:t>
      </w:r>
    </w:p>
    <w:p>
      <w:pPr>
        <w:numPr>
          <w:ilvl w:val="0"/>
          <w:numId w:val="10"/>
        </w:numPr>
        <w:spacing w:after="100"/>
      </w:pPr>
      <w:r>
        <w:rPr>
          <w:rFonts w:ascii="Calibri" w:hAnsi="Calibri" w:eastAsia="Noto Sans CJK SC"/>
          <w:color w:val="233242"/>
          <w:sz w:val="20"/>
        </w:rPr>
        <w:t>如果判断有误，我如何一键纠错并看到处理状态？</w:t>
      </w:r>
    </w:p>
    <w:p>
      <w:pPr>
        <w:pStyle w:val="Heading2"/>
      </w:pPr>
      <w:r>
        <w:t>11.3 首版必须有 / 坚决不做</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4680"/>
        <w:gridCol w:w="4680"/>
      </w:tblGrid>
      <w:tr>
        <w:trPr>
          <w:cantSplit/>
          <w:tblHeader w:val="true"/>
        </w:trPr>
        <w:tc>
          <w:tcPr>
            <w:tcW w:type="dxa" w:w="468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必须有</w:t>
            </w:r>
          </w:p>
        </w:tc>
        <w:tc>
          <w:tcPr>
            <w:tcW w:type="dxa" w:w="468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首版不做</w:t>
            </w:r>
          </w:p>
        </w:tc>
      </w:tr>
      <w:tr>
        <w:trPr>
          <w:cantSplit/>
        </w:trPr>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官方源注册与健康监控</w:t>
            </w:r>
          </w:p>
        </w:tc>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题库、课程、直播课</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HTML/PDF/Excel 统一解析</w:t>
            </w:r>
          </w:p>
        </w:tc>
        <w:tc>
          <w:tcPr>
            <w:tcW w:type="dxa" w:w="468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普通民企全量职位库</w:t>
            </w:r>
          </w:p>
        </w:tc>
      </w:tr>
      <w:tr>
        <w:trPr>
          <w:cantSplit/>
        </w:trPr>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Opportunity 实体、版本与变化</w:t>
            </w:r>
          </w:p>
        </w:tc>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AI 替用户决定人生的聊天机器人</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硬资格规则、四态与证据链</w:t>
            </w:r>
          </w:p>
        </w:tc>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代报名、代投递和账号托管</w:t>
            </w:r>
          </w:p>
        </w:tc>
      </w:tr>
      <w:tr>
        <w:trPr>
          <w:cantSplit/>
        </w:trPr>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最小画像与渐进补充</w:t>
            </w:r>
          </w:p>
        </w:tc>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社区信息流和泛内容消费</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新机会、截止与重大变化提醒</w:t>
            </w:r>
          </w:p>
        </w:tc>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复杂简历制作与面试训练</w:t>
            </w:r>
          </w:p>
        </w:tc>
      </w:tr>
      <w:tr>
        <w:trPr>
          <w:cantSplit/>
        </w:trPr>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官方跳转、材料清单与行动计划</w:t>
            </w:r>
          </w:p>
        </w:tc>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广告驱动的流量模式</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人工审核、一键纠错与审计</w:t>
            </w:r>
          </w:p>
        </w:tc>
        <w:tc>
          <w:tcPr>
            <w:tcW w:type="dxa" w:w="468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未标记的商业置顶</w:t>
            </w:r>
          </w:p>
        </w:tc>
      </w:tr>
    </w:tbl>
    <w:p>
      <w:pPr>
        <w:pStyle w:val="Heading1"/>
        <w:pageBreakBefore/>
      </w:pPr>
      <w:r>
        <w:t>12  质量、指标、实验和发布门</w:t>
      </w:r>
    </w:p>
    <w:p>
      <w:pPr>
        <w:pStyle w:val="Heading2"/>
      </w:pPr>
      <w:r>
        <w:t>12.1 北极星与指标树</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北极星指标</w:t>
            </w:r>
          </w:p>
          <w:p>
            <w:pPr>
              <w:spacing w:after="0"/>
            </w:pPr>
            <w:r>
              <w:rPr>
                <w:rFonts w:ascii="Calibri" w:hAnsi="Calibri" w:eastAsia="Noto Sans CJK SC"/>
                <w:color w:val="233242"/>
                <w:sz w:val="20"/>
              </w:rPr>
              <w:t>每周完成至少一次高意图机会动作的验证用户数（Weekly Verified Opportunity Action Users）。高意图动作包括打开官方报名页、加入日历、保存材料计划、标记已报名/已申请。</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200"/>
        <w:gridCol w:w="3600"/>
        <w:gridCol w:w="2000"/>
        <w:gridCol w:w="2560"/>
      </w:tblGrid>
      <w:tr>
        <w:trPr>
          <w:cantSplit/>
          <w:tblHeader w:val="true"/>
        </w:trPr>
        <w:tc>
          <w:tcPr>
            <w:tcW w:type="dxa" w:w="1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层</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指标</w:t>
            </w:r>
          </w:p>
        </w:tc>
        <w:tc>
          <w:tcPr>
            <w:tcW w:type="dxa" w:w="20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MVP 进入线</w:t>
            </w:r>
          </w:p>
        </w:tc>
        <w:tc>
          <w:tcPr>
            <w:tcW w:type="dxa" w:w="25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扩张线</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数据</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关键字段抽取准确率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≥97%</w:t>
            </w:r>
          </w:p>
        </w:tc>
        <w:tc>
          <w:tcPr>
            <w:tcW w:type="dxa" w:w="2560"/>
            <w:tcMar>
              <w:top w:w="100" w:type="dxa"/>
              <w:start w:w="120" w:type="dxa"/>
              <w:bottom w:w="100" w:type="dxa"/>
              <w:end w:w="120" w:type="dxa"/>
            </w:tcMar>
            <w:vAlign w:val="center"/>
          </w:tcPr>
          <w:p>
            <w:pPr>
              <w:spacing w:after="0"/>
            </w:pPr>
            <w:r>
              <w:rPr>
                <w:rFonts w:ascii="Calibri" w:hAnsi="Calibri" w:eastAsia="Noto Sans CJK SC"/>
                <w:b w:val="0"/>
                <w:color w:val="233242"/>
                <w:sz w:val="15"/>
              </w:rPr>
              <w:t>持续稳定且无高风险回退</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数据</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目标源新机会发现覆盖率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≥95%</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浙江连续 8 周达标</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变化</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高影响变更识别</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≥95%</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漏检 ≤1%</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资格</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错误 INELIGIBLE 误杀率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≤0.5%</w:t>
            </w:r>
          </w:p>
        </w:tc>
        <w:tc>
          <w:tcPr>
            <w:tcW w:type="dxa" w:w="25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持续 ≤0.5%，严重错误为零容忍复盘</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证据</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硬结论可追溯率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100%</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100%</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体验</w:t>
            </w:r>
          </w:p>
        </w:tc>
        <w:tc>
          <w:tcPr>
            <w:tcW w:type="dxa" w:w="3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最小画像完成率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≥60%</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稳定且不靠强迫字段</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价值</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5"/>
              </w:rPr>
              <w:t>7 天未知可申请机会发现率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≥30% 形成信号</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≥50% 才扩区域</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行动</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活跃用户周高意图动作率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≥15%</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持续提升并按人群分层</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提醒</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高影响提醒打开率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≥35%</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同时控制关闭和投诉</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运营</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100 源 14 天无需日常人工维护</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≥90%</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才能批量扩源</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商业</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真实付费或高校续约</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完成价格实验</w:t>
            </w:r>
          </w:p>
        </w:tc>
        <w:tc>
          <w:tcPr>
            <w:tcW w:type="dxa" w:w="2560"/>
            <w:tcMar>
              <w:top w:w="100" w:type="dxa"/>
              <w:start w:w="120" w:type="dxa"/>
              <w:bottom w:w="100" w:type="dxa"/>
              <w:end w:w="120" w:type="dxa"/>
            </w:tcMar>
            <w:vAlign w:val="center"/>
          </w:tcPr>
          <w:p>
            <w:pPr>
              <w:spacing w:after="0"/>
            </w:pPr>
            <w:r>
              <w:rPr>
                <w:rFonts w:ascii="Calibri" w:hAnsi="Calibri" w:eastAsia="Noto Sans CJK SC"/>
                <w:b w:val="0"/>
                <w:color w:val="233242"/>
                <w:sz w:val="15"/>
              </w:rPr>
              <w:t>B2C 真实付费 ≥3% 或高校续约</w:t>
            </w:r>
          </w:p>
        </w:tc>
      </w:tr>
    </w:tbl>
    <w:p>
      <w:pPr>
        <w:pStyle w:val="Heading2"/>
      </w:pPr>
      <w:r>
        <w:t>12.2 五道发布门</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200"/>
        <w:gridCol w:w="4800"/>
        <w:gridCol w:w="3360"/>
      </w:tblGrid>
      <w:tr>
        <w:trPr>
          <w:cantSplit/>
          <w:tblHeader w:val="true"/>
        </w:trPr>
        <w:tc>
          <w:tcPr>
            <w:tcW w:type="dxa" w:w="1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Gate</w:t>
            </w:r>
          </w:p>
        </w:tc>
        <w:tc>
          <w:tcPr>
            <w:tcW w:type="dxa" w:w="4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必须回答</w:t>
            </w:r>
          </w:p>
        </w:tc>
        <w:tc>
          <w:tcPr>
            <w:tcW w:type="dxa" w:w="33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不过门的处理</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A 数据可信</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原文留存、归并、关键字段和源健康是否稳定？</w:t>
            </w:r>
          </w:p>
        </w:tc>
        <w:tc>
          <w:tcPr>
            <w:tcW w:type="dxa" w:w="33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不扩源、不做全国覆盖</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B 资格可信</w:t>
            </w:r>
          </w:p>
        </w:tc>
        <w:tc>
          <w:tcPr>
            <w:tcW w:type="dxa" w:w="4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是否存在不可接受的错误否定或证据缺失？</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不强推、不收费，继续规则回归</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C 模拟稳健</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100 画像和边界场景是否无系统性偏差？</w:t>
            </w:r>
          </w:p>
        </w:tc>
        <w:tc>
          <w:tcPr>
            <w:tcW w:type="dxa" w:w="33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不进入扩大真人样本</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D 真人行动</w:t>
            </w:r>
          </w:p>
        </w:tc>
        <w:tc>
          <w:tcPr>
            <w:tcW w:type="dxa" w:w="4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用户是否发现未知机会并采取高意图动作？</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重做价值呈现与机会范围</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E 商业/扩张</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用户是否为持续判断与监控真实付费？</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不靠公告付费墙或营销放大</w:t>
            </w:r>
          </w:p>
        </w:tc>
      </w:tr>
    </w:tbl>
    <w:p>
      <w:pPr>
        <w:pStyle w:val="Heading2"/>
      </w:pPr>
      <w:r>
        <w:t>12.3 评估必须可复现</w:t>
      </w:r>
    </w:p>
    <w:p>
      <w:pPr>
        <w:numPr>
          <w:ilvl w:val="0"/>
          <w:numId w:val="10"/>
        </w:numPr>
        <w:spacing w:after="100"/>
      </w:pPr>
      <w:r>
        <w:rPr>
          <w:rFonts w:ascii="Calibri" w:hAnsi="Calibri" w:eastAsia="Noto Sans CJK SC"/>
          <w:color w:val="233242"/>
          <w:sz w:val="20"/>
        </w:rPr>
        <w:t>每次评估记录数据集版本、机会快照、画像版本、规则版本、Prompt、模型与解析器。</w:t>
      </w:r>
    </w:p>
    <w:p>
      <w:pPr>
        <w:numPr>
          <w:ilvl w:val="0"/>
          <w:numId w:val="10"/>
        </w:numPr>
        <w:spacing w:after="100"/>
      </w:pPr>
      <w:r>
        <w:rPr>
          <w:rFonts w:ascii="Calibri" w:hAnsi="Calibri" w:eastAsia="Noto Sans CJK SC"/>
          <w:color w:val="233242"/>
          <w:sz w:val="20"/>
        </w:rPr>
        <w:t>新版本先跑组件评估，再跑端到端回放，最后才进真人影子流量。</w:t>
      </w:r>
    </w:p>
    <w:p>
      <w:pPr>
        <w:numPr>
          <w:ilvl w:val="0"/>
          <w:numId w:val="10"/>
        </w:numPr>
        <w:spacing w:after="100"/>
      </w:pPr>
      <w:r>
        <w:rPr>
          <w:rFonts w:ascii="Calibri" w:hAnsi="Calibri" w:eastAsia="Noto Sans CJK SC"/>
          <w:color w:val="233242"/>
          <w:sz w:val="20"/>
        </w:rPr>
        <w:t>任何高影响退化都阻止发布；平均分提升不能抵消关键人群误杀。</w:t>
      </w:r>
    </w:p>
    <w:p>
      <w:pPr>
        <w:numPr>
          <w:ilvl w:val="0"/>
          <w:numId w:val="10"/>
        </w:numPr>
        <w:spacing w:after="100"/>
      </w:pPr>
      <w:r>
        <w:rPr>
          <w:rFonts w:ascii="Calibri" w:hAnsi="Calibri" w:eastAsia="Noto Sans CJK SC"/>
          <w:color w:val="233242"/>
          <w:sz w:val="20"/>
        </w:rPr>
        <w:t>看总体指标之外，必须按人生阶段、专业大类、地域和信息资源分层检查。</w:t>
      </w:r>
    </w:p>
    <w:p>
      <w:pPr>
        <w:pStyle w:val="Heading1"/>
        <w:pageBreakBefore/>
      </w:pPr>
      <w:r>
        <w:t>13  十二周路线图、团队与运营机制</w:t>
      </w:r>
    </w:p>
    <w:p>
      <w:pPr>
        <w:pStyle w:val="Heading2"/>
      </w:pPr>
      <w:r>
        <w:t>13.1 双轨十二周</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150"/>
        <w:gridCol w:w="2800"/>
        <w:gridCol w:w="2800"/>
        <w:gridCol w:w="2610"/>
      </w:tblGrid>
      <w:tr>
        <w:trPr>
          <w:cantSplit/>
          <w:tblHeader w:val="true"/>
        </w:trPr>
        <w:tc>
          <w:tcPr>
            <w:tcW w:type="dxa" w:w="11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周期</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系统/数据轨</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用户/实验轨</w:t>
            </w:r>
          </w:p>
        </w:tc>
        <w:tc>
          <w:tcPr>
            <w:tcW w:type="dxa" w:w="261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验收</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W1–2</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Source Registry、Schema、原始证据、20 母画像</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招募 20–30 名设计伙伴，完成基线访谈</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10 源稳定采集；最小画像可用</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W3–4</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多格式解析、200 Gold 机会、100 模拟画像</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机会体检纸面/薄界面测试</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关键字段初版；画像覆盖审计</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W5–6</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LLM 抽取、Rule DSL、资格四态、评估框架</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用户核验资格解释与纠错流程</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误杀接近门槛；所有结论有证据</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W7</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Resolver、Version、Change Detection</w:t>
            </w:r>
          </w:p>
        </w:tc>
        <w:tc>
          <w:tcPr>
            <w:tcW w:type="dxa" w:w="2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变化提醒案例回放</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附件、更正和延期可归并</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W8</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UserState、Match、Priority、模拟反事实</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50–100 人连续试用启动</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排序逻辑稳定，差异可解释</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W9–10</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小程序/H5、计划、提醒、研究/审核后台</w:t>
            </w:r>
          </w:p>
        </w:tc>
        <w:tc>
          <w:tcPr>
            <w:tcW w:type="dxa" w:w="2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持续记录行动与反馈</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端到端旅程与提醒可审计</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W11</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100–300 高价值源、性能与安全</w:t>
            </w:r>
          </w:p>
        </w:tc>
        <w:tc>
          <w:tcPr>
            <w:tcW w:type="dxa" w:w="28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高校社群定向扩样</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源覆盖、延迟与维护率过门</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W12</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版本冻结、回归、Go/No-Go 数据包</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200–500 人封闭 Beta 与价格实验</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未知机会、资格、行动三项同时判断</w:t>
            </w:r>
          </w:p>
        </w:tc>
      </w:tr>
    </w:tbl>
    <w:p>
      <w:pPr>
        <w:pStyle w:val="Heading2"/>
      </w:pPr>
      <w:r>
        <w:t>13.2 最小团队</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1500"/>
        <w:gridCol w:w="57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角色</w:t>
            </w:r>
          </w:p>
        </w:tc>
        <w:tc>
          <w:tcPr>
            <w:tcW w:type="dxa" w:w="1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建议投入</w:t>
            </w:r>
          </w:p>
        </w:tc>
        <w:tc>
          <w:tcPr>
            <w:tcW w:type="dxa" w:w="57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核心责任</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Noto Sans CJK SC"/>
                <w:b/>
                <w:color w:val="233242"/>
                <w:sz w:val="16"/>
              </w:rPr>
              <w:t>Founder / 产品架构</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机会定义、边界、用户研究、Gate 决策</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后端/数据工程</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1–2</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采集、数据模型、规则、API、审计</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前端/小程序</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体检、今日行动、详情、反馈与分享</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AI/评估</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0.5–1</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抽取、模型路由、模拟画像、评估体系</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数据运营/审核</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源管理、Gold 标注、纠错裁决与 SLA</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用户研究/校园运营</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0.5–1</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种子招募、访谈、实验和渠道</w:t>
            </w:r>
          </w:p>
        </w:tc>
      </w:tr>
    </w:tbl>
    <w:p>
      <w:pPr>
        <w:pStyle w:val="Heading2"/>
      </w:pPr>
      <w:r>
        <w:t>13.3 运营节奏</w:t>
      </w:r>
    </w:p>
    <w:p>
      <w:pPr>
        <w:numPr>
          <w:ilvl w:val="0"/>
          <w:numId w:val="10"/>
        </w:numPr>
        <w:spacing w:after="100"/>
      </w:pPr>
      <w:r>
        <w:rPr>
          <w:rFonts w:ascii="Calibri" w:hAnsi="Calibri" w:eastAsia="Noto Sans CJK SC"/>
          <w:color w:val="233242"/>
          <w:sz w:val="20"/>
        </w:rPr>
        <w:t>每日：源健康、高影响错误、截止提醒失败和审核队列巡检。</w:t>
      </w:r>
    </w:p>
    <w:p>
      <w:pPr>
        <w:numPr>
          <w:ilvl w:val="0"/>
          <w:numId w:val="10"/>
        </w:numPr>
        <w:spacing w:after="100"/>
      </w:pPr>
      <w:r>
        <w:rPr>
          <w:rFonts w:ascii="Calibri" w:hAnsi="Calibri" w:eastAsia="Noto Sans CJK SC"/>
          <w:color w:val="233242"/>
          <w:sz w:val="20"/>
        </w:rPr>
        <w:t>每周：Gold 样本扩充、模拟回放、真人漏斗、错误分类与版本复盘。</w:t>
      </w:r>
    </w:p>
    <w:p>
      <w:pPr>
        <w:numPr>
          <w:ilvl w:val="0"/>
          <w:numId w:val="10"/>
        </w:numPr>
        <w:spacing w:after="100"/>
      </w:pPr>
      <w:r>
        <w:rPr>
          <w:rFonts w:ascii="Calibri" w:hAnsi="Calibri" w:eastAsia="Noto Sans CJK SC"/>
          <w:color w:val="233242"/>
          <w:sz w:val="20"/>
        </w:rPr>
        <w:t>每两周：只允许一个经 Gate 审批的策略版本进入真人流量，避免多变量混淆。</w:t>
      </w:r>
    </w:p>
    <w:p>
      <w:pPr>
        <w:numPr>
          <w:ilvl w:val="0"/>
          <w:numId w:val="10"/>
        </w:numPr>
        <w:spacing w:after="100"/>
      </w:pPr>
      <w:r>
        <w:rPr>
          <w:rFonts w:ascii="Calibri" w:hAnsi="Calibri" w:eastAsia="Noto Sans CJK SC"/>
          <w:color w:val="233242"/>
          <w:sz w:val="20"/>
        </w:rPr>
        <w:t>每月：用户分层价值、规则覆盖、提醒噪声、隐私请求与成本审计；公测发布门前按需引入安全与法律顾问。</w:t>
      </w:r>
    </w:p>
    <w:p>
      <w:pPr>
        <w:pStyle w:val="Heading1"/>
        <w:pageBreakBefore/>
      </w:pPr>
      <w:r>
        <w:t>14  商业化、风险与最终 Go / No-Go</w:t>
      </w:r>
    </w:p>
    <w:p>
      <w:pPr>
        <w:pStyle w:val="Heading2"/>
      </w:pPr>
      <w:r>
        <w:t>14.1 商业化原则</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收费边界</w:t>
            </w:r>
          </w:p>
          <w:p>
            <w:pPr>
              <w:spacing w:after="0"/>
            </w:pPr>
            <w:r>
              <w:rPr>
                <w:rFonts w:ascii="Calibri" w:hAnsi="Calibri" w:eastAsia="Noto Sans CJK SC"/>
                <w:color w:val="233242"/>
                <w:sz w:val="20"/>
              </w:rPr>
              <w:t>官方信息免费，个性化计算与持续监控收费。不能把公开公告本身锁进付费墙；Pro 的价值来自资格逐条判断、重大变化、实时提醒、机会比较、材料与行动计划。</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4500"/>
        <w:gridCol w:w="30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阶段</w:t>
            </w:r>
          </w:p>
        </w:tc>
        <w:tc>
          <w:tcPr>
            <w:tcW w:type="dxa" w:w="4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商业实验</w:t>
            </w:r>
          </w:p>
        </w:tc>
        <w:tc>
          <w:tcPr>
            <w:tcW w:type="dxa" w:w="30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现在是否做</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B2C 验证</w:t>
            </w:r>
          </w:p>
        </w:tc>
        <w:tc>
          <w:tcPr>
            <w:tcW w:type="dxa" w:w="4500"/>
            <w:tcMar>
              <w:top w:w="100" w:type="dxa"/>
              <w:start w:w="120" w:type="dxa"/>
              <w:bottom w:w="100" w:type="dxa"/>
              <w:end w:w="120" w:type="dxa"/>
            </w:tcMar>
            <w:vAlign w:val="center"/>
          </w:tcPr>
          <w:p>
            <w:pPr>
              <w:spacing w:after="0"/>
            </w:pPr>
            <w:r>
              <w:rPr>
                <w:rFonts w:ascii="Calibri" w:hAnsi="Calibri" w:eastAsia="Noto Sans CJK SC"/>
                <w:b w:val="0"/>
                <w:color w:val="233242"/>
                <w:sz w:val="17"/>
              </w:rPr>
              <w:t>月/季/年不同周期的真实支付</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做，但只在资格可信后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高校 B2B2C</w:t>
            </w:r>
          </w:p>
        </w:tc>
        <w:tc>
          <w:tcPr>
            <w:tcW w:type="dxa" w:w="4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机会覆盖、政策触达、匿名行动分析</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小规模渠道验证，不依赖其做 MVP 现金流</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API/数据服务</w:t>
            </w:r>
          </w:p>
        </w:tc>
        <w:tc>
          <w:tcPr>
            <w:tcW w:type="dxa" w:w="4500"/>
            <w:tcMar>
              <w:top w:w="100" w:type="dxa"/>
              <w:start w:w="120" w:type="dxa"/>
              <w:bottom w:w="100" w:type="dxa"/>
              <w:end w:w="120" w:type="dxa"/>
            </w:tcMar>
            <w:vAlign w:val="center"/>
          </w:tcPr>
          <w:p>
            <w:pPr>
              <w:spacing w:after="0"/>
            </w:pPr>
            <w:r>
              <w:rPr>
                <w:rFonts w:ascii="Calibri" w:hAnsi="Calibri" w:eastAsia="Noto Sans CJK SC"/>
                <w:b w:val="0"/>
                <w:color w:val="233242"/>
                <w:sz w:val="17"/>
              </w:rPr>
              <w:t>结构化机会、变化流、规则能力</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产品资产成熟后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培训佣金</w:t>
            </w:r>
          </w:p>
        </w:tc>
        <w:tc>
          <w:tcPr>
            <w:tcW w:type="dxa" w:w="4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课程、题库、机构导流</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首阶段不做，避免中立性冲突</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雇主置顶</w:t>
            </w:r>
          </w:p>
        </w:tc>
        <w:tc>
          <w:tcPr>
            <w:tcW w:type="dxa" w:w="4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赞助机会展示</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7"/>
              </w:rPr>
              <w:t>首阶段不做；未来必须与自然排序隔离</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广告流量</w:t>
            </w:r>
          </w:p>
        </w:tc>
        <w:tc>
          <w:tcPr>
            <w:tcW w:type="dxa" w:w="4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按浏览量变现</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不做，与减少认知负担相冲突</w:t>
            </w:r>
          </w:p>
        </w:tc>
      </w:tr>
    </w:tbl>
    <w:p>
      <w:pPr>
        <w:pStyle w:val="Heading2"/>
      </w:pPr>
      <w:r>
        <w:t>14.2 十个主要风险</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2600"/>
        <w:gridCol w:w="48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风险</w:t>
            </w:r>
          </w:p>
        </w:tc>
        <w:tc>
          <w:tcPr>
            <w:tcW w:type="dxa" w:w="2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最坏后果</w:t>
            </w:r>
          </w:p>
        </w:tc>
        <w:tc>
          <w:tcPr>
            <w:tcW w:type="dxa" w:w="4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控制</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资格误杀</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用户错过窗口</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四态、证据链、规则裁决、严重错误复盘</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漏抓/漏变更</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信任崩塌</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源健康、多源发现、变更 SLO</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模拟偏差</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错误自信</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分层设计、人工真值、真人并行</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反馈污染</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规则和排序变坏</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候选证据、权限、人工裁决、离线发布</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模型漂移</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同一公告结论变化</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Gateway、版本锁定、回归和影子运行</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过度提醒</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用户关闭通知</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高影响即时、低影响摘要、用户可控</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隐私过收集</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合规与品牌风险</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最小画像、渐进询问、删除和导出</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商业冲突</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用户怀疑排序</w:t>
            </w:r>
          </w:p>
        </w:tc>
        <w:tc>
          <w:tcPr>
            <w:tcW w:type="dxa" w:w="48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自然排序与赞助防火墙</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范围蔓延</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6"/>
              </w:rPr>
              <w:t>退化为万能就业 App</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首版不做清单与 Gate</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营销过度</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承诺与真实能力失配</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不宣称官方、不承诺必报/必上岸</w:t>
            </w:r>
          </w:p>
        </w:tc>
      </w:tr>
    </w:tbl>
    <w:p>
      <w:pPr>
        <w:pStyle w:val="Heading2"/>
      </w:pPr>
      <w:r>
        <w:t>14.3 合规设计基线</w:t>
      </w:r>
    </w:p>
    <w:p>
      <w:pPr>
        <w:keepLines w:val="0"/>
        <w:spacing w:after="120" w:line="278" w:lineRule="auto"/>
        <w:jc w:val="left"/>
      </w:pPr>
      <w:r>
        <w:rPr>
          <w:rFonts w:ascii="Calibri" w:hAnsi="Calibri" w:eastAsia="Noto Sans CJK SC"/>
          <w:color w:val="233242"/>
          <w:sz w:val="21"/>
        </w:rPr>
        <w:t>本蓝图不是法律意见。产品公测前，应由合格法律顾问结合主体、用户规模、具体功能和上线地区确认适用义务。工程上从第一天预留以下能力：画像最小化和目的限定、查看/更正/删除/注销、个性化推荐开关与解释、AI 生成内容标识、日志与审计、公开源合理采集、官方回链、权限隔离和备份恢复。</w:t>
      </w:r>
    </w:p>
    <w:p>
      <w:pPr>
        <w:spacing w:after="60"/>
      </w:pPr>
      <w:r>
        <w:rPr>
          <w:rFonts w:ascii="Calibri" w:hAnsi="Calibri" w:eastAsia="Noto Sans CJK SC"/>
          <w:b/>
          <w:color w:val="102A43"/>
          <w:sz w:val="18"/>
        </w:rPr>
        <w:t>官方参考：</w:t>
      </w:r>
      <w:hyperlink r:id="rId14">
        <w:r>
          <w:rPr>
            <w:rFonts w:ascii="Calibri" w:hAnsi="Calibri" w:eastAsia="Noto Sans CJK SC"/>
            <w:color w:val="18B7A0"/>
            <w:u w:val="single"/>
          </w:rPr>
          <w:t>《中华人民共和国个人信息保护法》</w:t>
        </w:r>
      </w:hyperlink>
      <w:r>
        <w:t>；</w:t>
      </w:r>
      <w:hyperlink r:id="rId15">
        <w:r>
          <w:rPr>
            <w:rFonts w:ascii="Calibri" w:hAnsi="Calibri" w:eastAsia="Noto Sans CJK SC"/>
            <w:color w:val="18B7A0"/>
            <w:u w:val="single"/>
          </w:rPr>
          <w:t>《互联网信息服务算法推荐管理规定》</w:t>
        </w:r>
      </w:hyperlink>
      <w:r>
        <w:t>；</w:t>
      </w:r>
      <w:hyperlink r:id="rId16">
        <w:r>
          <w:rPr>
            <w:rFonts w:ascii="Calibri" w:hAnsi="Calibri" w:eastAsia="Noto Sans CJK SC"/>
            <w:color w:val="18B7A0"/>
            <w:u w:val="single"/>
          </w:rPr>
          <w:t>《生成式人工智能服务管理暂行办法》</w:t>
        </w:r>
      </w:hyperlink>
      <w:r>
        <w:t>；</w:t>
      </w:r>
      <w:hyperlink r:id="rId17">
        <w:r>
          <w:rPr>
            <w:rFonts w:ascii="Calibri" w:hAnsi="Calibri" w:eastAsia="Noto Sans CJK SC"/>
            <w:color w:val="18B7A0"/>
            <w:u w:val="single"/>
          </w:rPr>
          <w:t>《人工智能生成合成内容标识办法》</w:t>
        </w:r>
      </w:hyperlink>
    </w:p>
    <w:p>
      <w:pPr>
        <w:pStyle w:val="Heading2"/>
      </w:pPr>
      <w:r>
        <w:t>14.4 最终 Go / No-Go</w:t>
      </w:r>
    </w:p>
    <w:tbl>
      <w:tblPr>
        <w:tblW w:type="dxa" w:w="9360"/>
        <w:jc w:val="left"/>
        <w:tblLayout w:type="fixed"/>
        <w:tblLook w:firstColumn="1" w:firstRow="1" w:lastColumn="0" w:lastRow="0" w:noHBand="0" w:noVBand="1" w:val="04A0"/>
        <w:tblInd w:w="180" w:type="dxa"/>
        <w:tblBorders>
          <w:top w:val="single" w:sz="8" w:space="0" w:color="1B7F5B"/>
          <w:left w:val="single" w:sz="8" w:space="0" w:color="1B7F5B"/>
          <w:bottom w:val="single" w:sz="8" w:space="0" w:color="1B7F5B"/>
          <w:right w:val="single" w:sz="8" w:space="0" w:color="1B7F5B"/>
          <w:insideH w:val="single" w:sz="8" w:space="0" w:color="1B7F5B"/>
          <w:insideV w:val="single" w:sz="8" w:space="0" w:color="1B7F5B"/>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B7F5B"/>
                <w:sz w:val="21"/>
              </w:rPr>
              <w:t>GO</w:t>
            </w:r>
          </w:p>
          <w:p>
            <w:pPr>
              <w:spacing w:after="0"/>
            </w:pPr>
            <w:r>
              <w:rPr>
                <w:rFonts w:ascii="Calibri" w:hAnsi="Calibri" w:eastAsia="Noto Sans CJK SC"/>
                <w:color w:val="233242"/>
                <w:sz w:val="20"/>
              </w:rPr>
              <w:t>系统以极低误杀率持续发现用户原本不知道但确实可能有资格的机会；解释足够可信；用户因提醒和变化追踪完成真实行动。三者同时成立，才扩地域、机会类别、收费与高校合作。</w:t>
            </w:r>
          </w:p>
        </w:tc>
      </w:tr>
    </w:tbl>
    <w:p>
      <w:pPr>
        <w:spacing w:after="160"/>
      </w:pPr>
    </w:p>
    <w:tbl>
      <w:tblPr>
        <w:tblW w:type="dxa" w:w="9360"/>
        <w:jc w:val="left"/>
        <w:tblLayout w:type="fixed"/>
        <w:tblLook w:firstColumn="1" w:firstRow="1" w:lastColumn="0" w:lastRow="0" w:noHBand="0" w:noVBand="1" w:val="04A0"/>
        <w:tblInd w:w="180" w:type="dxa"/>
        <w:tblBorders>
          <w:top w:val="single" w:sz="8" w:space="0" w:color="A63D40"/>
          <w:left w:val="single" w:sz="8" w:space="0" w:color="A63D40"/>
          <w:bottom w:val="single" w:sz="8" w:space="0" w:color="A63D40"/>
          <w:right w:val="single" w:sz="8" w:space="0" w:color="A63D40"/>
          <w:insideH w:val="single" w:sz="8" w:space="0" w:color="A63D40"/>
          <w:insideV w:val="single" w:sz="8" w:space="0" w:color="A63D40"/>
        </w:tblBorders>
      </w:tblPr>
      <w:tblGrid>
        <w:gridCol w:w="9360"/>
      </w:tblGrid>
      <w:tr>
        <w:trPr>
          <w:tblHeader w:val="true"/>
        </w:trPr>
        <w:tc>
          <w:tcPr>
            <w:tcW w:type="dxa" w:w="9360"/>
            <w:shd w:fill="FCEDEE"/>
            <w:tcMar>
              <w:top w:w="150" w:type="dxa"/>
              <w:start w:w="180" w:type="dxa"/>
              <w:bottom w:w="150" w:type="dxa"/>
              <w:end w:w="180" w:type="dxa"/>
            </w:tcMar>
            <w:vAlign w:val="center"/>
          </w:tcPr>
          <w:p>
            <w:pPr>
              <w:spacing w:after="40"/>
            </w:pPr>
            <w:r>
              <w:rPr>
                <w:rFonts w:ascii="Calibri" w:hAnsi="Calibri" w:eastAsia="Noto Sans CJK SC"/>
                <w:b/>
                <w:color w:val="A63D40"/>
                <w:sz w:val="21"/>
              </w:rPr>
              <w:t>NO-GO / 继续打磨</w:t>
            </w:r>
          </w:p>
          <w:p>
            <w:pPr>
              <w:spacing w:after="0"/>
            </w:pPr>
            <w:r>
              <w:rPr>
                <w:rFonts w:ascii="Calibri" w:hAnsi="Calibri" w:eastAsia="Noto Sans CJK SC"/>
                <w:color w:val="233242"/>
                <w:sz w:val="20"/>
              </w:rPr>
              <w:t>如果用户主要把它当公告搜索，资格解释不敢依赖，或行动率长期不成立，就不要靠扩全国、加聊天、加课程、加普通职位和做大投放掩盖问题。</w:t>
            </w:r>
          </w:p>
        </w:tc>
      </w:tr>
    </w:tbl>
    <w:p>
      <w:pPr>
        <w:spacing w:after="160"/>
      </w:pPr>
    </w:p>
    <w:p>
      <w:pPr>
        <w:pStyle w:val="Heading1"/>
        <w:pageBreakBefore/>
      </w:pPr>
      <w:r>
        <w:t>15  未来十四天立即行动清单</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下一步不是开发完整 App</w:t>
            </w:r>
          </w:p>
          <w:p>
            <w:pPr>
              <w:spacing w:after="0"/>
            </w:pPr>
            <w:r>
              <w:rPr>
                <w:rFonts w:ascii="Calibri" w:hAnsi="Calibri" w:eastAsia="Noto Sans CJK SC"/>
                <w:color w:val="233242"/>
                <w:sz w:val="20"/>
              </w:rPr>
              <w:t>先完成可运行的“青年机会雷达实验室最小闭环”：200 个真实机会 Gold 样本、100 个版本化模拟画像、20–30 名真人设计伙伴、一个可回放的资格与排序评估框架，以及一条从官方原文到用户行动和反馈的薄链路。</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100"/>
        <w:gridCol w:w="2700"/>
        <w:gridCol w:w="3200"/>
        <w:gridCol w:w="2360"/>
      </w:tblGrid>
      <w:tr>
        <w:trPr>
          <w:cantSplit/>
          <w:tblHeader w:val="true"/>
        </w:trPr>
        <w:tc>
          <w:tcPr>
            <w:tcW w:type="dxa" w:w="1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时间</w:t>
            </w:r>
          </w:p>
        </w:tc>
        <w:tc>
          <w:tcPr>
            <w:tcW w:type="dxa" w:w="2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必须完成</w:t>
            </w:r>
          </w:p>
        </w:tc>
        <w:tc>
          <w:tcPr>
            <w:tcW w:type="dxa" w:w="3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产出</w:t>
            </w:r>
          </w:p>
        </w:tc>
        <w:tc>
          <w:tcPr>
            <w:tcW w:type="dxa" w:w="23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验收</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D1–2</w:t>
            </w:r>
          </w:p>
        </w:tc>
        <w:tc>
          <w:tcPr>
            <w:tcW w:type="dxa" w:w="2700"/>
            <w:tcMar>
              <w:top w:w="100" w:type="dxa"/>
              <w:start w:w="120" w:type="dxa"/>
              <w:bottom w:w="100" w:type="dxa"/>
              <w:end w:w="120" w:type="dxa"/>
            </w:tcMar>
            <w:vAlign w:val="center"/>
          </w:tcPr>
          <w:p>
            <w:pPr>
              <w:spacing w:after="0"/>
            </w:pPr>
            <w:r>
              <w:rPr>
                <w:rFonts w:ascii="Calibri" w:hAnsi="Calibri" w:eastAsia="Noto Sans CJK SC"/>
                <w:b w:val="0"/>
                <w:color w:val="233242"/>
                <w:sz w:val="15"/>
              </w:rPr>
              <w:t>锁定数据契约和实验假设</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 v0.1、UserState v0.1、FeedbackEvent v0.1</w:t>
            </w:r>
          </w:p>
        </w:tc>
        <w:tc>
          <w:tcPr>
            <w:tcW w:type="dxa" w:w="2360"/>
            <w:tcMar>
              <w:top w:w="100" w:type="dxa"/>
              <w:start w:w="120" w:type="dxa"/>
              <w:bottom w:w="100" w:type="dxa"/>
              <w:end w:w="120" w:type="dxa"/>
            </w:tcMar>
            <w:vAlign w:val="center"/>
          </w:tcPr>
          <w:p>
            <w:pPr>
              <w:spacing w:after="0"/>
            </w:pPr>
            <w:r>
              <w:rPr>
                <w:rFonts w:ascii="Calibri" w:hAnsi="Calibri" w:eastAsia="Noto Sans CJK SC"/>
                <w:b w:val="0"/>
                <w:color w:val="233242"/>
                <w:sz w:val="15"/>
              </w:rPr>
              <w:t>无未决字段；资格与偏好分离</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D3–5</w:t>
            </w:r>
          </w:p>
        </w:tc>
        <w:tc>
          <w:tcPr>
            <w:tcW w:type="dxa" w:w="27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建立首批 Gold 机会集</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 个跨格式真实机会与关键规则</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双人抽查；高影响字段有证据</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D3–6</w:t>
            </w:r>
          </w:p>
        </w:tc>
        <w:tc>
          <w:tcPr>
            <w:tcW w:type="dxa" w:w="2700"/>
            <w:tcMar>
              <w:top w:w="100" w:type="dxa"/>
              <w:start w:w="120" w:type="dxa"/>
              <w:bottom w:w="100" w:type="dxa"/>
              <w:end w:w="120" w:type="dxa"/>
            </w:tcMar>
            <w:vAlign w:val="center"/>
          </w:tcPr>
          <w:p>
            <w:pPr>
              <w:spacing w:after="0"/>
            </w:pPr>
            <w:r>
              <w:rPr>
                <w:rFonts w:ascii="Calibri" w:hAnsi="Calibri" w:eastAsia="Noto Sans CJK SC"/>
                <w:b w:val="0"/>
                <w:color w:val="233242"/>
                <w:sz w:val="15"/>
              </w:rPr>
              <w:t>设计 20 母画像并生成 100 画像</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画像卡、真值、must_find 和边界标签</w:t>
            </w:r>
          </w:p>
        </w:tc>
        <w:tc>
          <w:tcPr>
            <w:tcW w:type="dxa" w:w="23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分层覆盖审计通过</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D6–8</w:t>
            </w:r>
          </w:p>
        </w:tc>
        <w:tc>
          <w:tcPr>
            <w:tcW w:type="dxa" w:w="2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实现批量回放与评估</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资格、覆盖、排序、变化四类报告</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同一版本可重复得到相同结果</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D7–10</w:t>
            </w:r>
          </w:p>
        </w:tc>
        <w:tc>
          <w:tcPr>
            <w:tcW w:type="dxa" w:w="27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搭建薄用户旅程</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画像输入、3 个机会、解释、官方跳转、反馈</w:t>
            </w:r>
          </w:p>
        </w:tc>
        <w:tc>
          <w:tcPr>
            <w:tcW w:type="dxa" w:w="23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真人可完整走通</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D9–12</w:t>
            </w:r>
          </w:p>
        </w:tc>
        <w:tc>
          <w:tcPr>
            <w:tcW w:type="dxa" w:w="27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招募 20–30 名设计伙伴</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同意说明、基线问卷、首轮体检</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每人至少 3 个结构化反馈</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D13–14</w:t>
            </w:r>
          </w:p>
        </w:tc>
        <w:tc>
          <w:tcPr>
            <w:tcW w:type="dxa" w:w="27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完成第一次双轨复盘</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错误分类、版本差异、下个 Slice</w:t>
            </w:r>
          </w:p>
        </w:tc>
        <w:tc>
          <w:tcPr>
            <w:tcW w:type="dxa" w:w="2360"/>
            <w:tcMar>
              <w:top w:w="100" w:type="dxa"/>
              <w:start w:w="120" w:type="dxa"/>
              <w:bottom w:w="100" w:type="dxa"/>
              <w:end w:w="120" w:type="dxa"/>
            </w:tcMar>
            <w:vAlign w:val="center"/>
          </w:tcPr>
          <w:p>
            <w:pPr>
              <w:spacing w:after="0"/>
            </w:pPr>
            <w:r>
              <w:rPr>
                <w:rFonts w:ascii="Calibri" w:hAnsi="Calibri" w:eastAsia="Noto Sans CJK SC"/>
                <w:b w:val="0"/>
                <w:color w:val="233242"/>
                <w:sz w:val="15"/>
              </w:rPr>
              <w:t>只批准一个最关键改进方向</w:t>
            </w:r>
          </w:p>
        </w:tc>
      </w:tr>
    </w:tbl>
    <w:p>
      <w:pPr>
        <w:pStyle w:val="Heading2"/>
      </w:pPr>
      <w:r>
        <w:t>十四天后的唯一决策</w:t>
      </w:r>
    </w:p>
    <w:p>
      <w:pPr>
        <w:keepLines w:val="0"/>
        <w:spacing w:after="120" w:line="278" w:lineRule="auto"/>
        <w:jc w:val="left"/>
      </w:pPr>
      <w:r>
        <w:rPr>
          <w:rFonts w:ascii="Calibri" w:hAnsi="Calibri" w:eastAsia="Noto Sans CJK SC"/>
          <w:color w:val="233242"/>
          <w:sz w:val="21"/>
        </w:rPr>
        <w:t>不是判断页面是否足够漂亮，而是判断：我们能否稳定地把一份复杂机会转为带证据的规则，并在 100 个模拟画像与 20–30 名真人上给出合理、可解释且可纠错的结果。如果可以，进入十二周正式 MVP；如果不可以，继续打磨 Opportunity、Rule 与 Evidence，不扩大产品面。</w:t>
      </w:r>
    </w:p>
    <w:p>
      <w:pPr>
        <w:pStyle w:val="Heading1"/>
        <w:pageBreakBefore/>
      </w:pPr>
      <w:r>
        <w:t>附录 A  模拟青年画像卡模板</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72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模块</w:t>
            </w:r>
          </w:p>
        </w:tc>
        <w:tc>
          <w:tcPr>
            <w:tcW w:type="dxa" w:w="72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字段</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身份核心</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profile_id、人生阶段、学历、学校类型、专业名/代码、毕业年份</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地域</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户籍、现居、目标城市、可迁移半径、地域硬限制</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近期目标</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主目标、备选目标、90 天必须完成的决策</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硬条件</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年龄计算、应届身份、政治面貌、证书、经历、其他限制</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软偏好</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稳定、成长、收入、地域、组织类型、风险与时间偏好</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资源与约束</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信息资源、经济压力、家庭约束、可投入时间、材料准备度</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行为策略</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探索、核验、保存、拖延、忽略、行动概率的相对规则</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隐藏真值</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明确符合、不符合、待确认规则与证据</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期望集合</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must_find、should_find、must_not_reject、must_not_notify</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动态状态</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当前日期、机会事件、目标变化、最近动作与阶段迁移</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风险标签</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专业边界、跨附件冲突、日期边界、地域边界、信息资源弱</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版本</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persona_version、created_by、reviewed_by、change_note</w:t>
            </w:r>
          </w:p>
        </w:tc>
      </w:tr>
    </w:tbl>
    <w:p>
      <w:pPr>
        <w:pStyle w:val="Heading1"/>
        <w:pageBreakBefore/>
      </w:pPr>
      <w:r>
        <w:t>附录 B  反馈事件模板</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event_id / user_id / opportunity_id / match_snapshot_id</w:t>
              <w:br/>
              <w:t>event_type / claim_type / user_statement / structured_reason</w:t>
              <w:br/>
              <w:t>evidence_ref / external_confirmation / consent_scope</w:t>
              <w:br/>
              <w:t>confidence / risk_level / review_status / reviewer / adjudication</w:t>
              <w:br/>
              <w:t>created_at / resolved_at / resulting_asset / release_version</w:t>
            </w:r>
          </w:p>
        </w:tc>
      </w:tr>
    </w:tbl>
    <w:p>
      <w:pPr>
        <w:spacing w:after="8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3600"/>
        <w:gridCol w:w="36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review_status</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含义</w:t>
            </w:r>
          </w:p>
        </w:tc>
        <w:tc>
          <w:tcPr>
            <w:tcW w:type="dxa" w:w="3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后续</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RECEIVED</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原始反馈已接收</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不影响线上规则</w:t>
            </w:r>
          </w:p>
        </w:tc>
      </w:tr>
      <w:tr>
        <w:trPr>
          <w:cantSplit/>
        </w:trPr>
        <w:tc>
          <w:tcPr>
            <w:tcW w:type="dxa" w:w="2100"/>
            <w:shd w:fill="FAFBFC"/>
            <w:tcMar>
              <w:top w:w="100" w:type="dxa"/>
              <w:start w:w="120" w:type="dxa"/>
              <w:bottom w:w="100" w:type="dxa"/>
              <w:end w:w="120" w:type="dxa"/>
            </w:tcMar>
            <w:vAlign w:val="center"/>
          </w:tcPr>
          <w:p>
            <w:pPr>
              <w:spacing w:after="0"/>
            </w:pPr>
            <w:r>
              <w:rPr>
                <w:rFonts w:ascii="Calibri" w:hAnsi="Calibri" w:eastAsia="Noto Sans CJK SC"/>
                <w:b/>
                <w:color w:val="233242"/>
                <w:sz w:val="17"/>
              </w:rPr>
              <w:t>NEEDS_EVIDENCE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缺少官方定位或必要信息</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请求补充或运营核验</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CONFLICT</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7"/>
              </w:rPr>
              <w:t>与现有规则或其他证据冲突</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高优先级人工裁决</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CONFIRMED</w:t>
            </w:r>
          </w:p>
        </w:tc>
        <w:tc>
          <w:tcPr>
            <w:tcW w:type="dxa" w:w="3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证据支持反馈</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生成规则/数据修复候选</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REJECTED</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证据不足或判断错误</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保留审计但不进入标签</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RELEASED</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已通过评估并进入新版本</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关联 release_version</w:t>
            </w:r>
          </w:p>
        </w:tc>
      </w:tr>
    </w:tbl>
    <w:p>
      <w:pPr>
        <w:pStyle w:val="Heading1"/>
        <w:pageBreakBefore/>
      </w:pPr>
      <w:r>
        <w:t>附录 C  核心实验卡</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2100"/>
        <w:gridCol w:w="3200"/>
        <w:gridCol w:w="22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实验</w:t>
            </w:r>
          </w:p>
        </w:tc>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样本</w:t>
            </w:r>
          </w:p>
        </w:tc>
        <w:tc>
          <w:tcPr>
            <w:tcW w:type="dxa" w:w="3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主要指标</w:t>
            </w:r>
          </w:p>
        </w:tc>
        <w:tc>
          <w:tcPr>
            <w:tcW w:type="dxa" w:w="22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失败后动作</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未来 90 天未知机会发现</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100 名浙江目标用户</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≥50% 发现未知且愿意行动的机会（扩张线）</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重做源覆盖、人群或价值定义</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资格可信</w:t>
            </w:r>
          </w:p>
        </w:tc>
        <w:tc>
          <w:tcPr>
            <w:tcW w:type="dxa" w:w="2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200 Gold 机会 × 100 画像</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INELIGIBLE 误杀 ≤0.5%；硬结论证据 100%</w:t>
            </w:r>
          </w:p>
        </w:tc>
        <w:tc>
          <w:tcPr>
            <w:tcW w:type="dxa" w:w="2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停止强推，修复规则和证据</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100 源 14 天运营</w:t>
            </w:r>
          </w:p>
        </w:tc>
        <w:tc>
          <w:tcPr>
            <w:tcW w:type="dxa" w:w="21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100 个官方源</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≥90% 无需日常人工维护</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收敛源范围，改适配与健康系统</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变化追踪</w:t>
            </w:r>
          </w:p>
        </w:tc>
        <w:tc>
          <w:tcPr>
            <w:tcW w:type="dxa" w:w="2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公告 + 更正 + 延期案例</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高影响漏检逐步压到 ≤1%</w:t>
            </w:r>
          </w:p>
        </w:tc>
        <w:tc>
          <w:tcPr>
            <w:tcW w:type="dxa" w:w="2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重做 Resolver 与 Revision</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真人行动</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50–100 连续试用者</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周高意图动作率 ≥15%</w:t>
            </w:r>
          </w:p>
        </w:tc>
        <w:tc>
          <w:tcPr>
            <w:tcW w:type="dxa" w:w="22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重做优先级与行动设计</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真实付费</w:t>
            </w:r>
          </w:p>
        </w:tc>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已获得价值的激活用户</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付费理由来自判断/盯梢/行动；扩张线 ≥3%</w:t>
            </w:r>
          </w:p>
        </w:tc>
        <w:tc>
          <w:tcPr>
            <w:tcW w:type="dxa" w:w="22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不靠公告数量做付费墙</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高校渠道</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3 校/10 辅导员/20 群</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渠道注册转化与真实使用</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不把“愿意合作”当采购证据</w:t>
            </w:r>
          </w:p>
        </w:tc>
      </w:tr>
    </w:tbl>
    <w:p>
      <w:pPr>
        <w:pStyle w:val="Heading1"/>
        <w:pageBreakBefore/>
      </w:pPr>
      <w:r>
        <w:t>附录 D  Blueprint v1.0 验收清单</w:t>
      </w:r>
    </w:p>
    <w:p>
      <w:pPr>
        <w:numPr>
          <w:ilvl w:val="0"/>
          <w:numId w:val="10"/>
        </w:numPr>
        <w:spacing w:after="100"/>
      </w:pPr>
      <w:r>
        <w:rPr>
          <w:rFonts w:ascii="Calibri" w:hAnsi="Calibri" w:eastAsia="Noto Sans CJK SC"/>
          <w:color w:val="233242"/>
          <w:sz w:val="20"/>
        </w:rPr>
        <w:t>定位：所有团队成员能用一句话区分本系统与招聘平台、公考工具、AI 聊天助手。</w:t>
      </w:r>
    </w:p>
    <w:p>
      <w:pPr>
        <w:numPr>
          <w:ilvl w:val="0"/>
          <w:numId w:val="10"/>
        </w:numPr>
        <w:spacing w:after="100"/>
      </w:pPr>
      <w:r>
        <w:rPr>
          <w:rFonts w:ascii="Calibri" w:hAnsi="Calibri" w:eastAsia="Noto Sans CJK SC"/>
          <w:color w:val="233242"/>
          <w:sz w:val="20"/>
        </w:rPr>
        <w:t>边界：首版机会类别、地域、用户和明确不做事项已经锁定。</w:t>
      </w:r>
    </w:p>
    <w:p>
      <w:pPr>
        <w:numPr>
          <w:ilvl w:val="0"/>
          <w:numId w:val="10"/>
        </w:numPr>
        <w:spacing w:after="100"/>
      </w:pPr>
      <w:r>
        <w:rPr>
          <w:rFonts w:ascii="Calibri" w:hAnsi="Calibri" w:eastAsia="Noto Sans CJK SC"/>
          <w:color w:val="233242"/>
          <w:sz w:val="20"/>
        </w:rPr>
        <w:t>数据：Document 与 Opportunity 已分离；原始证据、版本和稳定 ID 有明确契约。</w:t>
      </w:r>
    </w:p>
    <w:p>
      <w:pPr>
        <w:numPr>
          <w:ilvl w:val="0"/>
          <w:numId w:val="10"/>
        </w:numPr>
        <w:spacing w:after="100"/>
      </w:pPr>
      <w:r>
        <w:rPr>
          <w:rFonts w:ascii="Calibri" w:hAnsi="Calibri" w:eastAsia="Noto Sans CJK SC"/>
          <w:color w:val="233242"/>
          <w:sz w:val="20"/>
        </w:rPr>
        <w:t>判断：资格与排序分离；INELIGIBLE 不由 LLM 单独产生。</w:t>
      </w:r>
    </w:p>
    <w:p>
      <w:pPr>
        <w:numPr>
          <w:ilvl w:val="0"/>
          <w:numId w:val="10"/>
        </w:numPr>
        <w:spacing w:after="100"/>
      </w:pPr>
      <w:r>
        <w:rPr>
          <w:rFonts w:ascii="Calibri" w:hAnsi="Calibri" w:eastAsia="Noto Sans CJK SC"/>
          <w:color w:val="233242"/>
          <w:sz w:val="20"/>
        </w:rPr>
        <w:t>验证：100 模拟画像和真人种子用户承担不同证据责任，且从早期并行。</w:t>
      </w:r>
    </w:p>
    <w:p>
      <w:pPr>
        <w:numPr>
          <w:ilvl w:val="0"/>
          <w:numId w:val="10"/>
        </w:numPr>
        <w:spacing w:after="100"/>
      </w:pPr>
      <w:r>
        <w:rPr>
          <w:rFonts w:ascii="Calibri" w:hAnsi="Calibri" w:eastAsia="Noto Sans CJK SC"/>
          <w:color w:val="233242"/>
          <w:sz w:val="20"/>
        </w:rPr>
        <w:t>反馈：用户回复先进入候选证据和审核，不直接在线改规则。</w:t>
      </w:r>
    </w:p>
    <w:p>
      <w:pPr>
        <w:numPr>
          <w:ilvl w:val="0"/>
          <w:numId w:val="10"/>
        </w:numPr>
        <w:spacing w:after="100"/>
      </w:pPr>
      <w:r>
        <w:rPr>
          <w:rFonts w:ascii="Calibri" w:hAnsi="Calibri" w:eastAsia="Noto Sans CJK SC"/>
          <w:color w:val="233242"/>
          <w:sz w:val="20"/>
        </w:rPr>
        <w:t>学习：明确采用外部记忆、规则、检索、版本和评估，而非宣称训练了世界模型。</w:t>
      </w:r>
    </w:p>
    <w:p>
      <w:pPr>
        <w:numPr>
          <w:ilvl w:val="0"/>
          <w:numId w:val="10"/>
        </w:numPr>
        <w:spacing w:after="100"/>
      </w:pPr>
      <w:r>
        <w:rPr>
          <w:rFonts w:ascii="Calibri" w:hAnsi="Calibri" w:eastAsia="Noto Sans CJK SC"/>
          <w:color w:val="233242"/>
          <w:sz w:val="20"/>
        </w:rPr>
        <w:t>技术：模型供应商经 Gateway 可替换；生产主链可恢复、可审计、可回放。</w:t>
      </w:r>
    </w:p>
    <w:p>
      <w:pPr>
        <w:numPr>
          <w:ilvl w:val="0"/>
          <w:numId w:val="10"/>
        </w:numPr>
        <w:spacing w:after="100"/>
      </w:pPr>
      <w:r>
        <w:rPr>
          <w:rFonts w:ascii="Calibri" w:hAnsi="Calibri" w:eastAsia="Noto Sans CJK SC"/>
          <w:color w:val="233242"/>
          <w:sz w:val="20"/>
        </w:rPr>
        <w:t>合规：最小画像、用户控制、解释/申诉、AI 标识和日志审计已进入架构。</w:t>
      </w:r>
    </w:p>
    <w:p>
      <w:pPr>
        <w:numPr>
          <w:ilvl w:val="0"/>
          <w:numId w:val="10"/>
        </w:numPr>
        <w:spacing w:after="100"/>
      </w:pPr>
      <w:r>
        <w:rPr>
          <w:rFonts w:ascii="Calibri" w:hAnsi="Calibri" w:eastAsia="Noto Sans CJK SC"/>
          <w:color w:val="233242"/>
          <w:sz w:val="20"/>
        </w:rPr>
        <w:t>指标：资格可信、未知机会发现、行动和扩张 Gate 均有量化标准。</w:t>
      </w:r>
    </w:p>
    <w:p>
      <w:pPr>
        <w:numPr>
          <w:ilvl w:val="0"/>
          <w:numId w:val="10"/>
        </w:numPr>
        <w:spacing w:after="100"/>
      </w:pPr>
      <w:r>
        <w:rPr>
          <w:rFonts w:ascii="Calibri" w:hAnsi="Calibri" w:eastAsia="Noto Sans CJK SC"/>
          <w:color w:val="233242"/>
          <w:sz w:val="20"/>
        </w:rPr>
        <w:t>路线：未来十四天和十二周交付均有明确验收，不以页面完成代替价值成立。</w:t>
      </w:r>
    </w:p>
    <w:p>
      <w:pPr>
        <w:numPr>
          <w:ilvl w:val="0"/>
          <w:numId w:val="10"/>
        </w:numPr>
        <w:spacing w:after="100"/>
      </w:pPr>
      <w:r>
        <w:rPr>
          <w:rFonts w:ascii="Calibri" w:hAnsi="Calibri" w:eastAsia="Noto Sans CJK SC"/>
          <w:color w:val="233242"/>
          <w:sz w:val="20"/>
        </w:rPr>
        <w:t>战略：任何新功能都必须说明它如何改善可信发现—判断—行动—学习闭环。</w:t>
      </w:r>
    </w:p>
    <w:p>
      <w:pPr>
        <w:pStyle w:val="Heading1"/>
        <w:pageBreakBefore/>
      </w:pPr>
      <w:r>
        <w:t>结语</w:t>
      </w:r>
    </w:p>
    <w:p>
      <w:pPr>
        <w:keepLines w:val="0"/>
        <w:spacing w:after="120" w:line="278" w:lineRule="auto"/>
        <w:jc w:val="left"/>
      </w:pPr>
      <w:r>
        <w:rPr>
          <w:rFonts w:ascii="Calibri" w:hAnsi="Calibri" w:eastAsia="Noto Sans CJK SC"/>
          <w:color w:val="233242"/>
          <w:sz w:val="21"/>
        </w:rPr>
        <w:t>DeepAha 青年机会智能系统真正值得长期投入的地方，不是把公告做得更像 AI，也不是用一个聊天界面代替搜索。它的价值是建立一层个人机会基础设施：公开世界在变化，个人也在变化；系统长期维护两者的关系，只在关键时刻带来清晰、可信、可行动的 Aha。</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最终判断</w:t>
            </w:r>
          </w:p>
          <w:p>
            <w:pPr>
              <w:spacing w:after="0"/>
            </w:pPr>
            <w:r>
              <w:rPr>
                <w:rFonts w:ascii="Calibri" w:hAnsi="Calibri" w:eastAsia="Noto Sans CJK SC"/>
                <w:color w:val="233242"/>
                <w:sz w:val="20"/>
              </w:rPr>
              <w:t>可以只调用大模型 API，也可以暂时完全不训练自己的基础模型。只要 DeepAha 掌握 Opportunity History、资格规则、个人状态、反馈证据和评估发布体系，核心价值就能实现；模型是能力供应商，持续学习系统才是产品本体。</w:t>
            </w:r>
          </w:p>
        </w:tc>
      </w:tr>
    </w:tbl>
    <w:p>
      <w:pPr>
        <w:spacing w:after="160"/>
      </w:pPr>
    </w:p>
    <w:p>
      <w:pPr>
        <w:spacing w:before="600"/>
        <w:jc w:val="center"/>
      </w:pPr>
      <w:r>
        <w:rPr>
          <w:rFonts w:ascii="Calibri" w:hAnsi="Calibri" w:eastAsia="Noto Sans CJK SC"/>
          <w:b/>
          <w:color w:val="102A43"/>
          <w:sz w:val="36"/>
        </w:rPr>
        <w:t>Go Deep. Find the Aha.</w:t>
      </w:r>
    </w:p>
    <w:p>
      <w:pPr>
        <w:jc w:val="center"/>
      </w:pPr>
      <w:r>
        <w:rPr>
          <w:rFonts w:ascii="Calibri" w:hAnsi="Calibri" w:eastAsia="Noto Sans CJK SC"/>
          <w:color w:val="FF8A3D"/>
          <w:sz w:val="22"/>
        </w:rPr>
        <w:t>深入其中，豁然开朗。</w:t>
      </w:r>
    </w:p>
    <w:sectPr w:rsidR="00FC693F" w:rsidRPr="0006063C" w:rsidSect="00034616">
      <w:headerReference w:type="default" r:id="rId9"/>
      <w:footerReference w:type="default" r:id="rId10"/>
      <w:pgSz w:w="12240" w:h="15840"/>
      <w:pgMar w:top="1267" w:right="1325" w:bottom="1181" w:left="1325"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color w:val="66788A"/>
        <w:sz w:val="18"/>
      </w:rPr>
      <w:t xml:space="preserve">第 </w:t>
    </w:r>
    <w:fldSimple w:instr="PAGE"/>
    <w:r>
      <w:rPr>
        <w:rFonts w:ascii="Calibri" w:hAnsi="Calibri" w:eastAsia="Noto Sans CJK SC"/>
        <w:color w:val="66788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18B7A0"/>
      </w:pBdr>
    </w:pPr>
    <w:r>
      <w:rPr>
        <w:rFonts w:ascii="Calibri" w:hAnsi="Calibri" w:eastAsia="Noto Sans CJK SC"/>
        <w:b/>
        <w:color w:val="102A43"/>
        <w:sz w:val="17"/>
      </w:rPr>
      <w:t>DeepAha  ·  青年机会智能系统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120" w:line="28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120" w:line="28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12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Calibri" w:hAnsi="Calibri" w:eastAsia="Noto Sans CJK SC"/>
      <w:color w:val="2332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Noto Sans CJK SC"/>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Noto Sans CJK SC"/>
      <w:b/>
      <w:bCs/>
      <w:color w:val="18B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Noto Sans CJK SC"/>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SC"/>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ac.gov.cn/2021-08/20/c_1631050028355286.htm" TargetMode="External"/><Relationship Id="rId15" Type="http://schemas.openxmlformats.org/officeDocument/2006/relationships/hyperlink" Target="https://www.cac.gov.cn/2022-01/04/c_1642894606364259.htm" TargetMode="External"/><Relationship Id="rId16" Type="http://schemas.openxmlformats.org/officeDocument/2006/relationships/hyperlink" Target="https://www.cac.gov.cn/2023-07/13/c_1690898327029107.htm" TargetMode="External"/><Relationship Id="rId17" Type="http://schemas.openxmlformats.org/officeDocument/2006/relationships/hyperlink" Target="https://www.cac.gov.cn/2025-03/14/c_174365468478221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DeepAha 青年机会智能系统 Blueprint v1.0</dc:title>
  <dc:subject>产品、实验、数据与技术架构立项基线</dc:subject>
  <dc:creator>DeepAha</dc:creator>
  <cp:keywords>DeepAha, 青年机会, Opportunity Intelligence, Blueprint</cp:keywords>
  <dc:description>Generated as the v1.0 decision baseline on 2026-08-21.</dc:description>
  <cp:lastModifiedBy/>
  <cp:revision>1</cp:revision>
  <dcterms:created xsi:type="dcterms:W3CDTF">2013-12-23T23:15:00Z</dcterms:created>
  <dcterms:modified xsi:type="dcterms:W3CDTF">2013-12-23T23:15:00Z</dcterms:modified>
  <cp:category/>
</cp:coreProperties>
</file>