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Noto Sans CJK SC" w:hAnsi="Noto Sans CJK SC" w:eastAsia="Noto Sans CJK SC"/>
          <w:b/>
          <w:color w:val="1F4E79"/>
          <w:sz w:val="32"/>
        </w:rPr>
        <w:t>合成航空故障知识域测试文档</w:t>
      </w:r>
    </w:p>
    <w:p>
      <w:pPr>
        <w:spacing w:before="72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系统架构与功能说明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4"/>
        </w:rPr>
        <w:t>SYN-ICP-9000 综合信息处理与显示系统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start w:val="single" w:sz="4" w:space="0" w:color="8A8A8A"/>
          <w:bottom w:val="single" w:sz="4" w:space="0" w:color="8A8A8A"/>
          <w:end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7739"/>
        <w:gridCol w:w="7739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文档编号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SYN-ICP-DOC-001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适用系统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SYN-ICP-9000 综合信息处理与显示系统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适用构型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CONFIG-A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文档版本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数据来源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程序化合成并经过跨文档一致性校验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数据状态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合成测试数据 / 非运行资料</w:t>
            </w:r>
          </w:p>
        </w:tc>
      </w:tr>
    </w:tbl>
    <w:p/>
    <w:p>
      <w:pPr>
        <w:spacing w:before="240"/>
        <w:jc w:val="center"/>
      </w:pPr>
      <w:r>
        <w:rPr>
          <w:rFonts w:ascii="Noto Sans CJK SC" w:hAnsi="Noto Sans CJK SC" w:eastAsia="Noto Sans CJK SC"/>
          <w:b/>
          <w:color w:val="B40000"/>
          <w:sz w:val="20"/>
        </w:rPr>
        <w:t>本文件所含系统、代码、故障模式、技术参数、分析结论及维修措施均为合成测试数据，仅用于RAG知识库、信息抽取、检索评测和智能体功能验证，不得作为实际航空运行、放行或维修依据。</w:t>
      </w:r>
    </w:p>
    <w:p>
      <w:r>
        <w:br w:type="page"/>
      </w:r>
    </w:p>
    <w:p>
      <w:pPr>
        <w:pStyle w:val="Heading1"/>
        <w:keepNext/>
      </w:pPr>
      <w:r>
        <w:t>1 系统概述</w:t>
      </w:r>
    </w:p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b w:val="0"/>
          <w:sz w:val="21"/>
        </w:rPr>
        <w:t>SYN-ICP-9000是为知识库与智能体测试构造的虚拟综合信息处理系统。系统包含电源与配电、通用处理、数据接口与通信、显示处理与输出、健康监测与记录、时钟与热管理六个子系统。该文档主要用于Function Locator：将用户描述的异常现象映射到候选系统、模块与功能。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rPr>
          <w:cantSplit/>
          <w:tblHeader w:val="true"/>
        </w:trPr>
        <w:tc>
          <w:tcPr>
            <w:tcW w:type="dxa" w:w="15478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解析提示：</w:t>
            </w:r>
            <w:r>
              <w:rPr>
                <w:rFonts w:ascii="Noto Sans CJK SC" w:hAnsi="Noto Sans CJK SC" w:eastAsia="Noto Sans CJK SC"/>
                <w:sz w:val="20"/>
              </w:rPr>
              <w:t>架构图、功能树和数据流图应分别抽取为节点—边结构；段落和功能清单用于补充模块职责、输入输出、别名和典型失效表现。</w:t>
            </w:r>
          </w:p>
        </w:tc>
      </w:tr>
    </w:tbl>
    <w:p>
      <w:pPr>
        <w:pStyle w:val="Heading1"/>
        <w:keepNext/>
      </w:pPr>
      <w:r>
        <w:t>2 总体物理架构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180000" cy="722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722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Noto Sans CJK SC" w:hAnsi="Noto Sans CJK SC" w:eastAsia="Noto Sans CJK SC"/>
          <w:b/>
          <w:sz w:val="18"/>
        </w:rPr>
        <w:t>图2-1 SYN-ICP-9000总体物理架构</w:t>
      </w:r>
    </w:p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b w:val="0"/>
          <w:sz w:val="21"/>
        </w:rPr>
        <w:t>总体架构按系统、子系统和模块三级组织。PWR为其他子系统提供电源；TCS提供时钟与热环境；IFC接收外部数据并送入GPP；GPP完成任务处理后将显示数据发送给DSP；HMS跨子系统采集状态并保存故障历史。</w:t>
      </w:r>
    </w:p>
    <w:p>
      <w:pPr>
        <w:pStyle w:val="Heading1"/>
        <w:keepNext/>
      </w:pPr>
      <w:r>
        <w:t>3 子系统组成与职责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子系统ID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缩写</w:t>
            </w:r>
          </w:p>
        </w:tc>
        <w:tc>
          <w:tcPr>
            <w:tcW w:type="dxa" w:w="255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名称</w:t>
            </w:r>
          </w:p>
        </w:tc>
        <w:tc>
          <w:tcPr>
            <w:tcW w:type="dxa" w:w="453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主要职责</w:t>
            </w:r>
          </w:p>
        </w:tc>
        <w:tc>
          <w:tcPr>
            <w:tcW w:type="dxa" w:w="5103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包含模块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SUB-PWR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PWR</w:t>
            </w:r>
          </w:p>
        </w:tc>
        <w:tc>
          <w:tcPr>
            <w:tcW w:type="dxa" w:w="255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电源与配电子系统</w:t>
            </w:r>
          </w:p>
        </w:tc>
        <w:tc>
          <w:tcPr>
            <w:tcW w:type="dxa" w:w="453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完成外部电源调理、双路稳压、负载分配和短时保持供电。</w:t>
            </w:r>
          </w:p>
        </w:tc>
        <w:tc>
          <w:tcPr>
            <w:tcW w:type="dxa" w:w="5103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ICU（输入调理模块）、PSU-A（A路电源模块）、PSU-B（B路电源模块）、PDU（电源分配模块）、HUM（保持供电模块）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SUB-GPP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GPP</w:t>
            </w:r>
          </w:p>
        </w:tc>
        <w:tc>
          <w:tcPr>
            <w:tcW w:type="dxa" w:w="255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通用处理子系统</w:t>
            </w:r>
          </w:p>
        </w:tc>
        <w:tc>
          <w:tcPr>
            <w:tcW w:type="dxa" w:w="453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完成系统启动、任务计算、模板与数据存储以及可编程逻辑加速。</w:t>
            </w:r>
          </w:p>
        </w:tc>
        <w:tc>
          <w:tcPr>
            <w:tcW w:type="dxa" w:w="5103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BCM（启动控制模块）、GPP-A（A通道通用处理模块）、GPP-B（B通道通用处理模块）、MSM（模板与数据存储模块）、FPA（可编程逻辑加速模块）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SUB-IFC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IFC</w:t>
            </w:r>
          </w:p>
        </w:tc>
        <w:tc>
          <w:tcPr>
            <w:tcW w:type="dxa" w:w="255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数据接口与通信子系统</w:t>
            </w:r>
          </w:p>
        </w:tc>
        <w:tc>
          <w:tcPr>
            <w:tcW w:type="dxa" w:w="453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完成双通道总线收发、网络接入、数据路由和协议转换。</w:t>
            </w:r>
          </w:p>
        </w:tc>
        <w:tc>
          <w:tcPr>
            <w:tcW w:type="dxa" w:w="5103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BCA（A通道总线控制模块）、BCB（B通道总线控制模块）、NGW（网络网关模块）、PCU（协议转换模块）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SUB-DSP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DSP</w:t>
            </w:r>
          </w:p>
        </w:tc>
        <w:tc>
          <w:tcPr>
            <w:tcW w:type="dxa" w:w="255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显示处理与输出子系统</w:t>
            </w:r>
          </w:p>
        </w:tc>
        <w:tc>
          <w:tcPr>
            <w:tcW w:type="dxa" w:w="453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完成画面合成、帧缓存、输出编码和显示通道切换。</w:t>
            </w:r>
          </w:p>
        </w:tc>
        <w:tc>
          <w:tcPr>
            <w:tcW w:type="dxa" w:w="5103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DPM（显示处理模块）、FBM（帧缓存模块）、OIM（输出接口模块）、DCS（显示通道切换模块）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SUB-HMS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HMS</w:t>
            </w:r>
          </w:p>
        </w:tc>
        <w:tc>
          <w:tcPr>
            <w:tcW w:type="dxa" w:w="255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健康监测与记录子系统</w:t>
            </w:r>
          </w:p>
        </w:tc>
        <w:tc>
          <w:tcPr>
            <w:tcW w:type="dxa" w:w="453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完成BIT调度、状态量采集、故障隔离和历史记录。</w:t>
            </w:r>
          </w:p>
        </w:tc>
        <w:tc>
          <w:tcPr>
            <w:tcW w:type="dxa" w:w="5103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BITC（BIT控制模块）、SAM（状态量采集模块）、FLS（故障记录存储模块）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SUB-TCS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TCS</w:t>
            </w:r>
          </w:p>
        </w:tc>
        <w:tc>
          <w:tcPr>
            <w:tcW w:type="dxa" w:w="255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时钟与热管理子系统</w:t>
            </w:r>
          </w:p>
        </w:tc>
        <w:tc>
          <w:tcPr>
            <w:tcW w:type="dxa" w:w="453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完成系统时钟生成、时间同步、温度控制和强迫风冷。</w:t>
            </w:r>
          </w:p>
        </w:tc>
        <w:tc>
          <w:tcPr>
            <w:tcW w:type="dxa" w:w="5103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CGM（时钟生成模块）、TCM（温度控制模块）、FAN（风扇组件）</w:t>
            </w:r>
          </w:p>
        </w:tc>
      </w:tr>
    </w:tbl>
    <w:p>
      <w:pPr>
        <w:spacing w:before="0" w:after="100" w:line="300" w:lineRule="auto"/>
        <w:jc w:val="both"/>
      </w:pPr>
      <w:r>
        <w:rPr>
          <w:rFonts w:ascii="Noto Sans CJK SC" w:hAnsi="Noto Sans CJK SC" w:eastAsia="Noto Sans CJK SC"/>
          <w:b w:val="0"/>
          <w:color w:val="333333"/>
          <w:sz w:val="21"/>
        </w:rPr>
        <w:t>总体物理架构按系统、子系统、模块三级组织。上表在子系统级（第二级）列出各子系统组成与职责；下表进一步补充第三级（模块级）的完整组成与主要职责，与图2-1总体物理架构保持一致。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1900"/>
        <w:gridCol w:w="2400"/>
        <w:gridCol w:w="1000"/>
        <w:gridCol w:w="2200"/>
        <w:gridCol w:w="5500"/>
      </w:tblGrid>
      <w:tr>
        <w:trPr>
          <w:cantSplit/>
          <w:tblHeader w:val="true"/>
        </w:trPr>
        <w:tc>
          <w:tcPr>
            <w:tcW w:type="dxa" w:w="3096"/>
            <w:vAlign w:val="center"/>
            <w:shd w:val="clear" w:color="auto" w:fill="D9EAF7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333333"/>
                <w:sz w:val="16"/>
              </w:rPr>
              <w:t>所属子系统</w:t>
            </w:r>
          </w:p>
        </w:tc>
        <w:tc>
          <w:tcPr>
            <w:tcW w:type="dxa" w:w="3096"/>
            <w:vAlign w:val="center"/>
            <w:shd w:val="clear" w:color="auto" w:fill="D9EAF7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333333"/>
                <w:sz w:val="16"/>
              </w:rPr>
              <w:t>模块ID</w:t>
            </w:r>
          </w:p>
        </w:tc>
        <w:tc>
          <w:tcPr>
            <w:tcW w:type="dxa" w:w="3096"/>
            <w:vAlign w:val="center"/>
            <w:shd w:val="clear" w:color="auto" w:fill="D9EAF7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333333"/>
                <w:sz w:val="16"/>
              </w:rPr>
              <w:t>缩写</w:t>
            </w:r>
          </w:p>
        </w:tc>
        <w:tc>
          <w:tcPr>
            <w:tcW w:type="dxa" w:w="3096"/>
            <w:vAlign w:val="center"/>
            <w:shd w:val="clear" w:color="auto" w:fill="D9EAF7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333333"/>
                <w:sz w:val="16"/>
              </w:rPr>
              <w:t>模块名称</w:t>
            </w:r>
          </w:p>
        </w:tc>
        <w:tc>
          <w:tcPr>
            <w:tcW w:type="dxa" w:w="3096"/>
            <w:vAlign w:val="center"/>
            <w:shd w:val="clear" w:color="auto" w:fill="D9EAF7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333333"/>
                <w:sz w:val="16"/>
              </w:rPr>
              <w:t>主要职责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 w:val="restart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电源与配电子系统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（PWR）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MOD-PWR-ICU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ICU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输入调理模块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完成输入限幅、滤波、极性与欠压状态检测。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0" w:type="dxa"/>
              <w:start w:w="50" w:type="dxa"/>
              <w:bottom w:w="40" w:type="dxa"/>
              <w:end w:w="50" w:type="dxa"/>
            </w:tcMar>
          </w:tcPr>
          <w:p/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MOD-PWR-PSUA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PSU-A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A路电源模块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将调理后的电源转换为A路稳定工作电压。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0" w:type="dxa"/>
              <w:start w:w="50" w:type="dxa"/>
              <w:bottom w:w="40" w:type="dxa"/>
              <w:end w:w="50" w:type="dxa"/>
            </w:tcMar>
          </w:tcPr>
          <w:p/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MOD-PWR-PSUB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PSU-B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B路电源模块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将调理后的电源转换为B路稳定工作电压。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0" w:type="dxa"/>
              <w:start w:w="50" w:type="dxa"/>
              <w:bottom w:w="40" w:type="dxa"/>
              <w:end w:w="50" w:type="dxa"/>
            </w:tcMar>
          </w:tcPr>
          <w:p/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MOD-PWR-PDU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PDU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电源分配模块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向各负载分配电源并执行支路开关与过流保护。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0" w:type="dxa"/>
              <w:start w:w="50" w:type="dxa"/>
              <w:bottom w:w="40" w:type="dxa"/>
              <w:end w:w="50" w:type="dxa"/>
            </w:tcMar>
          </w:tcPr>
          <w:p/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MOD-PWR-HUM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HUM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保持供电模块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在输入瞬断期间维持关键处理与记录功能。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 w:val="restart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通用处理子系统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（GPP）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MOD-GPP-BCM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BCM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启动控制模块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执行上电时序、启动镜像校验和复位释放。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0" w:type="dxa"/>
              <w:start w:w="50" w:type="dxa"/>
              <w:bottom w:w="40" w:type="dxa"/>
              <w:end w:w="50" w:type="dxa"/>
            </w:tcMar>
          </w:tcPr>
          <w:p/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MOD-GPP-GPPA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GPP-A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A通道通用处理模块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执行主任务计算、数据融合和状态管理。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0" w:type="dxa"/>
              <w:start w:w="50" w:type="dxa"/>
              <w:bottom w:w="40" w:type="dxa"/>
              <w:end w:w="50" w:type="dxa"/>
            </w:tcMar>
          </w:tcPr>
          <w:p/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MOD-GPP-GPPB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GPP-B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B通道通用处理模块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执行冗余任务计算并在A通道异常时接替。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0" w:type="dxa"/>
              <w:start w:w="50" w:type="dxa"/>
              <w:bottom w:w="40" w:type="dxa"/>
              <w:end w:w="50" w:type="dxa"/>
            </w:tcMar>
          </w:tcPr>
          <w:p/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MOD-GPP-MSM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MSM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模板与数据存储模块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保存启动模板、配置参数和任务数据并支持校验。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0" w:type="dxa"/>
              <w:start w:w="50" w:type="dxa"/>
              <w:bottom w:w="40" w:type="dxa"/>
              <w:end w:w="50" w:type="dxa"/>
            </w:tcMar>
          </w:tcPr>
          <w:p/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MOD-GPP-FPGA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FPA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可编程逻辑加速模块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加载逻辑配置并执行高速数据预处理。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 w:val="restart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数据接口与通信子系统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（IFC）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MOD-IFC-BCA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BCA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A通道总线控制模块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接收与发送A通道外部总线数据。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0" w:type="dxa"/>
              <w:start w:w="50" w:type="dxa"/>
              <w:bottom w:w="40" w:type="dxa"/>
              <w:end w:w="50" w:type="dxa"/>
            </w:tcMar>
          </w:tcPr>
          <w:p/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MOD-IFC-BCB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BCB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B通道总线控制模块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接收与发送B通道外部总线数据。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0" w:type="dxa"/>
              <w:start w:w="50" w:type="dxa"/>
              <w:bottom w:w="40" w:type="dxa"/>
              <w:end w:w="50" w:type="dxa"/>
            </w:tcMar>
          </w:tcPr>
          <w:p/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MOD-IFC-NGW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NGW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网络网关模块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维护网络端口、路由表和数据转发。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0" w:type="dxa"/>
              <w:start w:w="50" w:type="dxa"/>
              <w:bottom w:w="40" w:type="dxa"/>
              <w:end w:w="50" w:type="dxa"/>
            </w:tcMar>
          </w:tcPr>
          <w:p/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MOD-IFC-PCU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PCU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协议转换模块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在内部数据格式与外部协议之间进行转换。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 w:val="restart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显示处理与输出子系统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（DSP）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MOD-DSP-DPM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DPM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显示处理模块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将任务数据、符号和告警信息合成为显示画面。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0" w:type="dxa"/>
              <w:start w:w="50" w:type="dxa"/>
              <w:bottom w:w="40" w:type="dxa"/>
              <w:end w:w="50" w:type="dxa"/>
            </w:tcMar>
          </w:tcPr>
          <w:p/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MOD-DSP-FBM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FBM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帧缓存模块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缓存待输出帧并保证帧序连续。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0" w:type="dxa"/>
              <w:start w:w="50" w:type="dxa"/>
              <w:bottom w:w="40" w:type="dxa"/>
              <w:end w:w="50" w:type="dxa"/>
            </w:tcMar>
          </w:tcPr>
          <w:p/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MOD-DSP-OIM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OIM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输出接口模块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生成外部显示接口所需的时序与编码信号。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0" w:type="dxa"/>
              <w:start w:w="50" w:type="dxa"/>
              <w:bottom w:w="40" w:type="dxa"/>
              <w:end w:w="50" w:type="dxa"/>
            </w:tcMar>
          </w:tcPr>
          <w:p/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MOD-DSP-DCS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DCS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显示通道切换模块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根据健康状态在主、备显示通道之间切换。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 w:val="restart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健康监测与记录子系统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（HMS）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MOD-HMS-BITC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BITC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BIT控制模块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发起BIT并综合各模块状态形成隔离结论。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0" w:type="dxa"/>
              <w:start w:w="50" w:type="dxa"/>
              <w:bottom w:w="40" w:type="dxa"/>
              <w:end w:w="50" w:type="dxa"/>
            </w:tcMar>
          </w:tcPr>
          <w:p/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MOD-HMS-SAM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SAM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状态量采集模块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采集电压、温度、转速和离散状态量。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0" w:type="dxa"/>
              <w:start w:w="50" w:type="dxa"/>
              <w:bottom w:w="40" w:type="dxa"/>
              <w:end w:w="50" w:type="dxa"/>
            </w:tcMar>
          </w:tcPr>
          <w:p/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MOD-HMS-FLS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FLS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故障记录存储模块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保存故障时间、状态快照、清除和复现信息。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 w:val="restart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时钟与热管理子系统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（TCS）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MOD-TCS-CGM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CGM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时钟生成模块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生成系统时钟并锁定外部时间基准。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0" w:type="dxa"/>
              <w:start w:w="50" w:type="dxa"/>
              <w:bottom w:w="40" w:type="dxa"/>
              <w:end w:w="50" w:type="dxa"/>
            </w:tcMar>
          </w:tcPr>
          <w:p/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MOD-TCS-TCM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TCM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温度控制模块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根据温度状态控制风扇并执行过温保护。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0" w:type="dxa"/>
              <w:start w:w="50" w:type="dxa"/>
              <w:bottom w:w="40" w:type="dxa"/>
              <w:end w:w="50" w:type="dxa"/>
            </w:tcMar>
          </w:tcPr>
          <w:p/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MOD-TCS-FAN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FAN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风扇组件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提供稳定风量，带走处理与电源模块产生的热量。</w:t>
            </w:r>
          </w:p>
        </w:tc>
      </w:tr>
    </w:tbl>
    <w:p>
      <w:pPr>
        <w:pStyle w:val="Heading1"/>
        <w:keepNext/>
      </w:pPr>
      <w:r>
        <w:t>4 功能层级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6779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_t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677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Noto Sans CJK SC" w:hAnsi="Noto Sans CJK SC" w:eastAsia="Noto Sans CJK SC"/>
          <w:b/>
          <w:sz w:val="18"/>
        </w:rPr>
        <w:t>图4-1 系统功能树</w:t>
      </w:r>
    </w:p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b w:val="0"/>
          <w:sz w:val="21"/>
        </w:rPr>
        <w:t>顶层功能用于描述系统任务能力，叶级功能与具体物理模块建立“实现”关系。Function Locator应优先返回叶级功能ID，并同时给出其父功能、所属子系统和物理模块。</w:t>
      </w:r>
    </w:p>
    <w:p>
      <w:pPr>
        <w:pStyle w:val="Heading1"/>
        <w:keepNext/>
      </w:pPr>
      <w:r>
        <w:t>5 功能清单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功能ID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父功能ID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功能名称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功能描述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主要实现模块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FUNC-100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—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电源调理与分配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为系统各模块提供稳定、可监测且具有短时保持能力的电源。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FUNC-110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FUNC-100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外部电源输入调理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完成输入限幅、滤波、极性与欠压状态检测。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ICU / 输入调理模块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FUNC-120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FUNC-100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A路稳压供电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将调理后的电源转换为A路稳定工作电压。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PSU-A / A路电源模块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FUNC-121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FUNC-100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B路稳压供电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将调理后的电源转换为B路稳定工作电压。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PSU-B / B路电源模块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FUNC-130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FUNC-100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负载配电与保护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向各负载分配电源并执行支路开关与过流保护。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PDU / 电源分配模块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FUNC-140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FUNC-100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短时保持供电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在输入瞬断期间维持关键处理与记录功能。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HUM / 保持供电模块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FUNC-200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—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启动与任务处理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完成启动控制、双通道任务计算、模板存储与逻辑加速。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FUNC-210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FUNC-200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系统启动与复位控制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执行上电时序、启动镜像校验和复位释放。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BCM / 启动控制模块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FUNC-220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FUNC-200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A通道任务处理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执行主任务计算、数据融合和状态管理。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GPP-A / A通道通用处理模块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FUNC-221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FUNC-200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B通道任务处理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执行冗余任务计算并在A通道异常时接替。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GPP-B / B通道通用处理模块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FUNC-230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FUNC-200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模板与任务数据存储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保存启动模板、配置参数和任务数据并支持校验。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MSM / 模板与数据存储模块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FUNC-240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FUNC-200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可编程逻辑加速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加载逻辑配置并执行高速数据预处理。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FPA / 可编程逻辑加速模块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FUNC-300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—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数据接口与通信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完成双通道总线、网络接入和协议转换。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FUNC-310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FUNC-300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A通道总线收发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接收与发送A通道外部总线数据。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BCA / A通道总线控制模块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FUNC-311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FUNC-300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B通道总线收发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接收与发送B通道外部总线数据。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BCB / B通道总线控制模块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FUNC-320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FUNC-300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网络接入与路由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维护网络端口、路由表和数据转发。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NGW / 网络网关模块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FUNC-330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FUNC-300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协议映射与帧转换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在内部数据格式与外部协议之间进行转换。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PCU / 协议转换模块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FUNC-400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—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显示处理与输出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完成显示数据合成、缓存、编码和通道选择。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FUNC-410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FUNC-400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显示画面合成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将任务数据、符号和告警信息合成为显示画面。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DPM / 显示处理模块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FUNC-420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FUNC-400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显示帧缓存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缓存待输出帧并保证帧序连续。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FBM / 帧缓存模块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FUNC-430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FUNC-400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显示输出编码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生成外部显示接口所需的时序与编码信号。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OIM / 输出接口模块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FUNC-440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FUNC-400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显示通道切换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根据健康状态在主、备显示通道之间切换。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DCS / 显示通道切换模块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FUNC-500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—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健康监测与故障记录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完成自检测、状态采集、故障隔离和历史记录。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FUNC-510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FUNC-500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BIT调度与故障隔离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发起BIT并综合各模块状态形成隔离结论。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BITC / BIT控制模块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FUNC-520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FUNC-500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状态量采集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采集电压、温度、转速和离散状态量。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SAM / 状态量采集模块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FUNC-530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FUNC-500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故障历史记录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保存故障时间、状态快照、清除和复现信息。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FLS / 故障记录存储模块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FUNC-600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—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时钟与热管理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为系统提供统一时基并维持允许的热环境。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FUNC-610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FUNC-600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时钟生成与时间同步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生成系统时钟并锁定外部时间基准。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CGM / 时钟生成模块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FUNC-620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FUNC-600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温度控制与保护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根据温度状态控制风扇并执行过温保护。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TCM / 温度控制模块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FUNC-630</w:t>
            </w:r>
          </w:p>
        </w:tc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FUNC-600</w:t>
            </w:r>
          </w:p>
        </w:tc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强迫风冷</w:t>
            </w:r>
          </w:p>
        </w:tc>
        <w:tc>
          <w:tcPr>
            <w:tcW w:type="dxa" w:w="567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提供稳定风量，带走处理与电源模块产生的热量。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FAN / 风扇组件</w:t>
            </w:r>
          </w:p>
        </w:tc>
      </w:tr>
    </w:tbl>
    <w:p>
      <w:pPr>
        <w:pStyle w:val="Heading1"/>
        <w:keepNext/>
      </w:pPr>
      <w:r>
        <w:t>6 主要数据流与支撑关系</w:t>
      </w:r>
    </w:p>
    <w:p>
      <w:pPr>
        <w:pStyle w:val="Heading2"/>
      </w:pPr>
      <w:r>
        <w:t>6.1 静态数据流与支撑关系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820000" cy="3255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3255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Noto Sans CJK SC" w:hAnsi="Noto Sans CJK SC" w:eastAsia="Noto Sans CJK SC"/>
          <w:b/>
          <w:sz w:val="18"/>
        </w:rPr>
        <w:t>图6-1 主要数据流、供电与支撑关系</w:t>
      </w:r>
    </w:p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b w:val="0"/>
          <w:sz w:val="21"/>
        </w:rPr>
        <w:t>业务数据从外部总线或网络进入IFC，经标准化后送入GPP处理；GPP将显示数据和告警送至DSP；HMS接收各模块状态并将健康信息返回GPP；TCS向处理、通信和显示路径提供统一时基与热状态；PWR为所有子系统提供工作电源。</w:t>
      </w:r>
    </w:p>
    <w:p>
      <w:pPr>
        <w:pStyle w:val="Heading2"/>
      </w:pPr>
      <w:r>
        <w:t>6.2 动态流程与触发关系</w:t>
      </w:r>
    </w:p>
    <w:p>
      <w:pPr>
        <w:spacing w:before="0" w:after="100" w:line="300" w:lineRule="auto"/>
        <w:jc w:val="both"/>
      </w:pPr>
      <w:r>
        <w:rPr>
          <w:rFonts w:ascii="Noto Sans CJK SC" w:hAnsi="Noto Sans CJK SC" w:eastAsia="Noto Sans CJK SC"/>
          <w:b w:val="0"/>
          <w:color w:val="333333"/>
          <w:sz w:val="21"/>
        </w:rPr>
        <w:t>图6-1描述的是系统稳态运行时的静态数据流与支撑拓扑。本节补充系统的动态行为，说明供电、时钟、健康监测等支撑条件在何种情况下建立，以及哪些事件会触发GPP启动、任务处理与状态转移。</w:t>
      </w:r>
    </w:p>
    <w:p>
      <w:pPr>
        <w:spacing w:before="0" w:after="100" w:line="300" w:lineRule="auto"/>
        <w:jc w:val="both"/>
      </w:pPr>
      <w:r>
        <w:rPr>
          <w:rFonts w:ascii="Noto Sans CJK SC" w:hAnsi="Noto Sans CJK SC" w:eastAsia="Noto Sans CJK SC"/>
          <w:b w:val="0"/>
          <w:color w:val="333333"/>
          <w:sz w:val="21"/>
        </w:rPr>
        <w:t>典型上电启动与任务处理触发流程如下：(1) 外部电源建立后，PWR的ICU完成输入限幅、滤波、极性与欠压检测，判定输入正常；(2) PSU-A、PSU-B建立A/B双路稳定工作电压，PDU完成负载配电并输出就绪；(3) TCS的CGM锁定外部时间基准，向各子系统分发统一时基；(4) 供电就绪触发GPP的BCM释放复位，启动上电时序，MSM校验启动镜像并加载模板；(5) HMS的BITC执行上电BIT，确认关键模块健康；(6) BIT通过后，BCM启动GPP-A主任务处理（GPP-B冗余跟踪），系统进入正常任务模式，DSP输出显示。</w:t>
      </w:r>
    </w:p>
    <w:p>
      <w:pPr>
        <w:spacing w:before="0" w:after="100" w:line="300" w:lineRule="auto"/>
        <w:jc w:val="both"/>
      </w:pPr>
      <w:r>
        <w:rPr>
          <w:rFonts w:ascii="Noto Sans CJK SC" w:hAnsi="Noto Sans CJK SC" w:eastAsia="Noto Sans CJK SC"/>
          <w:b w:val="0"/>
          <w:color w:val="333333"/>
          <w:sz w:val="21"/>
        </w:rPr>
        <w:t>除正常启动流程外，系统在下列异常或边界条件下触发相应保护、降级或切换动作：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3200"/>
        <w:gridCol w:w="1800"/>
        <w:gridCol w:w="3300"/>
        <w:gridCol w:w="2500"/>
        <w:gridCol w:w="1500"/>
      </w:tblGrid>
      <w:tr>
        <w:trPr>
          <w:cantSplit/>
          <w:tblHeader w:val="true"/>
        </w:trPr>
        <w:tc>
          <w:tcPr>
            <w:tcW w:type="dxa" w:w="3096"/>
            <w:vAlign w:val="center"/>
            <w:shd w:val="clear" w:color="auto" w:fill="D9EAF7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333333"/>
                <w:sz w:val="16"/>
              </w:rPr>
              <w:t>触发事件/条件</w:t>
            </w:r>
          </w:p>
        </w:tc>
        <w:tc>
          <w:tcPr>
            <w:tcW w:type="dxa" w:w="3096"/>
            <w:vAlign w:val="center"/>
            <w:shd w:val="clear" w:color="auto" w:fill="D9EAF7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333333"/>
                <w:sz w:val="16"/>
              </w:rPr>
              <w:t>检测来源</w:t>
            </w:r>
          </w:p>
        </w:tc>
        <w:tc>
          <w:tcPr>
            <w:tcW w:type="dxa" w:w="3096"/>
            <w:vAlign w:val="center"/>
            <w:shd w:val="clear" w:color="auto" w:fill="D9EAF7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333333"/>
                <w:sz w:val="16"/>
              </w:rPr>
              <w:t>响应动作</w:t>
            </w:r>
          </w:p>
        </w:tc>
        <w:tc>
          <w:tcPr>
            <w:tcW w:type="dxa" w:w="3096"/>
            <w:vAlign w:val="center"/>
            <w:shd w:val="clear" w:color="auto" w:fill="D9EAF7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333333"/>
                <w:sz w:val="16"/>
              </w:rPr>
              <w:t>参与模块</w:t>
            </w:r>
          </w:p>
        </w:tc>
        <w:tc>
          <w:tcPr>
            <w:tcW w:type="dxa" w:w="3096"/>
            <w:vAlign w:val="center"/>
            <w:shd w:val="clear" w:color="auto" w:fill="D9EAF7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333333"/>
                <w:sz w:val="16"/>
              </w:rPr>
              <w:t>系统状态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外部电源建立且输入正常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ICU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建立双路稳压并完成负载配电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ICU、PSU-A、PSU-B、PDU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上电启动模式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输入欠压/过压/极性异常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ICU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禁止配电输出并告警，保护负载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ICU、PDU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不上电或安全模式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输入瞬断（断电时间在HUM保持能力内）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ICU、HUM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切换储能供电，维持关键处理与记录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HUM、GPP、HMS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任务不中断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双路电源稳定、时基锁定、镜像校验通过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BCM、BITC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释放复位、完成上电BIT并启动任务处理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BCM、MSM、CGM、BITC、GPP-A/B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正常任务模式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A通道故障（心跳丢失/校验错误）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BITC、SAM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GPP-B接替任务，DCS切换显示通道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GPP-B、DCS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降级模式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温度接近上限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SAM、TCM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风扇提速，仍超限则降低处理负载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TCM、FAN、GPP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温度受限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时钟失锁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CGM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告警并重新锁定外部基准，期间任务继续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CGM、GPP、IFC、DSP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时基降级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BIT检出故障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BITC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故障隔离并记录至FLS，向GPP返回健康状态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BITC、FLS、GPP</w:t>
            </w:r>
          </w:p>
        </w:tc>
        <w:tc>
          <w:tcPr>
            <w:tcW w:type="dxa" w:w="30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降级或安全模式</w:t>
            </w:r>
          </w:p>
        </w:tc>
      </w:tr>
    </w:tbl>
    <w:p>
      <w:pPr>
        <w:spacing w:after="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455672"/>
            <wp:docPr id="100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55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40" w:lineRule="auto"/>
        <w:jc w:val="center"/>
      </w:pPr>
      <w:r>
        <w:rPr>
          <w:rFonts w:ascii="Noto Sans CJK SC" w:hAnsi="Noto Sans CJK SC" w:eastAsia="Noto Sans CJK SC"/>
          <w:b/>
          <w:color w:val="333333"/>
          <w:sz w:val="18"/>
        </w:rPr>
        <w:t>图6-2 上电启动与任务处理触发时序</w:t>
      </w:r>
    </w:p>
    <w:p>
      <w:pPr>
        <w:spacing w:before="0" w:after="100" w:line="300" w:lineRule="auto"/>
        <w:jc w:val="both"/>
      </w:pPr>
      <w:r>
        <w:rPr>
          <w:rFonts w:ascii="Noto Sans CJK SC" w:hAnsi="Noto Sans CJK SC" w:eastAsia="Noto Sans CJK SC"/>
          <w:b w:val="0"/>
          <w:color w:val="333333"/>
          <w:sz w:val="21"/>
        </w:rPr>
        <w:t>动态触发关系可归纳为：正常路径上，PWR完成电源调理与配电是GPP启动的前提条件，TCS提供统一时基、HMS完成BIT确认后GPP才进入任务处理；异常路径上，各子系统依据自身检测结果触发保护、降级或切换动作，保证系统在受限条件下仍能维持核心功能。</w:t>
      </w:r>
    </w:p>
    <w:p>
      <w:pPr>
        <w:pStyle w:val="Heading1"/>
        <w:keepNext/>
      </w:pPr>
      <w:r>
        <w:t>7 模块功能与典型失效表现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模块ID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缩写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模块名称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功能ID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功能名称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功能说明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典型用户表达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MOD-PWR-ICU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ICU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输入调理模块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FUNC-110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外部电源输入调理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完成输入限幅、滤波、极性与欠压状态检测。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一上电就报过压；电源一波动就出错；电压正常却一直报欠压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MOD-PWR-PSUA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PSU-A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A路电源模块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FUNC-120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A路稳压供电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将调理后的电源转换为A路稳定工作电压。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A路电压偏低；A路电源突然被保护关掉；运行一会儿A路电源就掉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MOD-PWR-PSUB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PSU-B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B路电源模块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FUNC-121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B路稳压供电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将调理后的电源转换为B路稳定工作电压。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B路电压偏低；B路莫名其妙跳过压保护；B路状态一会儿好一会儿坏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MOD-PWR-PDU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PDU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电源分配模块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FUNC-130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负载配电与保护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向各负载分配电源并执行支路开关与过流保护。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某个模块怎么都上不了电；电流不大却被切掉；电流显示越来越不准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MOD-PWR-HUM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HUM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保持供电模块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FUNC-140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短时保持供电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在输入瞬断期间维持关键处理与记录功能。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电源闪断一下系统就重启；有电量但断电时没接上；负载一大保持时间就不够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MOD-GPP-BCM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BCM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启动控制模块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FUNC-210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系统启动与复位控制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执行上电时序、启动镜像校验和复位释放。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开机一直卡在启动界面；开机提示镜像校验失败；设备不停自己重启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MOD-GPP-GPPA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GPP-A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A通道通用处理模块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FUNC-220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A通道任务处理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执行主任务计算、数据融合和状态管理。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A通道不再更新；高负载时系统反应很慢；A通道报内存校验错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MOD-GPP-GPPB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GPP-B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B通道通用处理模块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FUNC-221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B通道任务处理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执行冗余任务计算并在A通道异常时接替。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B通道心跳没了；备用通道跟不上主通道；B通道ECC报错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MOD-GPP-MSM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MSM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模板与数据存储模块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FUNC-230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模板与任务数据存储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保存启动模板、配置参数和任务数据并支持校验。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模板一直加载不出来；模板读出来但校验不过；数据能读不能写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MOD-GPP-FPGA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FPA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可编程逻辑加速模块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FUNC-240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可编程逻辑加速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加载逻辑配置并执行高速数据预处理。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FPGA配置不上；热起来以后数据偶尔算错；任务发下去一直没回应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MOD-IFC-BCA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BCA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A通道总线控制模块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FUNC-310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A通道总线收发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接收与发送A通道外部总线数据。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A总线收不到数据；A总线被一直占着；一忙起来A总线就冲突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MOD-IFC-BCB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BCB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B通道总线控制模块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FUNC-311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B通道总线收发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接收与发送B通道外部总线数据。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B总线收不到数据；B总线一直忙；B通道一忙就乱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MOD-IFC-NGW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NGW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网络网关模块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FUNC-320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网络接入与路由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维护网络端口、路由表和数据转发。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网络口亮着但数据过不去；流量一大就丢一片包；网口一会儿连上一会儿断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MOD-IFC-PCU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PCU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协议转换模块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FUNC-330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协议映射与帧转换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在内部数据格式与外部协议之间进行转换。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数据收到了但字段全对不上；转换后的帧总是校验不过；数据一多队列就爆了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MOD-DSP-DPM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DPM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显示处理模块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FUNC-410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显示画面合成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将任务数据、符号和告警信息合成为显示画面。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画面卡住不动但系统还有数据；符号跑到错误位置；画面忽快忽慢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MOD-DSP-FBM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FBM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帧缓存模块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FUNC-420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显示帧缓存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缓存待输出帧并保证帧序连续。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高负载时画面撕裂；画面出现随机花块；切换画面模式就失败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MOD-DSP-OIM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OIM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输出接口模块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FUNC-430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显示输出编码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生成外部显示接口所需的时序与编码信号。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系统有画面数据但屏幕没信号；屏幕有信号但格式全乱；画面隔一会儿黑一下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MOD-DSP-DCS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DCS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显示通道切换模块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FUNC-440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显示通道切换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根据健康状态在主、备显示通道之间切换。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A路坏了也切不到B路；A/B通道来回跳；备用显示通道选不上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MOD-HMS-BITC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BITC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BIT控制模块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FUNC-510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BIT调度与故障隔离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发起BIT并综合各模块状态形成隔离结论。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开机自检没跑；系统正常却一直报故障；知道有故障但不知道坏哪块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MOD-HMS-SAM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SAM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状态量采集模块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FUNC-520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状态量采集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采集电压、温度、转速和离散状态量。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某个温度/电压值一直无效；采样值顶在上限；采样时间越来越偏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MOD-HMS-FLS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FLS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故障记录存储模块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FUNC-530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故障历史记录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保存故障时间、状态快照、清除和复现信息。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出了故障却没有日志；日志明明在却查不到；日志空间满了还不清理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MOD-TCS-CGM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CGM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时钟生成模块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FUNC-610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时钟生成与时间同步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生成系统时钟并锁定外部时间基准。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多个模块同时报时钟丢失；运行久了时钟越来越偏；外部同步有信号但锁不上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MOD-TCS-TCM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TCM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温度控制模块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FUNC-620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温度控制与保护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根据温度状态控制风扇并执行过温保护。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温度越来越高风扇也不加速；温度不高却总报过温；温度到了但风扇没有命令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MOD-TCS-FAN</w:t>
            </w:r>
          </w:p>
        </w:tc>
        <w:tc>
          <w:tcPr>
            <w:tcW w:type="dxa" w:w="119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FAN</w:t>
            </w:r>
          </w:p>
        </w:tc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风扇组件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FUNC-630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强迫风冷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提供稳定风量，带走处理与电源模块产生的热量。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风扇完全不转；风扇在转但系统说没转速；风扇转得正常但还是很热</w:t>
            </w:r>
          </w:p>
        </w:tc>
      </w:tr>
    </w:tbl>
    <w:p>
      <w:pPr>
        <w:pStyle w:val="Heading1"/>
        <w:keepNext/>
      </w:pPr>
      <w:r>
        <w:t>8 工作模式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7739"/>
        <w:gridCol w:w="7739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工作模式</w:t>
            </w:r>
          </w:p>
        </w:tc>
        <w:tc>
          <w:tcPr>
            <w:tcW w:type="dxa" w:w="1247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主要行为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上电启动模式</w:t>
            </w:r>
          </w:p>
        </w:tc>
        <w:tc>
          <w:tcPr>
            <w:tcW w:type="dxa" w:w="1247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完成输入检查、双路电源建立、时钟锁定、镜像校验、模板加载和BIT。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正常任务模式</w:t>
            </w:r>
          </w:p>
        </w:tc>
        <w:tc>
          <w:tcPr>
            <w:tcW w:type="dxa" w:w="1247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执行双通道任务处理、外部通信、显示输出、健康监测和记录。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降级模式</w:t>
            </w:r>
          </w:p>
        </w:tc>
        <w:tc>
          <w:tcPr>
            <w:tcW w:type="dxa" w:w="1247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在单路电源、单处理通道或单总线可用时维持受限功能。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维护测试模式</w:t>
            </w:r>
          </w:p>
        </w:tc>
        <w:tc>
          <w:tcPr>
            <w:tcW w:type="dxa" w:w="1247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执行模块级BIT、API查询、日志导出、主备切换和故障注入。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安全模式</w:t>
            </w:r>
          </w:p>
        </w:tc>
        <w:tc>
          <w:tcPr>
            <w:tcW w:type="dxa" w:w="1247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仅维持必要状态监测、故障记录和受限通信，不执行完整任务。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680" w:bottom="680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46464"/>
        <w:sz w:val="16"/>
      </w:rPr>
      <w:t xml:space="preserve">SYN-ICP-9000  ·  禁止用于实际运行或维修  ·  第 </w:t>
    </w:r>
    <w:fldSimple w:instr="PAGE">
      <w:r>
        <w:rPr>
          <w:rFonts w:ascii="Noto Sans CJK SC" w:hAnsi="Noto Sans CJK SC" w:eastAsia="Noto Sans CJK SC"/>
          <w:sz w:val="16"/>
        </w:rPr>
        <w:t>1</w:t>
      </w:r>
    </w:fldSimple>
    <w:r>
      <w:rPr>
        <w:rFonts w:ascii="Noto Sans CJK SC" w:hAnsi="Noto Sans CJK SC" w:eastAsia="Noto Sans CJK SC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Noto Sans CJK SC" w:hAnsi="Noto Sans CJK SC" w:eastAsia="Noto Sans CJK SC"/>
        <w:color w:val="5A5A5A"/>
        <w:sz w:val="16"/>
      </w:rPr>
      <w:t>【合成测试数据】  系统架构与功能说明  |  SYN-ICP-DOC-001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系统架构与功能说明</dc:title>
  <dc:subject>合成航空故障知识域RAG测试文档</dc:subject>
  <dc:creator>Synthetic Knowledge Package Generator</dc:creator>
  <cp:keywords/>
  <dc:description>本文件所含系统、代码、故障模式、技术参数、分析结论及维修措施均为合成测试数据，仅用于RAG知识库、信息抽取、检索评测和智能体功能验证，不得作为实际航空运行、放行或维修依据。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