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Noto Sans CJK SC" w:hAnsi="Noto Sans CJK SC" w:eastAsia="Noto Sans CJK SC"/>
          <w:b/>
          <w:color w:val="1F4E79"/>
          <w:sz w:val="32"/>
        </w:rPr>
        <w:t>合成航空故障知识域测试文档</w:t>
      </w:r>
    </w:p>
    <w:p>
      <w:pPr>
        <w:spacing w:before="720"/>
        <w:jc w:val="center"/>
      </w:pPr>
      <w:r>
        <w:rPr>
          <w:rFonts w:ascii="Noto Sans CJK SC" w:hAnsi="Noto Sans CJK SC" w:eastAsia="Noto Sans CJK SC"/>
          <w:b/>
          <w:color w:val="1F4E79"/>
          <w:sz w:val="48"/>
        </w:rPr>
        <w:t>RBD可靠性框图分析报告</w:t>
      </w:r>
    </w:p>
    <w:p>
      <w:pPr>
        <w:jc w:val="center"/>
      </w:pPr>
      <w:r>
        <w:rPr>
          <w:rFonts w:ascii="Noto Sans CJK SC" w:hAnsi="Noto Sans CJK SC" w:eastAsia="Noto Sans CJK SC"/>
          <w:color w:val="505050"/>
          <w:sz w:val="24"/>
        </w:rPr>
        <w:t>共4个可靠性模型</w:t>
      </w:r>
    </w:p>
    <w:p/>
    <w:tbl>
      <w:tblPr>
        <w:tblStyle w:val="TableGrid"/>
        <w:tblW w:type="auto" w:w="0"/>
        <w:jc w:val="center"/>
        <w:tblLayout w:type="fixed"/>
        <w:tblLook w:firstColumn="1" w:firstRow="1" w:lastColumn="0" w:lastRow="0" w:noHBand="0" w:noVBand="1" w:val="04A0"/>
        <w:tblBorders>
          <w:top w:val="single" w:sz="4" w:space="0" w:color="8A8A8A"/>
          <w:start w:val="single" w:sz="4" w:space="0" w:color="8A8A8A"/>
          <w:bottom w:val="single" w:sz="4" w:space="0" w:color="8A8A8A"/>
          <w:end w:val="single" w:sz="4" w:space="0" w:color="8A8A8A"/>
          <w:insideH w:val="single" w:sz="4" w:space="0" w:color="8A8A8A"/>
          <w:insideV w:val="single" w:sz="4" w:space="0" w:color="8A8A8A"/>
        </w:tblBorders>
      </w:tblPr>
      <w:tblGrid>
        <w:gridCol w:w="7739"/>
        <w:gridCol w:w="7739"/>
      </w:tblGrid>
      <w:tr>
        <w:trPr>
          <w:cantSplit/>
          <w:tblHeader w:val="true"/>
        </w:trPr>
        <w:tc>
          <w:tcPr>
            <w:tcW w:type="dxa" w:w="2381"/>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20"/>
              </w:rPr>
              <w:t>文档编号</w:t>
            </w:r>
          </w:p>
        </w:tc>
        <w:tc>
          <w:tcPr>
            <w:tcW w:type="dxa" w:w="6520"/>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20"/>
              </w:rPr>
              <w:t>SYN-ICP-DOC-005</w:t>
            </w:r>
          </w:p>
        </w:tc>
      </w:tr>
      <w:tr>
        <w:trPr>
          <w:cantSplit/>
        </w:trPr>
        <w:tc>
          <w:tcPr>
            <w:tcW w:type="dxa" w:w="2381"/>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20"/>
              </w:rPr>
              <w:t>适用系统</w:t>
            </w:r>
          </w:p>
        </w:tc>
        <w:tc>
          <w:tcPr>
            <w:tcW w:type="dxa" w:w="6520"/>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20"/>
              </w:rPr>
              <w:t>SYN-ICP-9000 综合信息处理与显示系统</w:t>
            </w:r>
          </w:p>
        </w:tc>
      </w:tr>
      <w:tr>
        <w:trPr>
          <w:cantSplit/>
        </w:trPr>
        <w:tc>
          <w:tcPr>
            <w:tcW w:type="dxa" w:w="2381"/>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20"/>
              </w:rPr>
              <w:t>适用构型</w:t>
            </w:r>
          </w:p>
        </w:tc>
        <w:tc>
          <w:tcPr>
            <w:tcW w:type="dxa" w:w="6520"/>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20"/>
              </w:rPr>
              <w:t>CONFIG-A</w:t>
            </w:r>
          </w:p>
        </w:tc>
      </w:tr>
      <w:tr>
        <w:trPr>
          <w:cantSplit/>
        </w:trPr>
        <w:tc>
          <w:tcPr>
            <w:tcW w:type="dxa" w:w="2381"/>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20"/>
              </w:rPr>
              <w:t>文档版本</w:t>
            </w:r>
          </w:p>
        </w:tc>
        <w:tc>
          <w:tcPr>
            <w:tcW w:type="dxa" w:w="6520"/>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20"/>
              </w:rPr>
              <w:t>V1.0</w:t>
            </w:r>
          </w:p>
        </w:tc>
      </w:tr>
      <w:tr>
        <w:trPr>
          <w:cantSplit/>
        </w:trPr>
        <w:tc>
          <w:tcPr>
            <w:tcW w:type="dxa" w:w="2381"/>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20"/>
              </w:rPr>
              <w:t>数据来源</w:t>
            </w:r>
          </w:p>
        </w:tc>
        <w:tc>
          <w:tcPr>
            <w:tcW w:type="dxa" w:w="6520"/>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20"/>
              </w:rPr>
              <w:t>程序化合成并经过跨文档一致性校验</w:t>
            </w:r>
          </w:p>
        </w:tc>
      </w:tr>
      <w:tr>
        <w:trPr>
          <w:cantSplit/>
        </w:trPr>
        <w:tc>
          <w:tcPr>
            <w:tcW w:type="dxa" w:w="2381"/>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20"/>
              </w:rPr>
              <w:t>数据状态</w:t>
            </w:r>
          </w:p>
        </w:tc>
        <w:tc>
          <w:tcPr>
            <w:tcW w:type="dxa" w:w="6520"/>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20"/>
              </w:rPr>
              <w:t>合成测试数据 / 非运行资料</w:t>
            </w:r>
          </w:p>
        </w:tc>
      </w:tr>
    </w:tbl>
    <w:p/>
    <w:p>
      <w:pPr>
        <w:spacing w:before="240"/>
        <w:jc w:val="center"/>
      </w:pPr>
      <w:r>
        <w:rPr>
          <w:rFonts w:ascii="Noto Sans CJK SC" w:hAnsi="Noto Sans CJK SC" w:eastAsia="Noto Sans CJK SC"/>
          <w:b/>
          <w:color w:val="B40000"/>
          <w:sz w:val="20"/>
        </w:rPr>
        <w:t>本文件所含系统、代码、故障模式、技术参数、分析结论及维修措施均为合成测试数据，仅用于RAG知识库、信息抽取、检索评测和智能体功能验证，不得作为实际航空运行、放行或维修依据。</w:t>
      </w:r>
    </w:p>
    <w:p>
      <w:r>
        <w:br w:type="page"/>
      </w:r>
    </w:p>
    <w:p>
      <w:pPr>
        <w:pStyle w:val="Heading1"/>
        <w:keepNext/>
      </w:pPr>
      <w:r>
        <w:t>1 建模说明</w:t>
      </w:r>
    </w:p>
    <w:p>
      <w:pPr>
        <w:spacing w:after="100" w:line="300" w:lineRule="auto"/>
        <w:jc w:val="both"/>
      </w:pPr>
      <w:r>
        <w:rPr>
          <w:rFonts w:ascii="Noto Sans CJK SC" w:hAnsi="Noto Sans CJK SC" w:eastAsia="Noto Sans CJK SC"/>
          <w:b w:val="0"/>
          <w:sz w:val="21"/>
        </w:rPr>
        <w:t>本报告通过可靠性框图描述系统成功功能与单元状态之间的逻辑依赖。串联系统要求所有串联单元正常；并联结构要求至少一个并联单元正常。模块失效率和计算结果均为合成数据。</w:t>
      </w:r>
    </w:p>
    <w:tbl>
      <w:tblPr>
        <w:tblStyle w:val="TableGrid"/>
        <w:tblW w:type="auto" w:w="0"/>
        <w:jc w:val="center"/>
        <w:tblLook w:firstColumn="1" w:firstRow="1" w:lastColumn="0" w:lastRow="0" w:noHBand="0" w:noVBand="1" w:val="04A0"/>
      </w:tblPr>
      <w:tblGrid>
        <w:gridCol w:w="15478"/>
      </w:tblGrid>
      <w:tr>
        <w:trPr>
          <w:cantSplit/>
          <w:tblHeader w:val="true"/>
        </w:trPr>
        <w:tc>
          <w:tcPr>
            <w:tcW w:type="dxa" w:w="15478"/>
            <w:shd w:fill="FFF2CC"/>
          </w:tcPr>
          <w:p>
            <w:pPr>
              <w:spacing w:after="40"/>
            </w:pPr>
            <w:r/>
            <w:r>
              <w:rPr>
                <w:rFonts w:ascii="Noto Sans CJK SC" w:hAnsi="Noto Sans CJK SC" w:eastAsia="Noto Sans CJK SC"/>
                <w:b/>
                <w:sz w:val="20"/>
              </w:rPr>
              <w:t>RAG与工具边界：</w:t>
            </w:r>
            <w:r>
              <w:rPr>
                <w:rFonts w:ascii="Noto Sans CJK SC" w:hAnsi="Noto Sans CJK SC" w:eastAsia="Noto Sans CJK SC"/>
                <w:sz w:val="20"/>
              </w:rPr>
              <w:t>向量检索可用于找到相关RBD模型和成功判据；系统可靠度必须由专用计算工具根据模型拓扑和参数计算，不应由大模型直接猜测。</w:t>
            </w:r>
          </w:p>
        </w:tc>
      </w:tr>
    </w:tbl>
    <w:p>
      <w:pPr>
        <w:pStyle w:val="Heading1"/>
        <w:keepNext/>
      </w:pPr>
      <w:r>
        <w:t>2 电源保障链可靠性模型</w:t>
      </w:r>
    </w:p>
    <w:p>
      <w:pPr>
        <w:spacing w:after="100" w:line="300" w:lineRule="auto"/>
        <w:jc w:val="both"/>
      </w:pPr>
      <w:r>
        <w:rPr>
          <w:rFonts w:ascii="Noto Sans CJK SC" w:hAnsi="Noto Sans CJK SC" w:eastAsia="Noto Sans CJK SC"/>
          <w:b w:val="0"/>
          <w:sz w:val="21"/>
        </w:rPr>
        <w:t>系统成功判据：输入调理、配电和保持模块正常，A/B两路电源中至少一路正常。</w:t>
      </w:r>
    </w:p>
    <w:p>
      <w:pPr>
        <w:spacing w:after="100" w:line="300" w:lineRule="auto"/>
        <w:jc w:val="both"/>
      </w:pPr>
      <w:r>
        <w:rPr>
          <w:rFonts w:ascii="Noto Sans CJK SC" w:hAnsi="Noto Sans CJK SC" w:eastAsia="Noto Sans CJK SC"/>
          <w:b w:val="0"/>
          <w:sz w:val="19"/>
        </w:rPr>
        <w:t>结构表达式：SERIES(ICU, PARALLEL(PSU-A, PSU-B), PDU, HUM)</w:t>
      </w:r>
    </w:p>
    <w:p>
      <w:pPr>
        <w:spacing w:after="0"/>
        <w:jc w:val="center"/>
      </w:pPr>
      <w:r>
        <w:drawing>
          <wp:inline xmlns:a="http://schemas.openxmlformats.org/drawingml/2006/main" xmlns:pic="http://schemas.openxmlformats.org/drawingml/2006/picture">
            <wp:extent cx="8640000" cy="1284076"/>
            <wp:docPr id="1" name="Picture 1"/>
            <wp:cNvGraphicFramePr>
              <a:graphicFrameLocks noChangeAspect="1"/>
            </wp:cNvGraphicFramePr>
            <a:graphic>
              <a:graphicData uri="http://schemas.openxmlformats.org/drawingml/2006/picture">
                <pic:pic>
                  <pic:nvPicPr>
                    <pic:cNvPr id="0" name="rbd_01.png"/>
                    <pic:cNvPicPr/>
                  </pic:nvPicPr>
                  <pic:blipFill>
                    <a:blip r:embed="rId11"/>
                    <a:stretch>
                      <a:fillRect/>
                    </a:stretch>
                  </pic:blipFill>
                  <pic:spPr>
                    <a:xfrm>
                      <a:off x="0" y="0"/>
                      <a:ext cx="8640000" cy="1284076"/>
                    </a:xfrm>
                    <a:prstGeom prst="rect"/>
                  </pic:spPr>
                </pic:pic>
              </a:graphicData>
            </a:graphic>
          </wp:inline>
        </w:drawing>
      </w:r>
    </w:p>
    <w:p>
      <w:pPr>
        <w:keepNext w:val="0"/>
        <w:spacing w:before="40" w:after="120"/>
        <w:jc w:val="center"/>
      </w:pPr>
      <w:r>
        <w:rPr>
          <w:rFonts w:ascii="Noto Sans CJK SC" w:hAnsi="Noto Sans CJK SC" w:eastAsia="Noto Sans CJK SC"/>
          <w:b/>
          <w:sz w:val="18"/>
        </w:rPr>
        <w:t>图2-1 电源保障链可靠性模型</w:t>
      </w:r>
    </w:p>
    <w:p>
      <w:pPr>
        <w:pStyle w:val="Heading2"/>
        <w:keepNext/>
      </w:pPr>
      <w:r>
        <w:t>2.1 模块参数</w:t>
      </w:r>
    </w:p>
    <w:tbl>
      <w:tblPr>
        <w:tblStyle w:val="TableGrid"/>
        <w:tblW w:type="auto" w:w="0"/>
        <w:jc w:val="center"/>
        <w:tblLayout w:type="fixed"/>
        <w:tblLook w:firstColumn="1" w:firstRow="1" w:lastColumn="0" w:lastRow="0" w:noHBand="0" w:noVBand="1" w:val="04A0"/>
        <w:tblBorders>
          <w:top w:val="single" w:sz="4" w:space="0" w:color="7A7A7A"/>
          <w:start w:val="single" w:sz="4" w:space="0" w:color="7A7A7A"/>
          <w:bottom w:val="single" w:sz="4" w:space="0" w:color="7A7A7A"/>
          <w:end w:val="single" w:sz="4" w:space="0" w:color="7A7A7A"/>
          <w:insideH w:val="single" w:sz="4" w:space="0" w:color="7A7A7A"/>
          <w:insideV w:val="single" w:sz="4" w:space="0" w:color="7A7A7A"/>
        </w:tblBorders>
      </w:tblPr>
      <w:tblGrid>
        <w:gridCol w:w="3096"/>
        <w:gridCol w:w="3096"/>
        <w:gridCol w:w="3096"/>
        <w:gridCol w:w="3096"/>
        <w:gridCol w:w="3096"/>
      </w:tblGrid>
      <w:tr>
        <w:trPr>
          <w:tblHeader w:val="true"/>
          <w:cantSplit/>
        </w:trPr>
        <w:tc>
          <w:tcPr>
            <w:tcW w:type="dxa" w:w="2268"/>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模块ID</w:t>
            </w:r>
          </w:p>
        </w:tc>
        <w:tc>
          <w:tcPr>
            <w:tcW w:type="dxa" w:w="1417"/>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缩写</w:t>
            </w:r>
          </w:p>
        </w:tc>
        <w:tc>
          <w:tcPr>
            <w:tcW w:type="dxa" w:w="3685"/>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模块名称</w:t>
            </w:r>
          </w:p>
        </w:tc>
        <w:tc>
          <w:tcPr>
            <w:tcW w:type="dxa" w:w="2268"/>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失效率λ（1/h）</w:t>
            </w:r>
          </w:p>
        </w:tc>
        <w:tc>
          <w:tcPr>
            <w:tcW w:type="dxa" w:w="4536"/>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可靠度模型</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MOD-PWR-ICU</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ICU</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输入调理模块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1.70e-05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MOD-PWR-PSUA</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PSU-A</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A路电源模块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2.10e-05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MOD-PWR-PSUB</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PSU-B</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B路电源模块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2.20e-05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MOD-PWR-PDU</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PDU</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电源分配模块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1.80e-05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MOD-PWR-HUM</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HUM</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保持供电模块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1.40e-05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bl>
    <w:p>
      <w:pPr>
        <w:pStyle w:val="Heading2"/>
        <w:keepNext/>
      </w:pPr>
      <w:r>
        <w:t>2.2 可靠度计算结果</w:t>
      </w:r>
    </w:p>
    <w:tbl>
      <w:tblPr>
        <w:tblStyle w:val="TableGrid"/>
        <w:tblW w:type="auto" w:w="0"/>
        <w:jc w:val="center"/>
        <w:tblLayout w:type="fixed"/>
        <w:tblLook w:firstColumn="1" w:firstRow="1" w:lastColumn="0" w:lastRow="0" w:noHBand="0" w:noVBand="1" w:val="04A0"/>
        <w:tblBorders>
          <w:top w:val="single" w:sz="4" w:space="0" w:color="7A7A7A"/>
          <w:start w:val="single" w:sz="4" w:space="0" w:color="7A7A7A"/>
          <w:bottom w:val="single" w:sz="4" w:space="0" w:color="7A7A7A"/>
          <w:end w:val="single" w:sz="4" w:space="0" w:color="7A7A7A"/>
          <w:insideH w:val="single" w:sz="4" w:space="0" w:color="7A7A7A"/>
          <w:insideV w:val="single" w:sz="4" w:space="0" w:color="7A7A7A"/>
        </w:tblBorders>
      </w:tblPr>
      <w:tblGrid>
        <w:gridCol w:w="5159"/>
        <w:gridCol w:w="5159"/>
        <w:gridCol w:w="5159"/>
      </w:tblGrid>
      <w:tr>
        <w:trPr>
          <w:tblHeader w:val="true"/>
          <w:cantSplit/>
        </w:trPr>
        <w:tc>
          <w:tcPr>
            <w:tcW w:type="dxa" w:w="2835"/>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任务时间/h</w:t>
            </w:r>
          </w:p>
        </w:tc>
        <w:tc>
          <w:tcPr>
            <w:tcW w:type="dxa" w:w="3969"/>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系统可靠度</w:t>
            </w:r>
          </w:p>
        </w:tc>
        <w:tc>
          <w:tcPr>
            <w:tcW w:type="dxa" w:w="3969"/>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不可靠度</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1</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0.99995100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4.900e-05</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5</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0.99975502</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2.450e-04</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10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0.99951007</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4.899e-04</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50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0.99755185</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2.448e-03</w:t>
            </w:r>
          </w:p>
        </w:tc>
      </w:tr>
    </w:tbl>
    <w:p>
      <w:pPr>
        <w:spacing w:after="100" w:line="300" w:lineRule="auto"/>
        <w:jc w:val="both"/>
      </w:pPr>
      <w:r>
        <w:rPr>
          <w:rFonts w:ascii="Noto Sans CJK SC" w:hAnsi="Noto Sans CJK SC" w:eastAsia="Noto Sans CJK SC"/>
          <w:b w:val="0"/>
          <w:sz w:val="21"/>
        </w:rPr>
        <w:t>敏感性分析建议：逐一提高或降低模块失效率，比较系统不可靠度变化；对于并联冗余单元，还应进一步考虑切换失败和共因失效。</w:t>
      </w:r>
    </w:p>
    <w:p>
      <w:pPr>
        <w:pStyle w:val="Heading1"/>
        <w:keepNext/>
      </w:pPr>
      <w:r>
        <w:t>3 核心处理功能可靠性模型</w:t>
      </w:r>
    </w:p>
    <w:p>
      <w:pPr>
        <w:spacing w:after="100" w:line="300" w:lineRule="auto"/>
        <w:jc w:val="both"/>
      </w:pPr>
      <w:r>
        <w:rPr>
          <w:rFonts w:ascii="Noto Sans CJK SC" w:hAnsi="Noto Sans CJK SC" w:eastAsia="Noto Sans CJK SC"/>
          <w:b w:val="0"/>
          <w:sz w:val="21"/>
        </w:rPr>
        <w:t>系统成功判据：电源链正常，GPP-A/B至少一路正常，存储和可编程逻辑模块正常。</w:t>
      </w:r>
    </w:p>
    <w:p>
      <w:pPr>
        <w:spacing w:after="100" w:line="300" w:lineRule="auto"/>
        <w:jc w:val="both"/>
      </w:pPr>
      <w:r>
        <w:rPr>
          <w:rFonts w:ascii="Noto Sans CJK SC" w:hAnsi="Noto Sans CJK SC" w:eastAsia="Noto Sans CJK SC"/>
          <w:b w:val="0"/>
          <w:sz w:val="19"/>
        </w:rPr>
        <w:t>结构表达式：SERIES(ICU, PARALLEL(PSU-A, PSU-B), PDU, PARALLEL(GPP-A, GPP-B), MSM, FPA)</w:t>
      </w:r>
    </w:p>
    <w:p>
      <w:pPr>
        <w:spacing w:after="0"/>
        <w:jc w:val="center"/>
      </w:pPr>
      <w:r>
        <w:drawing>
          <wp:inline xmlns:a="http://schemas.openxmlformats.org/drawingml/2006/main" xmlns:pic="http://schemas.openxmlformats.org/drawingml/2006/picture">
            <wp:extent cx="8640000" cy="826230"/>
            <wp:docPr id="2" name="Picture 2"/>
            <wp:cNvGraphicFramePr>
              <a:graphicFrameLocks noChangeAspect="1"/>
            </wp:cNvGraphicFramePr>
            <a:graphic>
              <a:graphicData uri="http://schemas.openxmlformats.org/drawingml/2006/picture">
                <pic:pic>
                  <pic:nvPicPr>
                    <pic:cNvPr id="0" name="rbd_02.png"/>
                    <pic:cNvPicPr/>
                  </pic:nvPicPr>
                  <pic:blipFill>
                    <a:blip r:embed="rId12"/>
                    <a:stretch>
                      <a:fillRect/>
                    </a:stretch>
                  </pic:blipFill>
                  <pic:spPr>
                    <a:xfrm>
                      <a:off x="0" y="0"/>
                      <a:ext cx="8640000" cy="826230"/>
                    </a:xfrm>
                    <a:prstGeom prst="rect"/>
                  </pic:spPr>
                </pic:pic>
              </a:graphicData>
            </a:graphic>
          </wp:inline>
        </w:drawing>
      </w:r>
    </w:p>
    <w:p>
      <w:pPr>
        <w:keepNext w:val="0"/>
        <w:spacing w:before="40" w:after="120"/>
        <w:jc w:val="center"/>
      </w:pPr>
      <w:r>
        <w:rPr>
          <w:rFonts w:ascii="Noto Sans CJK SC" w:hAnsi="Noto Sans CJK SC" w:eastAsia="Noto Sans CJK SC"/>
          <w:b/>
          <w:sz w:val="18"/>
        </w:rPr>
        <w:t>图3-1 核心处理功能可靠性模型</w:t>
      </w:r>
    </w:p>
    <w:p>
      <w:pPr>
        <w:pStyle w:val="Heading2"/>
        <w:keepNext/>
      </w:pPr>
      <w:r>
        <w:t>3.1 模块参数</w:t>
      </w:r>
    </w:p>
    <w:tbl>
      <w:tblPr>
        <w:tblStyle w:val="TableGrid"/>
        <w:tblW w:type="auto" w:w="0"/>
        <w:jc w:val="center"/>
        <w:tblLayout w:type="fixed"/>
        <w:tblLook w:firstColumn="1" w:firstRow="1" w:lastColumn="0" w:lastRow="0" w:noHBand="0" w:noVBand="1" w:val="04A0"/>
        <w:tblBorders>
          <w:top w:val="single" w:sz="4" w:space="0" w:color="7A7A7A"/>
          <w:start w:val="single" w:sz="4" w:space="0" w:color="7A7A7A"/>
          <w:bottom w:val="single" w:sz="4" w:space="0" w:color="7A7A7A"/>
          <w:end w:val="single" w:sz="4" w:space="0" w:color="7A7A7A"/>
          <w:insideH w:val="single" w:sz="4" w:space="0" w:color="7A7A7A"/>
          <w:insideV w:val="single" w:sz="4" w:space="0" w:color="7A7A7A"/>
        </w:tblBorders>
      </w:tblPr>
      <w:tblGrid>
        <w:gridCol w:w="3096"/>
        <w:gridCol w:w="3096"/>
        <w:gridCol w:w="3096"/>
        <w:gridCol w:w="3096"/>
        <w:gridCol w:w="3096"/>
      </w:tblGrid>
      <w:tr>
        <w:trPr>
          <w:tblHeader w:val="true"/>
          <w:cantSplit/>
        </w:trPr>
        <w:tc>
          <w:tcPr>
            <w:tcW w:type="dxa" w:w="2268"/>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模块ID</w:t>
            </w:r>
          </w:p>
        </w:tc>
        <w:tc>
          <w:tcPr>
            <w:tcW w:type="dxa" w:w="1417"/>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缩写</w:t>
            </w:r>
          </w:p>
        </w:tc>
        <w:tc>
          <w:tcPr>
            <w:tcW w:type="dxa" w:w="3685"/>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模块名称</w:t>
            </w:r>
          </w:p>
        </w:tc>
        <w:tc>
          <w:tcPr>
            <w:tcW w:type="dxa" w:w="2268"/>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失效率λ（1/h）</w:t>
            </w:r>
          </w:p>
        </w:tc>
        <w:tc>
          <w:tcPr>
            <w:tcW w:type="dxa" w:w="4536"/>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可靠度模型</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MOD-PWR-ICU</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ICU</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输入调理模块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1.70e-05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MOD-PWR-PSUA</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PSU-A</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A路电源模块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2.10e-05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MOD-PWR-PSUB</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PSU-B</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B路电源模块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2.20e-05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MOD-PWR-PDU</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PDU</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电源分配模块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1.80e-05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MOD-GPP-GPPA</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GPP-A</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A通道通用处理模块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2.50e-05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MOD-GPP-GPPB</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GPP-B</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B通道通用处理模块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2.60e-05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MOD-GPP-MSM</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MSM</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模板与数据存储模块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1.60e-05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MOD-GPP-FPGA</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FPA</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可编程逻辑加速模块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2.00e-05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bl>
    <w:p>
      <w:pPr>
        <w:pStyle w:val="Heading2"/>
        <w:keepNext/>
      </w:pPr>
      <w:r>
        <w:t>3.2 可靠度计算结果</w:t>
      </w:r>
    </w:p>
    <w:tbl>
      <w:tblPr>
        <w:tblStyle w:val="TableGrid"/>
        <w:tblW w:type="auto" w:w="0"/>
        <w:jc w:val="center"/>
        <w:tblLayout w:type="fixed"/>
        <w:tblLook w:firstColumn="1" w:firstRow="1" w:lastColumn="0" w:lastRow="0" w:noHBand="0" w:noVBand="1" w:val="04A0"/>
        <w:tblBorders>
          <w:top w:val="single" w:sz="4" w:space="0" w:color="7A7A7A"/>
          <w:start w:val="single" w:sz="4" w:space="0" w:color="7A7A7A"/>
          <w:bottom w:val="single" w:sz="4" w:space="0" w:color="7A7A7A"/>
          <w:end w:val="single" w:sz="4" w:space="0" w:color="7A7A7A"/>
          <w:insideH w:val="single" w:sz="4" w:space="0" w:color="7A7A7A"/>
          <w:insideV w:val="single" w:sz="4" w:space="0" w:color="7A7A7A"/>
        </w:tblBorders>
      </w:tblPr>
      <w:tblGrid>
        <w:gridCol w:w="5159"/>
        <w:gridCol w:w="5159"/>
        <w:gridCol w:w="5159"/>
      </w:tblGrid>
      <w:tr>
        <w:trPr>
          <w:tblHeader w:val="true"/>
          <w:cantSplit/>
        </w:trPr>
        <w:tc>
          <w:tcPr>
            <w:tcW w:type="dxa" w:w="2835"/>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任务时间/h</w:t>
            </w:r>
          </w:p>
        </w:tc>
        <w:tc>
          <w:tcPr>
            <w:tcW w:type="dxa" w:w="3969"/>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系统可靠度</w:t>
            </w:r>
          </w:p>
        </w:tc>
        <w:tc>
          <w:tcPr>
            <w:tcW w:type="dxa" w:w="3969"/>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不可靠度</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1</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0.99992900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7.100e-05</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5</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0.99964504</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3.550e-04</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10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0.99929014</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7.099e-04</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50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0.99645353</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3.546e-03</w:t>
            </w:r>
          </w:p>
        </w:tc>
      </w:tr>
    </w:tbl>
    <w:p>
      <w:pPr>
        <w:spacing w:after="100" w:line="300" w:lineRule="auto"/>
        <w:jc w:val="both"/>
      </w:pPr>
      <w:r>
        <w:rPr>
          <w:rFonts w:ascii="Noto Sans CJK SC" w:hAnsi="Noto Sans CJK SC" w:eastAsia="Noto Sans CJK SC"/>
          <w:b w:val="0"/>
          <w:sz w:val="21"/>
        </w:rPr>
        <w:t>敏感性分析建议：逐一提高或降低模块失效率，比较系统不可靠度变化；对于并联冗余单元，还应进一步考虑切换失败和共因失效。</w:t>
      </w:r>
    </w:p>
    <w:p>
      <w:pPr>
        <w:pStyle w:val="Heading1"/>
        <w:keepNext/>
      </w:pPr>
      <w:r>
        <w:t>4 外部通信功能可靠性模型</w:t>
      </w:r>
    </w:p>
    <w:p>
      <w:pPr>
        <w:spacing w:after="100" w:line="300" w:lineRule="auto"/>
        <w:jc w:val="both"/>
      </w:pPr>
      <w:r>
        <w:rPr>
          <w:rFonts w:ascii="Noto Sans CJK SC" w:hAnsi="Noto Sans CJK SC" w:eastAsia="Noto Sans CJK SC"/>
          <w:b w:val="0"/>
          <w:sz w:val="21"/>
        </w:rPr>
        <w:t>系统成功判据：电源链正常，A/B总线至少一路正常，网关、协议转换与时钟模块正常。</w:t>
      </w:r>
    </w:p>
    <w:p>
      <w:pPr>
        <w:spacing w:after="100" w:line="300" w:lineRule="auto"/>
        <w:jc w:val="both"/>
      </w:pPr>
      <w:r>
        <w:rPr>
          <w:rFonts w:ascii="Noto Sans CJK SC" w:hAnsi="Noto Sans CJK SC" w:eastAsia="Noto Sans CJK SC"/>
          <w:b w:val="0"/>
          <w:sz w:val="19"/>
        </w:rPr>
        <w:t>结构表达式：SERIES(ICU, PARALLEL(PSU-A, PSU-B), PDU, PARALLEL(BCA, BCB), NGW, PCU, CGM)</w:t>
      </w:r>
    </w:p>
    <w:p>
      <w:pPr>
        <w:spacing w:after="0"/>
        <w:jc w:val="center"/>
      </w:pPr>
      <w:r>
        <w:drawing>
          <wp:inline xmlns:a="http://schemas.openxmlformats.org/drawingml/2006/main" xmlns:pic="http://schemas.openxmlformats.org/drawingml/2006/picture">
            <wp:extent cx="8640000" cy="755528"/>
            <wp:docPr id="3" name="Picture 3"/>
            <wp:cNvGraphicFramePr>
              <a:graphicFrameLocks noChangeAspect="1"/>
            </wp:cNvGraphicFramePr>
            <a:graphic>
              <a:graphicData uri="http://schemas.openxmlformats.org/drawingml/2006/picture">
                <pic:pic>
                  <pic:nvPicPr>
                    <pic:cNvPr id="0" name="rbd_03.png"/>
                    <pic:cNvPicPr/>
                  </pic:nvPicPr>
                  <pic:blipFill>
                    <a:blip r:embed="rId13"/>
                    <a:stretch>
                      <a:fillRect/>
                    </a:stretch>
                  </pic:blipFill>
                  <pic:spPr>
                    <a:xfrm>
                      <a:off x="0" y="0"/>
                      <a:ext cx="8640000" cy="755528"/>
                    </a:xfrm>
                    <a:prstGeom prst="rect"/>
                  </pic:spPr>
                </pic:pic>
              </a:graphicData>
            </a:graphic>
          </wp:inline>
        </w:drawing>
      </w:r>
    </w:p>
    <w:p>
      <w:pPr>
        <w:keepNext w:val="0"/>
        <w:spacing w:before="40" w:after="120"/>
        <w:jc w:val="center"/>
      </w:pPr>
      <w:r>
        <w:rPr>
          <w:rFonts w:ascii="Noto Sans CJK SC" w:hAnsi="Noto Sans CJK SC" w:eastAsia="Noto Sans CJK SC"/>
          <w:b/>
          <w:sz w:val="18"/>
        </w:rPr>
        <w:t>图4-1 外部通信功能可靠性模型</w:t>
      </w:r>
    </w:p>
    <w:p>
      <w:pPr>
        <w:pStyle w:val="Heading2"/>
        <w:keepNext/>
      </w:pPr>
      <w:r>
        <w:t>4.1 模块参数</w:t>
      </w:r>
    </w:p>
    <w:tbl>
      <w:tblPr>
        <w:tblStyle w:val="TableGrid"/>
        <w:tblW w:type="auto" w:w="0"/>
        <w:jc w:val="center"/>
        <w:tblLayout w:type="fixed"/>
        <w:tblLook w:firstColumn="1" w:firstRow="1" w:lastColumn="0" w:lastRow="0" w:noHBand="0" w:noVBand="1" w:val="04A0"/>
        <w:tblBorders>
          <w:top w:val="single" w:sz="4" w:space="0" w:color="7A7A7A"/>
          <w:start w:val="single" w:sz="4" w:space="0" w:color="7A7A7A"/>
          <w:bottom w:val="single" w:sz="4" w:space="0" w:color="7A7A7A"/>
          <w:end w:val="single" w:sz="4" w:space="0" w:color="7A7A7A"/>
          <w:insideH w:val="single" w:sz="4" w:space="0" w:color="7A7A7A"/>
          <w:insideV w:val="single" w:sz="4" w:space="0" w:color="7A7A7A"/>
        </w:tblBorders>
      </w:tblPr>
      <w:tblGrid>
        <w:gridCol w:w="3096"/>
        <w:gridCol w:w="3096"/>
        <w:gridCol w:w="3096"/>
        <w:gridCol w:w="3096"/>
        <w:gridCol w:w="3096"/>
      </w:tblGrid>
      <w:tr>
        <w:trPr>
          <w:tblHeader w:val="true"/>
          <w:cantSplit/>
        </w:trPr>
        <w:tc>
          <w:tcPr>
            <w:tcW w:type="dxa" w:w="2268"/>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模块ID</w:t>
            </w:r>
          </w:p>
        </w:tc>
        <w:tc>
          <w:tcPr>
            <w:tcW w:type="dxa" w:w="1417"/>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缩写</w:t>
            </w:r>
          </w:p>
        </w:tc>
        <w:tc>
          <w:tcPr>
            <w:tcW w:type="dxa" w:w="3685"/>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模块名称</w:t>
            </w:r>
          </w:p>
        </w:tc>
        <w:tc>
          <w:tcPr>
            <w:tcW w:type="dxa" w:w="2268"/>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失效率λ（1/h）</w:t>
            </w:r>
          </w:p>
        </w:tc>
        <w:tc>
          <w:tcPr>
            <w:tcW w:type="dxa" w:w="4536"/>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可靠度模型</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MOD-PWR-ICU</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ICU</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输入调理模块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1.70e-05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MOD-PWR-PSUA</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PSU-A</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A路电源模块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2.10e-05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MOD-PWR-PSUB</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PSU-B</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B路电源模块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2.20e-05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MOD-PWR-PDU</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PDU</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电源分配模块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1.80e-05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MOD-IFC-BCA</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BCA</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A通道总线控制模块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1.80e-05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MOD-IFC-BCB</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BCB</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B通道总线控制模块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1.90e-05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MOD-IFC-NGW</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NGW</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网络网关模块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2.20e-05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MOD-IFC-PCU</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PCU</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协议转换模块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2.00e-05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MOD-TCS-CGM</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CGM</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时钟生成模块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1.30e-05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bl>
    <w:p>
      <w:pPr>
        <w:pStyle w:val="Heading2"/>
        <w:keepNext/>
      </w:pPr>
      <w:r>
        <w:t>4.2 可靠度计算结果</w:t>
      </w:r>
    </w:p>
    <w:tbl>
      <w:tblPr>
        <w:tblStyle w:val="TableGrid"/>
        <w:tblW w:type="auto" w:w="0"/>
        <w:jc w:val="center"/>
        <w:tblLayout w:type="fixed"/>
        <w:tblLook w:firstColumn="1" w:firstRow="1" w:lastColumn="0" w:lastRow="0" w:noHBand="0" w:noVBand="1" w:val="04A0"/>
        <w:tblBorders>
          <w:top w:val="single" w:sz="4" w:space="0" w:color="7A7A7A"/>
          <w:start w:val="single" w:sz="4" w:space="0" w:color="7A7A7A"/>
          <w:bottom w:val="single" w:sz="4" w:space="0" w:color="7A7A7A"/>
          <w:end w:val="single" w:sz="4" w:space="0" w:color="7A7A7A"/>
          <w:insideH w:val="single" w:sz="4" w:space="0" w:color="7A7A7A"/>
          <w:insideV w:val="single" w:sz="4" w:space="0" w:color="7A7A7A"/>
        </w:tblBorders>
      </w:tblPr>
      <w:tblGrid>
        <w:gridCol w:w="5159"/>
        <w:gridCol w:w="5159"/>
        <w:gridCol w:w="5159"/>
      </w:tblGrid>
      <w:tr>
        <w:trPr>
          <w:tblHeader w:val="true"/>
          <w:cantSplit/>
        </w:trPr>
        <w:tc>
          <w:tcPr>
            <w:tcW w:type="dxa" w:w="2835"/>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任务时间/h</w:t>
            </w:r>
          </w:p>
        </w:tc>
        <w:tc>
          <w:tcPr>
            <w:tcW w:type="dxa" w:w="3969"/>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系统可靠度</w:t>
            </w:r>
          </w:p>
        </w:tc>
        <w:tc>
          <w:tcPr>
            <w:tcW w:type="dxa" w:w="3969"/>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不可靠度</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1</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0.99991000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9.000e-05</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5</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0.99955008</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4.499e-04</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10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0.99910032</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8.997e-04</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50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0.99550811</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4.492e-03</w:t>
            </w:r>
          </w:p>
        </w:tc>
      </w:tr>
    </w:tbl>
    <w:p>
      <w:pPr>
        <w:spacing w:after="100" w:line="300" w:lineRule="auto"/>
        <w:jc w:val="both"/>
      </w:pPr>
      <w:r>
        <w:rPr>
          <w:rFonts w:ascii="Noto Sans CJK SC" w:hAnsi="Noto Sans CJK SC" w:eastAsia="Noto Sans CJK SC"/>
          <w:b w:val="0"/>
          <w:sz w:val="21"/>
        </w:rPr>
        <w:t>敏感性分析建议：逐一提高或降低模块失效率，比较系统不可靠度变化；对于并联冗余单元，还应进一步考虑切换失败和共因失效。</w:t>
      </w:r>
    </w:p>
    <w:p>
      <w:pPr>
        <w:pStyle w:val="Heading1"/>
        <w:keepNext/>
      </w:pPr>
      <w:r>
        <w:t>5 显示输出功能可靠性模型</w:t>
      </w:r>
    </w:p>
    <w:p>
      <w:pPr>
        <w:spacing w:after="100" w:line="300" w:lineRule="auto"/>
        <w:jc w:val="both"/>
      </w:pPr>
      <w:r>
        <w:rPr>
          <w:rFonts w:ascii="Noto Sans CJK SC" w:hAnsi="Noto Sans CJK SC" w:eastAsia="Noto Sans CJK SC"/>
          <w:b w:val="0"/>
          <w:sz w:val="21"/>
        </w:rPr>
        <w:t>系统成功判据：电源和处理路径正常，显示处理、缓存、输出接口与通道切换模块均正常。</w:t>
      </w:r>
    </w:p>
    <w:p>
      <w:pPr>
        <w:spacing w:after="100" w:line="300" w:lineRule="auto"/>
        <w:jc w:val="both"/>
      </w:pPr>
      <w:r>
        <w:rPr>
          <w:rFonts w:ascii="Noto Sans CJK SC" w:hAnsi="Noto Sans CJK SC" w:eastAsia="Noto Sans CJK SC"/>
          <w:b w:val="0"/>
          <w:sz w:val="19"/>
        </w:rPr>
        <w:t>结构表达式：SERIES(ICU, PARALLEL(PSU-A, PSU-B), PDU, PARALLEL(GPP-A, GPP-B), DPM, FBM, OIM, DCS)</w:t>
      </w:r>
    </w:p>
    <w:p>
      <w:pPr>
        <w:spacing w:after="0"/>
        <w:jc w:val="center"/>
      </w:pPr>
      <w:r>
        <w:drawing>
          <wp:inline xmlns:a="http://schemas.openxmlformats.org/drawingml/2006/main" xmlns:pic="http://schemas.openxmlformats.org/drawingml/2006/picture">
            <wp:extent cx="8640000" cy="663886"/>
            <wp:docPr id="4" name="Picture 4"/>
            <wp:cNvGraphicFramePr>
              <a:graphicFrameLocks noChangeAspect="1"/>
            </wp:cNvGraphicFramePr>
            <a:graphic>
              <a:graphicData uri="http://schemas.openxmlformats.org/drawingml/2006/picture">
                <pic:pic>
                  <pic:nvPicPr>
                    <pic:cNvPr id="0" name="rbd_04.png"/>
                    <pic:cNvPicPr/>
                  </pic:nvPicPr>
                  <pic:blipFill>
                    <a:blip r:embed="rId14"/>
                    <a:stretch>
                      <a:fillRect/>
                    </a:stretch>
                  </pic:blipFill>
                  <pic:spPr>
                    <a:xfrm>
                      <a:off x="0" y="0"/>
                      <a:ext cx="8640000" cy="663886"/>
                    </a:xfrm>
                    <a:prstGeom prst="rect"/>
                  </pic:spPr>
                </pic:pic>
              </a:graphicData>
            </a:graphic>
          </wp:inline>
        </w:drawing>
      </w:r>
    </w:p>
    <w:p>
      <w:pPr>
        <w:keepNext w:val="0"/>
        <w:spacing w:before="40" w:after="120"/>
        <w:jc w:val="center"/>
      </w:pPr>
      <w:r>
        <w:rPr>
          <w:rFonts w:ascii="Noto Sans CJK SC" w:hAnsi="Noto Sans CJK SC" w:eastAsia="Noto Sans CJK SC"/>
          <w:b/>
          <w:sz w:val="18"/>
        </w:rPr>
        <w:t>图5-1 显示输出功能可靠性模型</w:t>
      </w:r>
    </w:p>
    <w:p>
      <w:pPr>
        <w:pStyle w:val="Heading2"/>
        <w:keepNext/>
      </w:pPr>
      <w:r>
        <w:t>5.1 模块参数</w:t>
      </w:r>
    </w:p>
    <w:tbl>
      <w:tblPr>
        <w:tblStyle w:val="TableGrid"/>
        <w:tblW w:type="auto" w:w="0"/>
        <w:jc w:val="center"/>
        <w:tblLayout w:type="fixed"/>
        <w:tblLook w:firstColumn="1" w:firstRow="1" w:lastColumn="0" w:lastRow="0" w:noHBand="0" w:noVBand="1" w:val="04A0"/>
        <w:tblBorders>
          <w:top w:val="single" w:sz="4" w:space="0" w:color="7A7A7A"/>
          <w:start w:val="single" w:sz="4" w:space="0" w:color="7A7A7A"/>
          <w:bottom w:val="single" w:sz="4" w:space="0" w:color="7A7A7A"/>
          <w:end w:val="single" w:sz="4" w:space="0" w:color="7A7A7A"/>
          <w:insideH w:val="single" w:sz="4" w:space="0" w:color="7A7A7A"/>
          <w:insideV w:val="single" w:sz="4" w:space="0" w:color="7A7A7A"/>
        </w:tblBorders>
      </w:tblPr>
      <w:tblGrid>
        <w:gridCol w:w="3096"/>
        <w:gridCol w:w="3096"/>
        <w:gridCol w:w="3096"/>
        <w:gridCol w:w="3096"/>
        <w:gridCol w:w="3096"/>
      </w:tblGrid>
      <w:tr>
        <w:trPr>
          <w:tblHeader w:val="true"/>
          <w:cantSplit/>
        </w:trPr>
        <w:tc>
          <w:tcPr>
            <w:tcW w:type="dxa" w:w="2268"/>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模块ID</w:t>
            </w:r>
          </w:p>
        </w:tc>
        <w:tc>
          <w:tcPr>
            <w:tcW w:type="dxa" w:w="1417"/>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缩写</w:t>
            </w:r>
          </w:p>
        </w:tc>
        <w:tc>
          <w:tcPr>
            <w:tcW w:type="dxa" w:w="3685"/>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模块名称</w:t>
            </w:r>
          </w:p>
        </w:tc>
        <w:tc>
          <w:tcPr>
            <w:tcW w:type="dxa" w:w="2268"/>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失效率λ（1/h）</w:t>
            </w:r>
          </w:p>
        </w:tc>
        <w:tc>
          <w:tcPr>
            <w:tcW w:type="dxa" w:w="4536"/>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7"/>
              </w:rPr>
              <w:t>可靠度模型</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MOD-PWR-ICU</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ICU</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输入调理模块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1.70e-05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MOD-PWR-PSUA</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PSU-A</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A路电源模块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2.10e-05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MOD-PWR-PSUB</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PSU-B</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B路电源模块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2.20e-05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MOD-PWR-PDU</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PDU</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电源分配模块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1.80e-05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MOD-GPP-GPPA</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GPP-A</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A通道通用处理模块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2.50e-05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MOD-GPP-GPPB</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GPP-B</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B通道通用处理模块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2.60e-05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MOD-DSP-DPM</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DPM</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显示处理模块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2.40e-05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MOD-DSP-FBM</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FBM</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帧缓存模块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1.70e-05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MOD-DSP-OIM</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OIM</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输出接口模块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2.10e-05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r>
        <w:trPr>
          <w:cantSplit/>
        </w:trPr>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MOD-DSP-DCS</w:t>
            </w:r>
          </w:p>
        </w:tc>
        <w:tc>
          <w:tcPr>
            <w:tcW w:type="dxa" w:w="1417"/>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DCS</w:t>
            </w:r>
          </w:p>
        </w:tc>
        <w:tc>
          <w:tcPr>
            <w:tcW w:type="dxa" w:w="3685"/>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显示通道切换模块</w:t>
            </w:r>
          </w:p>
        </w:tc>
        <w:tc>
          <w:tcPr>
            <w:tcW w:type="dxa" w:w="2268"/>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1.50e-05</w:t>
            </w:r>
          </w:p>
        </w:tc>
        <w:tc>
          <w:tcPr>
            <w:tcW w:type="dxa" w:w="4536"/>
            <w:vAlign w:val="center"/>
            <w:tcMar>
              <w:top w:w="40" w:type="dxa"/>
              <w:start w:w="50" w:type="dxa"/>
              <w:bottom w:w="40" w:type="dxa"/>
              <w:end w:w="50" w:type="dxa"/>
            </w:tcMar>
          </w:tcPr>
          <w:p>
            <w:pPr>
              <w:spacing w:before="0" w:after="0" w:line="240" w:lineRule="auto"/>
              <w:jc w:val="left"/>
            </w:pPr>
            <w:r/>
            <w:r>
              <w:rPr>
                <w:rFonts w:ascii="Noto Sans CJK SC" w:hAnsi="Noto Sans CJK SC" w:eastAsia="Noto Sans CJK SC"/>
                <w:b w:val="0"/>
                <w:sz w:val="17"/>
              </w:rPr>
              <w:t>指数分布 R(t)=exp(-λt)</w:t>
            </w:r>
          </w:p>
        </w:tc>
      </w:tr>
    </w:tbl>
    <w:p>
      <w:pPr>
        <w:pStyle w:val="Heading2"/>
        <w:keepNext/>
      </w:pPr>
      <w:r>
        <w:t>5.2 可靠度计算结果</w:t>
      </w:r>
    </w:p>
    <w:tbl>
      <w:tblPr>
        <w:tblStyle w:val="TableGrid"/>
        <w:tblW w:type="auto" w:w="0"/>
        <w:jc w:val="center"/>
        <w:tblLayout w:type="fixed"/>
        <w:tblLook w:firstColumn="1" w:firstRow="1" w:lastColumn="0" w:lastRow="0" w:noHBand="0" w:noVBand="1" w:val="04A0"/>
        <w:tblBorders>
          <w:top w:val="single" w:sz="4" w:space="0" w:color="7A7A7A"/>
          <w:start w:val="single" w:sz="4" w:space="0" w:color="7A7A7A"/>
          <w:bottom w:val="single" w:sz="4" w:space="0" w:color="7A7A7A"/>
          <w:end w:val="single" w:sz="4" w:space="0" w:color="7A7A7A"/>
          <w:insideH w:val="single" w:sz="4" w:space="0" w:color="7A7A7A"/>
          <w:insideV w:val="single" w:sz="4" w:space="0" w:color="7A7A7A"/>
        </w:tblBorders>
      </w:tblPr>
      <w:tblGrid>
        <w:gridCol w:w="5159"/>
        <w:gridCol w:w="5159"/>
        <w:gridCol w:w="5159"/>
      </w:tblGrid>
      <w:tr>
        <w:trPr>
          <w:tblHeader w:val="true"/>
          <w:cantSplit/>
        </w:trPr>
        <w:tc>
          <w:tcPr>
            <w:tcW w:type="dxa" w:w="2835"/>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任务时间/h</w:t>
            </w:r>
          </w:p>
        </w:tc>
        <w:tc>
          <w:tcPr>
            <w:tcW w:type="dxa" w:w="3969"/>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系统可靠度</w:t>
            </w:r>
          </w:p>
        </w:tc>
        <w:tc>
          <w:tcPr>
            <w:tcW w:type="dxa" w:w="3969"/>
            <w:vAlign w:val="center"/>
            <w:tcMar>
              <w:top w:w="40" w:type="dxa"/>
              <w:start w:w="50" w:type="dxa"/>
              <w:bottom w:w="40" w:type="dxa"/>
              <w:end w:w="50" w:type="dxa"/>
            </w:tcMar>
            <w:shd w:fill="D9EAF7"/>
          </w:tcPr>
          <w:p>
            <w:pPr>
              <w:spacing w:before="0" w:after="0" w:line="240" w:lineRule="auto"/>
              <w:jc w:val="center"/>
            </w:pPr>
            <w:r/>
            <w:r>
              <w:rPr>
                <w:rFonts w:ascii="Noto Sans CJK SC" w:hAnsi="Noto Sans CJK SC" w:eastAsia="Noto Sans CJK SC"/>
                <w:b/>
                <w:sz w:val="18"/>
              </w:rPr>
              <w:t>不可靠度</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1</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0.99988801</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1.120e-04</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5</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0.99944013</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5.599e-04</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10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0.99888052</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1.119e-03</w:t>
            </w:r>
          </w:p>
        </w:tc>
      </w:tr>
      <w:tr>
        <w:trPr>
          <w:cantSplit/>
        </w:trPr>
        <w:tc>
          <w:tcPr>
            <w:tcW w:type="dxa" w:w="2835"/>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50</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0.99441289</w:t>
            </w:r>
          </w:p>
        </w:tc>
        <w:tc>
          <w:tcPr>
            <w:tcW w:type="dxa" w:w="3969"/>
            <w:vAlign w:val="center"/>
            <w:tcMar>
              <w:top w:w="40" w:type="dxa"/>
              <w:start w:w="50" w:type="dxa"/>
              <w:bottom w:w="40" w:type="dxa"/>
              <w:end w:w="50" w:type="dxa"/>
            </w:tcMar>
          </w:tcPr>
          <w:p>
            <w:pPr>
              <w:spacing w:before="0" w:after="0" w:line="240" w:lineRule="auto"/>
              <w:jc w:val="center"/>
            </w:pPr>
            <w:r/>
            <w:r>
              <w:rPr>
                <w:rFonts w:ascii="Noto Sans CJK SC" w:hAnsi="Noto Sans CJK SC" w:eastAsia="Noto Sans CJK SC"/>
                <w:b w:val="0"/>
                <w:sz w:val="18"/>
              </w:rPr>
              <w:t>5.587e-03</w:t>
            </w:r>
          </w:p>
        </w:tc>
      </w:tr>
    </w:tbl>
    <w:p>
      <w:pPr>
        <w:spacing w:after="100" w:line="300" w:lineRule="auto"/>
        <w:jc w:val="both"/>
      </w:pPr>
      <w:r>
        <w:rPr>
          <w:rFonts w:ascii="Noto Sans CJK SC" w:hAnsi="Noto Sans CJK SC" w:eastAsia="Noto Sans CJK SC"/>
          <w:b w:val="0"/>
          <w:sz w:val="21"/>
        </w:rPr>
        <w:t>敏感性分析建议：逐一提高或降低模块失效率，比较系统不可靠度变化；对于并联冗余单元，还应进一步考虑切换失败和共因失效。</w:t>
      </w:r>
    </w:p>
    <w:sectPr w:rsidR="00FC693F" w:rsidRPr="0006063C" w:rsidSect="00034616">
      <w:headerReference w:type="default" r:id="rId9"/>
      <w:footerReference w:type="default" r:id="rId10"/>
      <w:pgSz w:w="16838" w:h="11906" w:orient="landscape"/>
      <w:pgMar w:top="680" w:right="680" w:bottom="680"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olor w:val="646464"/>
        <w:sz w:val="16"/>
      </w:rPr>
      <w:t xml:space="preserve">SYN-ICP-9000  ·  禁止用于实际运行或维修  ·  第 </w:t>
    </w:r>
    <w:fldSimple w:instr="PAGE">
      <w:r>
        <w:rPr>
          <w:rFonts w:ascii="Noto Sans CJK SC" w:hAnsi="Noto Sans CJK SC" w:eastAsia="Noto Sans CJK SC"/>
          <w:sz w:val="16"/>
        </w:rPr>
        <w:t>1</w:t>
      </w:r>
    </w:fldSimple>
    <w:r>
      <w:rPr>
        <w:rFonts w:ascii="Noto Sans CJK SC" w:hAnsi="Noto Sans CJK SC" w:eastAsia="Noto Sans CJK SC"/>
        <w:color w:val="646464"/>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Noto Sans CJK SC" w:hAnsi="Noto Sans CJK SC" w:eastAsia="Noto Sans CJK SC"/>
        <w:color w:val="5A5A5A"/>
        <w:sz w:val="16"/>
      </w:rPr>
      <w:t>【合成测试数据】  RBD可靠性框图分析报告  |  SYN-ICP-DOC-005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RBD可靠性框图分析报告</dc:title>
  <dc:subject>合成航空故障知识域RAG测试文档</dc:subject>
  <dc:creator>Synthetic Knowledge Package Generator</dc:creator>
  <cp:keywords/>
  <dc:description>本文件所含系统、代码、故障模式、技术参数、分析结论及维修措施均为合成测试数据，仅用于RAG知识库、信息抽取、检索评测和智能体功能验证，不得作为实际航空运行、放行或维修依据。</dc:description>
  <cp:lastModifiedBy/>
  <cp:revision>1</cp:revision>
  <dcterms:created xsi:type="dcterms:W3CDTF">2013-12-23T23:15:00Z</dcterms:created>
  <dcterms:modified xsi:type="dcterms:W3CDTF">2013-12-23T23:15:00Z</dcterms:modified>
  <cp:category/>
</cp:coreProperties>
</file>