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漏洞库每年新登记的条目稳定在两万条以上，且仍在快速增长[1]。Microsoft、Google 等厂商陆续公开承认，仅依靠人工审计与安全编程规范并不足以彻底清除上层代码中的内存安全 Bug[2][3]。因此，漏洞触发后的拦截与防御变得越发重要：栈金丝雀（stack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本课题分为三部分工作，相互依赖关系如图 3 所示：不变量形式化是预言机与种子目标选择的基础；预言机提供安全判定接口；覆盖率驱动的种子生成负责将测试输入推进到特定代码路径。</w:t>
            </w:r>
          </w:p>
          <w:p w14:paraId="4FEA3431">
            <w:pPr>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研究内容工作链条</w:t>
            </w:r>
          </w:p>
          <w:p w14:paraId="30951E86">
            <w:pPr>
              <w:spacing w:line="360" w:lineRule="auto"/>
              <w:rPr>
                <w:sz w:val="24"/>
              </w:rPr>
            </w:pP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不变量到预言机的工程化落地。将不变量翻译为二进制层面或运行行为上的检查器。框架将检查器分为静态与动态两类：静态检查通过 ELF 符号、指令流模式、属性 note 做断言式判定；动态检查通过受控执行（如对 buffer 填充长度做二分搜索）观察运行行为。预言机判据建立在二进制和运行行为之上，与产生该二进制的具体编译器解耦，GCC 与 LLVM 产物共用同一套检查器。每个机制配置一个聚合器，任一检查器返回 Fail 即记机制级违例并附带证据；同时为每个机制记录开机制/关机制两套 flag profile，框架据此对同一颗种子做对照判定，避免与编译器自身缺省行为混淆。</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结合控制流图按"未覆盖且与防御机制相关性高"的策略选取基本块作为变异目标。每轮变异流程如下：构造目标上下文（含函数源码、基本块标注及示例种子），调用大模型生成新 C 种子，编译产物经预言机检查。若发现覆盖增量、命中目标或触发 bug，则保存种子。未命中目标但带来新覆盖的种子，将通过轻量级追踪定位发散点，回喂给模型进行下一轮精细变异。该过程确保了大模型生成始终聚焦于防御机制代码路径。</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的工程实现。GCC 上的初步验证证据见第五章。</w:t>
            </w: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等防御机制，并在 GCC 上发现 3 例已获上游确认的静默失效[6-9]。LLVM 侧实验将在下一阶段进行。下文展开分析其中两例，并在 5.3 节简述第三例（多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Microsoft Security Response Center. Microsoft Security Response Center Blog[EB/OL]. (2023)[2026-05-13]. https://www.microsoft.com/en-us/msrc/blog.</w:t>
            </w:r>
          </w:p>
          <w:p w14:paraId="6000F8AA">
            <w:pPr>
              <w:keepLines/>
              <w:spacing w:line="360" w:lineRule="auto"/>
              <w:jc w:val="left"/>
              <w:rPr>
                <w:kern w:val="0"/>
                <w:sz w:val="24"/>
              </w:rPr>
            </w:pPr>
            <w:r>
              <w:rPr>
                <w:kern w:val="0"/>
                <w:sz w:val="24"/>
              </w:rPr>
              <w:t>[3] Google Security Blog. Memory Safe Languages in Android 13[EB/OL]. (2022-12)[2026-05-13]. https://security.googleblog.com/2022/12/memory-safe-languages-in-android-13.html.</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rPr>
                <w:rFonts w:hint="eastAsia" w:ascii="宋体" w:hAnsi="宋体"/>
                <w:sz w:val="24"/>
              </w:rPr>
            </w:pP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cHNbRAAAAAwEAAA8AAAAAAAAAAQAgAAAAIgAAAGRycy9kb3ducmV2&#10;LnhtbFBLAQIUABQAAAAIAIdO4kC4PwPPygEAALMDAAAOAAAAAAAAAAEAIAAAACABAABkcnMvZTJv&#10;RG9jLnhtbFBLBQYAAAAABgAGAFkBAABcBQAAAAA=&#10;">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