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Default Extension="png" ContentType="image/png"/>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76A5E6">
      <w:pPr>
        <w:jc w:val="right"/>
        <w:rPr>
          <w:rFonts w:hint="eastAsia" w:ascii="宋体" w:hAnsi="宋体"/>
        </w:rPr>
      </w:pPr>
      <w:r>
        <w:rPr>
          <w:rFonts w:hint="eastAsia" w:ascii="宋体" w:hAnsi="宋体"/>
        </w:rPr>
        <w:t>学号：</w:t>
      </w:r>
      <w:r>
        <w:rPr>
          <w:rFonts w:hint="eastAsia" w:ascii="宋体" w:hAnsi="宋体"/>
          <w:u w:val="single"/>
        </w:rPr>
        <w:tab/>
      </w:r>
      <w:r>
        <w:rPr>
          <w:rFonts w:hint="eastAsia" w:ascii="宋体" w:hAnsi="宋体"/>
          <w:u w:val="single"/>
          <w:lang w:val="en-US" w:eastAsia="zh-CN"/>
        </w:rPr>
        <w:t>245569</w:t>
      </w:r>
      <w:r>
        <w:rPr>
          <w:rFonts w:hint="eastAsia" w:ascii="宋体" w:hAnsi="宋体"/>
          <w:u w:val="single"/>
        </w:rPr>
        <w:tab/>
      </w:r>
    </w:p>
    <w:p w14:paraId="56655804">
      <w:pPr>
        <w:rPr>
          <w:rFonts w:hint="eastAsia" w:ascii="宋体" w:hAnsi="宋体"/>
        </w:rPr>
      </w:pPr>
    </w:p>
    <w:p w14:paraId="51E63CCF">
      <w:pPr>
        <w:rPr>
          <w:rFonts w:hint="eastAsia" w:ascii="宋体" w:hAnsi="宋体"/>
        </w:rPr>
      </w:pPr>
    </w:p>
    <w:p w14:paraId="1F84F0FF">
      <w:pPr>
        <w:spacing w:line="360" w:lineRule="auto"/>
        <w:jc w:val="center"/>
        <w:rPr>
          <w:rFonts w:hint="eastAsia" w:ascii="宋体" w:hAnsi="宋体"/>
          <w:b/>
          <w:sz w:val="44"/>
          <w:szCs w:val="44"/>
        </w:rPr>
      </w:pPr>
    </w:p>
    <w:p w14:paraId="4D90CA59">
      <w:pPr>
        <w:spacing w:line="360" w:lineRule="auto"/>
        <w:jc w:val="center"/>
        <w:rPr>
          <w:rFonts w:hint="eastAsia" w:ascii="方正小标宋简体;汉仪书宋二KW" w:hAnsi="方正小标宋简体;汉仪书宋二KW" w:eastAsia="方正小标宋简体;汉仪书宋二KW"/>
          <w:b/>
          <w:sz w:val="44"/>
        </w:rPr>
      </w:pPr>
      <w:r>
        <w:rPr>
          <w:rFonts w:hint="eastAsia" w:ascii="宋体" w:hAnsi="宋体"/>
          <w:b/>
          <w:sz w:val="44"/>
          <w:szCs w:val="44"/>
        </w:rPr>
        <w:t>东南大学</w:t>
      </w:r>
      <w:r>
        <w:rPr>
          <w:rFonts w:hint="eastAsia" w:ascii="方正小标宋简体;汉仪书宋二KW" w:hAnsi="方正小标宋简体;汉仪书宋二KW" w:eastAsia="方正小标宋简体;汉仪书宋二KW"/>
          <w:b/>
          <w:sz w:val="44"/>
        </w:rPr>
        <w:t>专业学位型研究生</w:t>
      </w:r>
    </w:p>
    <w:p w14:paraId="62018040">
      <w:pPr>
        <w:snapToGrid w:val="0"/>
        <w:spacing w:line="360" w:lineRule="auto"/>
        <w:jc w:val="center"/>
        <w:rPr>
          <w:rFonts w:hint="eastAsia" w:ascii="宋体" w:hAnsi="宋体"/>
          <w:b/>
        </w:rPr>
      </w:pPr>
      <w:r>
        <w:rPr>
          <w:rFonts w:hint="eastAsia" w:ascii="方正小标宋简体;汉仪书宋二KW" w:hAnsi="方正小标宋简体;汉仪书宋二KW" w:eastAsia="方正小标宋简体;汉仪书宋二KW"/>
          <w:b/>
          <w:sz w:val="44"/>
        </w:rPr>
        <w:t>学位论文开题报告及论文实施计划</w:t>
      </w:r>
    </w:p>
    <w:p w14:paraId="51777AFB">
      <w:pPr>
        <w:rPr>
          <w:rFonts w:hint="eastAsia" w:ascii="宋体" w:hAnsi="宋体"/>
          <w:b/>
        </w:rPr>
      </w:pPr>
    </w:p>
    <w:p w14:paraId="6CED3FB6">
      <w:pPr>
        <w:rPr>
          <w:rFonts w:hint="eastAsia" w:ascii="宋体" w:hAnsi="宋体"/>
        </w:rPr>
      </w:pPr>
    </w:p>
    <w:p w14:paraId="119B77C9">
      <w:pPr>
        <w:snapToGrid w:val="0"/>
        <w:spacing w:line="500" w:lineRule="exact"/>
        <w:ind w:left="2700" w:right="0"/>
        <w:rPr>
          <w:rFonts w:hint="eastAsia" w:ascii="宋体" w:hAnsi="宋体"/>
          <w:sz w:val="28"/>
        </w:rPr>
      </w:pPr>
      <w:r>
        <w:rPr>
          <w:rFonts w:hint="eastAsia" w:ascii="宋体" w:hAnsi="宋体"/>
          <w:sz w:val="28"/>
        </w:rPr>
        <w:t xml:space="preserve">院（系、所）  </w:t>
      </w:r>
      <w:r>
        <w:rPr>
          <w:rFonts w:ascii="宋体" w:hAnsi="宋体"/>
          <w:sz w:val="28"/>
        </w:rPr>
        <w:t xml:space="preserve">  </w:t>
      </w:r>
      <w:r>
        <w:rPr>
          <w:rFonts w:hint="eastAsia" w:ascii="宋体" w:hAnsi="宋体"/>
          <w:sz w:val="28"/>
          <w:u w:val="single"/>
        </w:rPr>
        <w:tab/>
      </w:r>
      <w:r>
        <w:rPr>
          <w:rFonts w:ascii="宋体" w:hAnsi="宋体"/>
          <w:sz w:val="28"/>
          <w:u w:val="single"/>
        </w:rPr>
        <w:t xml:space="preserve">  </w:t>
      </w:r>
      <w:r>
        <w:rPr>
          <w:rFonts w:hint="eastAsia" w:ascii="宋体" w:hAnsi="宋体"/>
          <w:spacing w:val="40"/>
          <w:kern w:val="2"/>
          <w:sz w:val="28"/>
          <w:u w:val="single"/>
        </w:rPr>
        <w:t>网络空间安全学院</w:t>
      </w:r>
      <w:r>
        <w:rPr>
          <w:rFonts w:hint="eastAsia" w:ascii="宋体" w:hAnsi="宋体"/>
          <w:sz w:val="28"/>
          <w:u w:val="single"/>
        </w:rPr>
        <w:tab/>
      </w:r>
    </w:p>
    <w:p w14:paraId="6C941772">
      <w:pPr>
        <w:snapToGrid w:val="0"/>
        <w:spacing w:line="500" w:lineRule="exact"/>
        <w:ind w:left="2700" w:right="0"/>
        <w:rPr>
          <w:rFonts w:hint="eastAsia" w:ascii="宋体" w:hAnsi="宋体"/>
          <w:sz w:val="28"/>
        </w:rPr>
      </w:pPr>
    </w:p>
    <w:p w14:paraId="17001A80">
      <w:pPr>
        <w:snapToGrid w:val="0"/>
        <w:spacing w:line="500" w:lineRule="exact"/>
        <w:ind w:left="2700" w:right="0"/>
        <w:rPr>
          <w:rFonts w:hint="eastAsia" w:ascii="宋体" w:hAnsi="宋体"/>
          <w:kern w:val="2"/>
          <w:sz w:val="28"/>
        </w:rPr>
      </w:pPr>
      <w:r>
        <w:rPr>
          <w:rFonts w:hint="eastAsia" w:ascii="宋体" w:hAnsi="宋体"/>
          <w:spacing w:val="40"/>
          <w:kern w:val="2"/>
          <w:sz w:val="28"/>
        </w:rPr>
        <w:t xml:space="preserve">学位类别  </w:t>
      </w:r>
      <w:r>
        <w:rPr>
          <w:rFonts w:hint="eastAsia" w:ascii="宋体" w:hAnsi="宋体"/>
          <w:kern w:val="2"/>
          <w:sz w:val="28"/>
        </w:rPr>
        <w:t xml:space="preserve"> </w:t>
      </w:r>
      <w:r>
        <w:rPr>
          <w:rFonts w:ascii="宋体" w:hAnsi="宋体"/>
          <w:kern w:val="2"/>
          <w:sz w:val="28"/>
        </w:rPr>
        <w:t xml:space="preserve"> </w:t>
      </w:r>
      <w:r>
        <w:rPr>
          <w:rFonts w:hint="eastAsia" w:ascii="宋体" w:hAnsi="宋体"/>
          <w:kern w:val="2"/>
          <w:sz w:val="28"/>
          <w:lang w:val="en-US" w:eastAsia="zh-CN"/>
        </w:rPr>
        <w:t xml:space="preserve">  </w:t>
      </w:r>
      <w:r>
        <w:rPr>
          <w:rFonts w:hint="eastAsia" w:ascii="宋体" w:hAnsi="宋体"/>
          <w:spacing w:val="40"/>
          <w:kern w:val="2"/>
          <w:sz w:val="28"/>
          <w:u w:val="single"/>
        </w:rPr>
        <w:tab/>
        <w:tab/>
      </w:r>
      <w:r>
        <w:rPr>
          <w:rFonts w:hint="eastAsia" w:ascii="宋体" w:hAnsi="宋体"/>
          <w:spacing w:val="40"/>
          <w:kern w:val="2"/>
          <w:sz w:val="28"/>
          <w:u w:val="single"/>
          <w:lang w:val="en-US" w:eastAsia="zh-CN"/>
        </w:rPr>
        <w:t xml:space="preserve">  </w:t>
      </w:r>
      <w:r>
        <w:rPr>
          <w:rFonts w:hint="eastAsia" w:ascii="宋体" w:hAnsi="宋体"/>
          <w:spacing w:val="40"/>
          <w:kern w:val="2"/>
          <w:sz w:val="28"/>
          <w:u w:val="single"/>
          <w:lang w:eastAsia="zh-CN"/>
        </w:rPr>
        <w:t>专业硕士</w:t>
      </w:r>
      <w:r>
        <w:rPr>
          <w:rFonts w:hint="eastAsia" w:ascii="宋体" w:hAnsi="宋体"/>
          <w:spacing w:val="40"/>
          <w:kern w:val="2"/>
          <w:sz w:val="28"/>
          <w:u w:val="single"/>
        </w:rPr>
        <w:tab/>
        <w:tab/>
        <w:tab/>
      </w:r>
      <w:r>
        <w:rPr>
          <w:rFonts w:hint="eastAsia" w:ascii="宋体" w:hAnsi="宋体"/>
          <w:spacing w:val="40"/>
          <w:kern w:val="2"/>
          <w:sz w:val="28"/>
          <w:u w:val="single"/>
          <w:lang w:val="en-US" w:eastAsia="zh-CN"/>
        </w:rPr>
        <w:t xml:space="preserve">   </w:t>
      </w:r>
      <w:r>
        <w:rPr>
          <w:rFonts w:hint="eastAsia" w:ascii="宋体" w:hAnsi="宋体"/>
          <w:spacing w:val="40"/>
          <w:kern w:val="2"/>
          <w:sz w:val="28"/>
          <w:u w:val="single"/>
        </w:rPr>
        <w:t xml:space="preserve"> </w:t>
      </w:r>
      <w:r>
        <w:rPr>
          <w:rFonts w:ascii="宋体" w:hAnsi="宋体"/>
          <w:spacing w:val="40"/>
          <w:kern w:val="2"/>
          <w:sz w:val="28"/>
          <w:u w:val="single"/>
        </w:rPr>
        <w:t xml:space="preserve"> </w:t>
      </w:r>
      <w:r>
        <w:rPr>
          <w:rFonts w:hint="eastAsia" w:ascii="宋体" w:hAnsi="宋体"/>
          <w:spacing w:val="40"/>
          <w:kern w:val="2"/>
          <w:sz w:val="28"/>
          <w:u w:val="single"/>
        </w:rPr>
        <w:t xml:space="preserve"> </w:t>
      </w:r>
      <w:r>
        <w:rPr>
          <w:rFonts w:ascii="宋体" w:hAnsi="宋体"/>
          <w:sz w:val="28"/>
          <w:u w:val="single"/>
        </w:rPr>
        <w:t xml:space="preserve">   </w:t>
      </w:r>
      <w:r>
        <w:rPr>
          <w:rFonts w:ascii="宋体" w:hAnsi="宋体"/>
          <w:kern w:val="2"/>
          <w:sz w:val="28"/>
        </w:rPr>
        <w:t xml:space="preserve"> </w:t>
      </w:r>
    </w:p>
    <w:p w14:paraId="16DB093B">
      <w:pPr>
        <w:snapToGrid w:val="0"/>
        <w:spacing w:line="500" w:lineRule="exact"/>
        <w:ind w:left="2700" w:right="0"/>
        <w:rPr>
          <w:rFonts w:hint="eastAsia" w:ascii="宋体" w:hAnsi="宋体"/>
          <w:kern w:val="2"/>
          <w:sz w:val="28"/>
        </w:rPr>
      </w:pPr>
    </w:p>
    <w:p w14:paraId="0B6353B8">
      <w:pPr>
        <w:snapToGrid w:val="0"/>
        <w:spacing w:line="500" w:lineRule="exact"/>
        <w:ind w:left="2700" w:right="0"/>
        <w:rPr>
          <w:rFonts w:hint="eastAsia" w:ascii="宋体" w:hAnsi="宋体"/>
          <w:spacing w:val="40"/>
          <w:kern w:val="2"/>
          <w:sz w:val="28"/>
        </w:rPr>
      </w:pPr>
      <w:r>
        <w:rPr>
          <w:rFonts w:hint="eastAsia" w:ascii="宋体" w:hAnsi="宋体"/>
          <w:spacing w:val="40"/>
          <w:kern w:val="2"/>
          <w:sz w:val="28"/>
        </w:rPr>
        <w:t xml:space="preserve">专业领域  </w:t>
      </w:r>
      <w:r>
        <w:rPr>
          <w:rFonts w:ascii="宋体" w:hAnsi="宋体"/>
          <w:spacing w:val="40"/>
          <w:kern w:val="2"/>
          <w:sz w:val="28"/>
        </w:rPr>
        <w:t xml:space="preserve"> </w:t>
      </w:r>
      <w:r>
        <w:rPr>
          <w:rFonts w:hint="eastAsia" w:ascii="宋体" w:hAnsi="宋体"/>
          <w:spacing w:val="40"/>
          <w:kern w:val="2"/>
          <w:sz w:val="28"/>
          <w:lang w:val="en-US" w:eastAsia="zh-CN"/>
        </w:rPr>
        <w:t xml:space="preserve">  </w:t>
      </w:r>
      <w:r>
        <w:rPr>
          <w:rFonts w:ascii="宋体" w:hAnsi="宋体"/>
          <w:spacing w:val="40"/>
          <w:kern w:val="2"/>
          <w:sz w:val="28"/>
          <w:u w:val="single"/>
        </w:rPr>
        <w:t xml:space="preserve">  </w:t>
      </w:r>
      <w:r>
        <w:rPr>
          <w:rFonts w:hint="eastAsia" w:ascii="宋体" w:hAnsi="宋体"/>
          <w:spacing w:val="40"/>
          <w:kern w:val="2"/>
          <w:sz w:val="28"/>
          <w:u w:val="single"/>
        </w:rPr>
        <w:tab/>
        <w:tab/>
        <w:t>电子信息</w:t>
        <w:tab/>
        <w:tab/>
      </w:r>
    </w:p>
    <w:p w14:paraId="58C4EE11">
      <w:pPr>
        <w:snapToGrid w:val="0"/>
        <w:spacing w:line="500" w:lineRule="exact"/>
        <w:ind w:left="2700" w:right="0"/>
        <w:rPr>
          <w:rFonts w:hint="eastAsia" w:ascii="宋体" w:hAnsi="宋体"/>
          <w:spacing w:val="40"/>
          <w:kern w:val="2"/>
          <w:sz w:val="28"/>
        </w:rPr>
      </w:pPr>
    </w:p>
    <w:p w14:paraId="22206923">
      <w:pPr>
        <w:snapToGrid w:val="0"/>
        <w:spacing w:line="500" w:lineRule="exact"/>
        <w:ind w:left="2700" w:right="0"/>
        <w:rPr>
          <w:rFonts w:hint="eastAsia" w:ascii="宋体" w:hAnsi="宋体"/>
          <w:sz w:val="28"/>
        </w:rPr>
      </w:pPr>
      <w:r>
        <w:rPr>
          <w:rFonts w:hint="eastAsia" w:ascii="宋体" w:hAnsi="宋体"/>
          <w:sz w:val="28"/>
        </w:rPr>
        <w:t xml:space="preserve">研究生姓名  </w:t>
      </w:r>
      <w:r>
        <w:rPr>
          <w:rFonts w:ascii="宋体" w:hAnsi="宋体"/>
          <w:sz w:val="28"/>
        </w:rPr>
        <w:t xml:space="preserve">    </w:t>
      </w:r>
      <w:r>
        <w:rPr>
          <w:rFonts w:ascii="宋体" w:hAnsi="宋体"/>
          <w:spacing w:val="40"/>
          <w:kern w:val="2"/>
          <w:sz w:val="28"/>
          <w:u w:val="single"/>
        </w:rPr>
        <w:t xml:space="preserve">  </w:t>
      </w:r>
      <w:r>
        <w:rPr>
          <w:rFonts w:hint="eastAsia" w:ascii="宋体" w:hAnsi="宋体"/>
          <w:spacing w:val="40"/>
          <w:kern w:val="2"/>
          <w:sz w:val="28"/>
          <w:u w:val="single"/>
        </w:rPr>
        <w:tab/>
        <w:tab/>
      </w:r>
      <w:r>
        <w:rPr>
          <w:rFonts w:hint="eastAsia" w:ascii="宋体" w:hAnsi="宋体"/>
          <w:spacing w:val="40"/>
          <w:kern w:val="2"/>
          <w:sz w:val="28"/>
          <w:u w:val="single"/>
          <w:lang w:val="en-US" w:eastAsia="zh-CN"/>
        </w:rPr>
        <w:t xml:space="preserve"> </w:t>
      </w:r>
      <w:r>
        <w:rPr>
          <w:rFonts w:hint="eastAsia" w:ascii="宋体" w:hAnsi="宋体"/>
          <w:spacing w:val="40"/>
          <w:kern w:val="2"/>
          <w:sz w:val="28"/>
          <w:u w:val="single"/>
          <w:lang w:eastAsia="zh-CN"/>
        </w:rPr>
        <w:t>张景耀</w:t>
      </w:r>
      <w:r>
        <w:rPr>
          <w:rFonts w:hint="eastAsia" w:ascii="宋体" w:hAnsi="宋体"/>
          <w:spacing w:val="40"/>
          <w:kern w:val="2"/>
          <w:sz w:val="28"/>
          <w:u w:val="single"/>
          <w:lang w:val="en-US" w:eastAsia="zh-CN"/>
        </w:rPr>
        <w:t xml:space="preserve">  </w:t>
      </w:r>
      <w:bookmarkStart w:id="0" w:name="_GoBack"/>
      <w:bookmarkEnd w:id="0"/>
      <w:r>
        <w:rPr>
          <w:rFonts w:hint="eastAsia" w:ascii="宋体" w:hAnsi="宋体"/>
          <w:spacing w:val="40"/>
          <w:kern w:val="2"/>
          <w:sz w:val="28"/>
          <w:u w:val="single"/>
        </w:rPr>
        <w:tab/>
        <w:tab/>
      </w:r>
      <w:r>
        <w:rPr>
          <w:rFonts w:ascii="宋体" w:hAnsi="宋体"/>
          <w:spacing w:val="40"/>
          <w:kern w:val="2"/>
          <w:sz w:val="28"/>
          <w:u w:val="single"/>
        </w:rPr>
        <w:t xml:space="preserve"> </w:t>
      </w:r>
    </w:p>
    <w:p w14:paraId="18DD47AD">
      <w:pPr>
        <w:snapToGrid w:val="0"/>
        <w:spacing w:line="500" w:lineRule="exact"/>
        <w:ind w:left="2700" w:right="0"/>
        <w:rPr>
          <w:rFonts w:hint="eastAsia" w:ascii="宋体" w:hAnsi="宋体"/>
          <w:sz w:val="28"/>
        </w:rPr>
      </w:pPr>
    </w:p>
    <w:p w14:paraId="56FCA759">
      <w:pPr>
        <w:snapToGrid w:val="0"/>
        <w:spacing w:line="500" w:lineRule="exact"/>
        <w:ind w:left="2700" w:right="0"/>
        <w:rPr>
          <w:rFonts w:hint="eastAsia" w:ascii="宋体" w:hAnsi="宋体"/>
          <w:sz w:val="28"/>
        </w:rPr>
      </w:pPr>
      <w:r>
        <w:rPr>
          <w:rFonts w:hint="eastAsia" w:ascii="宋体" w:hAnsi="宋体"/>
          <w:sz w:val="28"/>
        </w:rPr>
        <w:t>指导教师（校内）</w:t>
      </w:r>
      <w:r>
        <w:rPr>
          <w:rFonts w:ascii="宋体" w:hAnsi="宋体"/>
          <w:spacing w:val="40"/>
          <w:kern w:val="2"/>
          <w:sz w:val="28"/>
          <w:u w:val="single"/>
        </w:rPr>
        <w:t xml:space="preserve">  </w:t>
      </w:r>
      <w:r>
        <w:rPr>
          <w:rFonts w:hint="eastAsia" w:ascii="宋体" w:hAnsi="宋体"/>
          <w:spacing w:val="40"/>
          <w:kern w:val="2"/>
          <w:sz w:val="28"/>
          <w:u w:val="single"/>
        </w:rPr>
        <w:tab/>
        <w:tab/>
      </w:r>
      <w:r>
        <w:rPr>
          <w:rFonts w:hint="eastAsia" w:ascii="宋体" w:hAnsi="宋体"/>
          <w:spacing w:val="40"/>
          <w:kern w:val="2"/>
          <w:sz w:val="28"/>
          <w:u w:val="single"/>
          <w:lang w:val="en-US" w:eastAsia="zh-CN"/>
        </w:rPr>
        <w:t xml:space="preserve"> </w:t>
      </w:r>
      <w:r>
        <w:rPr>
          <w:rFonts w:hint="eastAsia" w:ascii="宋体" w:hAnsi="宋体"/>
          <w:spacing w:val="40"/>
          <w:kern w:val="2"/>
          <w:sz w:val="28"/>
          <w:u w:val="single"/>
          <w:lang w:eastAsia="zh-CN"/>
        </w:rPr>
        <w:t>徐坚皓</w:t>
      </w:r>
      <w:r>
        <w:rPr>
          <w:rFonts w:hint="eastAsia" w:ascii="宋体" w:hAnsi="宋体"/>
          <w:spacing w:val="40"/>
          <w:kern w:val="2"/>
          <w:sz w:val="28"/>
          <w:u w:val="single"/>
          <w:lang w:val="en-US" w:eastAsia="zh-CN"/>
        </w:rPr>
        <w:t xml:space="preserve">  </w:t>
      </w:r>
      <w:r>
        <w:rPr>
          <w:rFonts w:hint="eastAsia" w:ascii="宋体" w:hAnsi="宋体"/>
          <w:spacing w:val="40"/>
          <w:kern w:val="2"/>
          <w:sz w:val="28"/>
          <w:u w:val="single"/>
        </w:rPr>
        <w:tab/>
        <w:tab/>
      </w:r>
      <w:r>
        <w:rPr>
          <w:rFonts w:ascii="宋体" w:hAnsi="宋体"/>
          <w:sz w:val="28"/>
          <w:u w:val="single"/>
        </w:rPr>
        <w:t xml:space="preserve">      </w:t>
      </w:r>
    </w:p>
    <w:p w14:paraId="512A9ED7">
      <w:pPr>
        <w:snapToGrid w:val="0"/>
        <w:spacing w:line="500" w:lineRule="exact"/>
        <w:ind w:left="2700" w:right="0"/>
        <w:rPr>
          <w:rFonts w:hint="eastAsia" w:ascii="宋体" w:hAnsi="宋体"/>
          <w:sz w:val="28"/>
        </w:rPr>
      </w:pPr>
    </w:p>
    <w:p w14:paraId="536FD972">
      <w:pPr>
        <w:snapToGrid w:val="0"/>
        <w:spacing w:line="500" w:lineRule="exact"/>
        <w:ind w:left="2700" w:right="0"/>
        <w:rPr>
          <w:rFonts w:hint="eastAsia" w:ascii="宋体" w:hAnsi="宋体"/>
          <w:sz w:val="28"/>
        </w:rPr>
      </w:pPr>
      <w:r>
        <w:rPr>
          <w:rFonts w:hint="eastAsia" w:ascii="宋体" w:hAnsi="宋体"/>
          <w:sz w:val="28"/>
        </w:rPr>
        <w:t>指导教师（校外）</w:t>
      </w:r>
      <w:r>
        <w:rPr>
          <w:rFonts w:ascii="宋体" w:hAnsi="宋体"/>
          <w:spacing w:val="40"/>
          <w:kern w:val="2"/>
          <w:sz w:val="28"/>
          <w:u w:val="single"/>
        </w:rPr>
        <w:t xml:space="preserve">  </w:t>
      </w:r>
      <w:r>
        <w:rPr>
          <w:rFonts w:hint="eastAsia" w:ascii="宋体" w:hAnsi="宋体"/>
          <w:spacing w:val="40"/>
          <w:kern w:val="2"/>
          <w:sz w:val="28"/>
          <w:u w:val="single"/>
        </w:rPr>
        <w:tab/>
        <w:tab/>
      </w:r>
      <w:r>
        <w:rPr>
          <w:rFonts w:hint="eastAsia" w:ascii="宋体" w:hAnsi="宋体"/>
          <w:spacing w:val="40"/>
          <w:kern w:val="2"/>
          <w:sz w:val="28"/>
          <w:u w:val="single"/>
          <w:lang w:val="en-US" w:eastAsia="zh-CN"/>
        </w:rPr>
        <w:t xml:space="preserve">   </w:t>
      </w:r>
      <w:r>
        <w:rPr>
          <w:rFonts w:hint="eastAsia" w:ascii="宋体" w:hAnsi="宋体"/>
          <w:spacing w:val="40"/>
          <w:kern w:val="2"/>
          <w:sz w:val="28"/>
          <w:u w:val="single"/>
          <w:lang w:eastAsia="zh-CN"/>
        </w:rPr>
        <w:t>无</w:t>
      </w:r>
      <w:r>
        <w:rPr>
          <w:rFonts w:hint="eastAsia" w:ascii="宋体" w:hAnsi="宋体"/>
          <w:spacing w:val="40"/>
          <w:kern w:val="2"/>
          <w:sz w:val="28"/>
          <w:u w:val="single"/>
        </w:rPr>
        <w:tab/>
      </w:r>
      <w:r>
        <w:rPr>
          <w:rFonts w:hint="eastAsia" w:ascii="宋体" w:hAnsi="宋体"/>
          <w:spacing w:val="40"/>
          <w:kern w:val="2"/>
          <w:sz w:val="28"/>
          <w:u w:val="single"/>
          <w:lang w:val="en-US" w:eastAsia="zh-CN"/>
        </w:rPr>
        <w:t xml:space="preserve">    </w:t>
      </w:r>
      <w:r>
        <w:rPr>
          <w:rFonts w:hint="eastAsia" w:ascii="宋体" w:hAnsi="宋体"/>
          <w:spacing w:val="40"/>
          <w:kern w:val="2"/>
          <w:sz w:val="28"/>
          <w:u w:val="single"/>
        </w:rPr>
        <w:tab/>
      </w:r>
      <w:r>
        <w:rPr>
          <w:rFonts w:ascii="宋体" w:hAnsi="宋体"/>
          <w:sz w:val="28"/>
          <w:u w:val="single"/>
        </w:rPr>
        <w:t xml:space="preserve">      </w:t>
      </w:r>
    </w:p>
    <w:p w14:paraId="49AB6B4B">
      <w:pPr>
        <w:snapToGrid w:val="0"/>
        <w:spacing w:line="500" w:lineRule="exact"/>
        <w:ind w:left="2700" w:right="0"/>
        <w:rPr>
          <w:rFonts w:hint="eastAsia" w:ascii="宋体" w:hAnsi="宋体"/>
          <w:sz w:val="28"/>
        </w:rPr>
      </w:pPr>
    </w:p>
    <w:p w14:paraId="46B563EF">
      <w:pPr>
        <w:snapToGrid w:val="0"/>
        <w:spacing w:line="500" w:lineRule="exact"/>
        <w:ind w:left="2700" w:right="0"/>
        <w:rPr>
          <w:rFonts w:hint="eastAsia" w:ascii="宋体" w:hAnsi="宋体"/>
          <w:sz w:val="28"/>
        </w:rPr>
      </w:pPr>
      <w:r>
        <w:rPr>
          <w:rFonts w:hint="eastAsia" w:ascii="宋体" w:hAnsi="宋体"/>
          <w:sz w:val="28"/>
        </w:rPr>
        <w:t xml:space="preserve">开题报告日期 </w:t>
      </w:r>
      <w:r>
        <w:rPr>
          <w:rFonts w:ascii="宋体" w:hAnsi="宋体"/>
          <w:sz w:val="28"/>
        </w:rPr>
        <w:t xml:space="preserve">   </w:t>
      </w:r>
      <w:r>
        <w:rPr>
          <w:rFonts w:hint="eastAsia" w:ascii="宋体" w:hAnsi="宋体"/>
          <w:sz w:val="28"/>
          <w:u w:val="single"/>
        </w:rPr>
        <w:tab/>
        <w:tab/>
        <w:tab/>
      </w:r>
      <w:r>
        <w:rPr>
          <w:rFonts w:ascii="宋体" w:hAnsi="宋体"/>
          <w:sz w:val="28"/>
          <w:u w:val="single"/>
        </w:rPr>
        <w:t xml:space="preserve">  2026.</w:t>
      </w:r>
      <w:r>
        <w:rPr>
          <w:rFonts w:hint="eastAsia" w:ascii="宋体" w:hAnsi="宋体"/>
          <w:sz w:val="28"/>
          <w:u w:val="single"/>
          <w:lang w:val="en-US" w:eastAsia="zh-CN"/>
        </w:rPr>
        <w:t>5</w:t>
      </w:r>
      <w:r>
        <w:rPr>
          <w:rFonts w:hint="eastAsia" w:ascii="宋体" w:hAnsi="宋体"/>
          <w:sz w:val="28"/>
          <w:u w:val="single"/>
        </w:rPr>
        <w:tab/>
        <w:tab/>
      </w:r>
      <w:r>
        <w:rPr>
          <w:rFonts w:ascii="宋体" w:hAnsi="宋体"/>
          <w:sz w:val="28"/>
          <w:u w:val="single"/>
        </w:rPr>
        <w:t xml:space="preserve">  </w:t>
      </w:r>
      <w:r>
        <w:rPr>
          <w:rFonts w:hint="eastAsia" w:ascii="宋体" w:hAnsi="宋体"/>
          <w:sz w:val="28"/>
          <w:u w:val="single"/>
        </w:rPr>
        <w:tab/>
      </w:r>
    </w:p>
    <w:p w14:paraId="161BD211">
      <w:pPr>
        <w:snapToGrid w:val="0"/>
        <w:spacing w:line="500" w:lineRule="exact"/>
        <w:ind w:left="2700" w:right="0"/>
        <w:rPr>
          <w:rFonts w:hint="eastAsia" w:ascii="宋体" w:hAnsi="宋体"/>
          <w:sz w:val="28"/>
          <w:u w:val="single"/>
        </w:rPr>
      </w:pPr>
    </w:p>
    <w:p w14:paraId="7B74209F">
      <w:pPr>
        <w:snapToGrid w:val="0"/>
        <w:spacing w:line="440" w:lineRule="exact"/>
        <w:rPr>
          <w:rFonts w:hint="eastAsia" w:ascii="宋体" w:hAnsi="宋体"/>
          <w:sz w:val="28"/>
          <w:u w:val="single"/>
        </w:rPr>
      </w:pPr>
    </w:p>
    <w:p w14:paraId="55F8D551">
      <w:pPr>
        <w:snapToGrid w:val="0"/>
        <w:spacing w:line="440" w:lineRule="exact"/>
        <w:rPr>
          <w:rFonts w:hint="eastAsia" w:ascii="宋体" w:hAnsi="宋体"/>
          <w:sz w:val="28"/>
        </w:rPr>
      </w:pPr>
    </w:p>
    <w:p w14:paraId="70F6CC6C">
      <w:pPr>
        <w:snapToGrid w:val="0"/>
        <w:spacing w:line="440" w:lineRule="exact"/>
        <w:rPr>
          <w:rFonts w:hint="eastAsia" w:ascii="宋体" w:hAnsi="宋体"/>
          <w:sz w:val="28"/>
        </w:rPr>
      </w:pPr>
    </w:p>
    <w:p w14:paraId="5C143E30">
      <w:pPr>
        <w:snapToGrid w:val="0"/>
        <w:spacing w:line="440" w:lineRule="exact"/>
        <w:rPr>
          <w:rFonts w:hint="eastAsia" w:ascii="宋体" w:hAnsi="宋体"/>
          <w:sz w:val="28"/>
        </w:rPr>
      </w:pPr>
    </w:p>
    <w:p w14:paraId="0D2C91FE">
      <w:pPr>
        <w:snapToGrid w:val="0"/>
        <w:spacing w:before="360" w:after="360"/>
        <w:jc w:val="center"/>
        <w:rPr>
          <w:rFonts w:hint="eastAsia" w:ascii="宋体" w:hAnsi="宋体"/>
          <w:sz w:val="32"/>
          <w:szCs w:val="32"/>
        </w:rPr>
      </w:pPr>
      <w:r>
        <w:rPr>
          <w:rFonts w:hint="eastAsia" w:ascii="宋体" w:hAnsi="宋体"/>
          <w:sz w:val="32"/>
          <w:szCs w:val="32"/>
        </w:rPr>
        <w:t>东南大学研究生院制表</w:t>
      </w:r>
    </w:p>
    <w:p w14:paraId="6EB930FC">
      <w:pPr>
        <w:snapToGrid w:val="0"/>
        <w:spacing w:before="360" w:after="360"/>
        <w:rPr>
          <w:rFonts w:hint="eastAsia" w:ascii="宋体" w:hAnsi="宋体"/>
          <w:sz w:val="44"/>
          <w:szCs w:val="44"/>
        </w:rPr>
      </w:pPr>
    </w:p>
    <w:p w14:paraId="2CCEA5B5">
      <w:pPr>
        <w:snapToGrid w:val="0"/>
        <w:spacing w:before="360" w:after="360"/>
        <w:rPr>
          <w:rFonts w:hint="eastAsia" w:ascii="宋体" w:hAnsi="宋体"/>
          <w:sz w:val="44"/>
          <w:szCs w:val="44"/>
        </w:rPr>
      </w:pPr>
    </w:p>
    <w:p w14:paraId="6CD8B87A">
      <w:pPr>
        <w:snapToGrid w:val="0"/>
        <w:spacing w:before="360" w:after="360"/>
        <w:ind w:left="0" w:leftChars="0" w:right="0" w:rightChars="0" w:firstLineChars="800"/>
        <w:rPr>
          <w:rFonts w:hint="eastAsia" w:ascii="宋体" w:hAnsi="宋体"/>
          <w:sz w:val="44"/>
          <w:szCs w:val="44"/>
        </w:rPr>
      </w:pPr>
    </w:p>
    <w:p w14:paraId="39370FF0">
      <w:pPr>
        <w:snapToGrid w:val="0"/>
        <w:spacing w:before="360" w:after="360"/>
        <w:ind w:left="0" w:leftChars="0" w:right="0" w:rightChars="0" w:firstLineChars="800"/>
        <w:rPr>
          <w:rFonts w:hint="eastAsia" w:ascii="方正小标宋简体;汉仪书宋二KW" w:hAnsi="方正小标宋简体;汉仪书宋二KW" w:eastAsia="方正小标宋简体;汉仪书宋二KW"/>
          <w:sz w:val="44"/>
        </w:rPr>
      </w:pPr>
      <w:r>
        <w:rPr>
          <w:rFonts w:hint="eastAsia" w:ascii="宋体" w:hAnsi="宋体"/>
          <w:sz w:val="44"/>
          <w:szCs w:val="44"/>
        </w:rPr>
        <w:t>填</w:t>
      </w:r>
      <w:r>
        <w:rPr>
          <w:rFonts w:hint="eastAsia" w:ascii="方正小标宋简体;汉仪书宋二KW" w:hAnsi="方正小标宋简体;汉仪书宋二KW" w:eastAsia="方正小标宋简体;汉仪书宋二KW"/>
          <w:sz w:val="44"/>
          <w:szCs w:val="44"/>
        </w:rPr>
        <w:t xml:space="preserve"> </w:t>
      </w:r>
      <w:r>
        <w:rPr>
          <w:rFonts w:hint="eastAsia" w:ascii="方正小标宋简体;汉仪书宋二KW" w:hAnsi="方正小标宋简体;汉仪书宋二KW" w:eastAsia="方正小标宋简体;汉仪书宋二KW"/>
          <w:sz w:val="44"/>
        </w:rPr>
        <w:t>表 须 知</w:t>
      </w:r>
    </w:p>
    <w:p w14:paraId="7ACB31C4">
      <w:pPr>
        <w:numPr>
          <w:ilvl w:val="0"/>
          <w:numId w:val="2"/>
        </w:numPr>
        <w:tabs>
          <w:tab w:val="left" w:pos="780"/>
        </w:tabs>
        <w:spacing w:line="360" w:lineRule="auto"/>
        <w:rPr>
          <w:rFonts w:hint="eastAsia" w:ascii="宋体" w:hAnsi="宋体"/>
        </w:rPr>
      </w:pPr>
      <w:r>
        <w:rPr>
          <w:rFonts w:hint="eastAsia" w:ascii="宋体" w:hAnsi="宋体"/>
        </w:rPr>
        <w:t>论文开题报告由研究生本人向审议小组报告并听取意见后，由研究生本人填写此表。</w:t>
      </w:r>
    </w:p>
    <w:p w14:paraId="3EF3811E">
      <w:pPr>
        <w:numPr>
          <w:ilvl w:val="0"/>
          <w:numId w:val="2"/>
        </w:numPr>
        <w:tabs>
          <w:tab w:val="left" w:pos="780"/>
        </w:tabs>
        <w:spacing w:line="360" w:lineRule="auto"/>
        <w:rPr>
          <w:rFonts w:hint="eastAsia" w:ascii="宋体" w:hAnsi="宋体"/>
        </w:rPr>
      </w:pPr>
      <w:r>
        <w:rPr>
          <w:rFonts w:hint="eastAsia" w:ascii="宋体" w:hAnsi="宋体"/>
        </w:rPr>
        <w:t>论文开题报告填写完成后，必须经导师审批，通过后方能提交。</w:t>
      </w:r>
    </w:p>
    <w:p w14:paraId="601C9D63">
      <w:pPr>
        <w:spacing w:line="360" w:lineRule="auto"/>
        <w:ind w:leftChars="100" w:right="0" w:rightChars="0" w:firstLineChars="100"/>
        <w:rPr>
          <w:rFonts w:hint="eastAsia" w:ascii="宋体" w:hAnsi="宋体"/>
        </w:rPr>
      </w:pPr>
      <w:r>
        <w:rPr>
          <w:rFonts w:hint="eastAsia" w:ascii="宋体" w:hAnsi="宋体"/>
        </w:rPr>
        <w:t>3、博士生应在第四学期内、硕士生应在第三学期内完成此开题报告。开题报告经研究生秘书在网上审核确认（硕士生至少半年、博士生至少一年）后方可申请答辩。</w:t>
      </w:r>
    </w:p>
    <w:p w14:paraId="7B73E880">
      <w:pPr>
        <w:spacing w:line="360" w:lineRule="auto"/>
        <w:ind w:leftChars="100" w:right="0" w:rightChars="0" w:firstLineChars="100"/>
        <w:rPr>
          <w:rFonts w:hint="eastAsia" w:ascii="宋体" w:hAnsi="宋体"/>
        </w:rPr>
      </w:pPr>
      <w:r>
        <w:rPr>
          <w:rFonts w:hint="eastAsia" w:ascii="宋体" w:hAnsi="宋体"/>
        </w:rPr>
        <w:t>4、研究生开题前应填写查新报告。查新报告对专业学位博士作为必要环节。博士生查新工作可委托图书馆负责，也可在完成网络文献检索类研究生课程的学习或参加学校组织的网络文献检索培训后，自行组织查新检索，自行组织查新需要详细文献查新述评作为附件。自行查新报告须经导师审查后由开题报告审核专家组审核签字（或盖章）。硕士生开题查新参考上述办法，不作硬性要求。</w:t>
      </w:r>
    </w:p>
    <w:p w14:paraId="723B6D24">
      <w:pPr>
        <w:spacing w:line="360" w:lineRule="auto"/>
        <w:ind w:leftChars="100" w:right="0" w:rightChars="0" w:firstLineChars="100"/>
        <w:rPr>
          <w:rFonts w:hint="eastAsia" w:ascii="宋体" w:hAnsi="宋体"/>
        </w:rPr>
      </w:pPr>
      <w:r>
        <w:rPr>
          <w:rFonts w:hint="eastAsia" w:ascii="宋体" w:hAnsi="宋体"/>
        </w:rPr>
        <w:t>5、本表一式两份，一份研究生自留放入本人“研究生档案材料袋”；一份由院（系、所）保存并归入院（系、所）研究生教学档案。</w:t>
      </w:r>
    </w:p>
    <w:p w14:paraId="6FF67789">
      <w:pPr>
        <w:ind w:left="0" w:leftChars="0" w:right="0" w:rightChars="0" w:firstLineChars="200"/>
        <w:rPr>
          <w:rFonts w:hint="eastAsia"/>
          <w:b/>
          <w:bCs/>
          <w:szCs w:val="21"/>
        </w:rPr>
      </w:pPr>
      <w:r>
        <w:rPr>
          <w:rFonts w:hint="eastAsia" w:ascii="宋体" w:hAnsi="宋体"/>
        </w:rPr>
        <w:t>6、</w:t>
      </w:r>
      <w:r>
        <w:rPr>
          <w:rFonts w:hint="eastAsia"/>
          <w:bCs/>
          <w:szCs w:val="21"/>
        </w:rPr>
        <w:t>学位类别为：</w:t>
      </w:r>
      <w:r>
        <w:rPr>
          <w:rFonts w:hint="eastAsia"/>
          <w:szCs w:val="21"/>
        </w:rPr>
        <w:t>工程硕士；公共管理硕士；法律硕士（非法学）；工商管理硕士；建筑学硕士；风景园林硕士；临床医学硕士；公共卫生硕士；旅游管理硕士；会计硕士；国际商务硕士；资产评估硕士；工程管理硕士；艺术硕士；工程博士；医学博士等。</w:t>
      </w:r>
    </w:p>
    <w:p w14:paraId="7E1E7E40">
      <w:pPr>
        <w:spacing w:line="360" w:lineRule="auto"/>
        <w:ind w:leftChars="67" w:right="0" w:rightChars="0" w:firstLineChars="150"/>
        <w:rPr>
          <w:rFonts w:hint="eastAsia" w:ascii="宋体" w:hAnsi="宋体"/>
        </w:rPr>
      </w:pPr>
      <w:r>
        <w:rPr>
          <w:rFonts w:hint="eastAsia" w:ascii="宋体" w:hAnsi="宋体"/>
        </w:rPr>
        <w:t>7、本表下载区：</w:t>
      </w:r>
      <w:r>
        <w:rPr>
          <w:rFonts w:ascii="宋体" w:hAnsi="宋体"/>
        </w:rPr>
        <w:t>http://seugs.seu.edu.cn/3676/list.htm</w:t>
      </w:r>
      <w:r>
        <w:rPr>
          <w:rFonts w:hint="eastAsia" w:ascii="宋体" w:hAnsi="宋体"/>
        </w:rPr>
        <w:t xml:space="preserve"> 。本表电子文档打印时用A4纸张，格式不变，内容较多可以加页。</w:t>
      </w:r>
    </w:p>
    <w:p w14:paraId="1453F2DB">
      <w:pPr>
        <w:widowControl/>
        <w:ind w:left="0" w:leftChars="0" w:right="0" w:rightChars="0" w:firstLineChars="200"/>
        <w:jc w:val="left"/>
        <w:rPr>
          <w:rFonts w:hint="eastAsia" w:ascii="宋体" w:hAnsi="宋体"/>
        </w:rPr>
      </w:pPr>
    </w:p>
    <w:p w14:paraId="7054C627">
      <w:pPr>
        <w:widowControl/>
        <w:jc w:val="left"/>
        <w:rPr>
          <w:rFonts w:hint="eastAsia" w:ascii="宋体" w:hAnsi="宋体"/>
        </w:rPr>
      </w:pPr>
    </w:p>
    <w:p w14:paraId="331EF53B">
      <w:pPr>
        <w:spacing w:line="400" w:lineRule="exact"/>
        <w:ind w:right="0" w:firstLine="480"/>
        <w:jc w:val="center"/>
        <w:rPr>
          <w:rFonts w:hint="eastAsia" w:ascii="宋体" w:hAnsi="宋体"/>
        </w:rPr>
      </w:pPr>
    </w:p>
    <w:p w14:paraId="69D16735">
      <w:pPr>
        <w:spacing w:line="400" w:lineRule="exact"/>
        <w:ind w:right="0" w:firstLine="480"/>
        <w:jc w:val="center"/>
        <w:rPr>
          <w:rFonts w:hint="eastAsia" w:ascii="宋体" w:hAnsi="宋体"/>
        </w:rPr>
      </w:pPr>
    </w:p>
    <w:p w14:paraId="0235A66B">
      <w:pPr>
        <w:spacing w:line="400" w:lineRule="exact"/>
        <w:ind w:right="0" w:firstLine="480"/>
        <w:jc w:val="center"/>
        <w:rPr>
          <w:rFonts w:hint="eastAsia" w:ascii="宋体" w:hAnsi="宋体"/>
        </w:rPr>
      </w:pPr>
    </w:p>
    <w:p w14:paraId="03327448">
      <w:pPr>
        <w:spacing w:line="400" w:lineRule="exact"/>
        <w:ind w:right="0" w:firstLine="480"/>
        <w:jc w:val="center"/>
        <w:rPr>
          <w:rFonts w:hint="eastAsia" w:ascii="宋体" w:hAnsi="宋体"/>
        </w:rPr>
      </w:pPr>
    </w:p>
    <w:p w14:paraId="729BAD73">
      <w:pPr>
        <w:spacing w:line="400" w:lineRule="exact"/>
        <w:ind w:right="0" w:firstLine="480"/>
        <w:jc w:val="center"/>
        <w:rPr>
          <w:rFonts w:hint="eastAsia" w:ascii="宋体" w:hAnsi="宋体"/>
        </w:rPr>
      </w:pPr>
    </w:p>
    <w:p w14:paraId="287AAB46">
      <w:pPr>
        <w:spacing w:line="400" w:lineRule="exact"/>
        <w:ind w:right="0" w:firstLine="480"/>
        <w:jc w:val="center"/>
        <w:rPr>
          <w:rFonts w:hint="eastAsia" w:ascii="宋体" w:hAnsi="宋体"/>
        </w:rPr>
      </w:pPr>
    </w:p>
    <w:p w14:paraId="3CA0B9BB">
      <w:pPr>
        <w:spacing w:line="400" w:lineRule="exact"/>
        <w:ind w:right="0" w:firstLine="480"/>
        <w:jc w:val="center"/>
        <w:rPr>
          <w:rFonts w:hint="eastAsia" w:ascii="宋体" w:hAnsi="宋体"/>
        </w:rPr>
      </w:pPr>
    </w:p>
    <w:p w14:paraId="1B2D8A8A">
      <w:pPr>
        <w:spacing w:line="400" w:lineRule="exact"/>
        <w:ind w:right="0" w:firstLine="480"/>
        <w:jc w:val="center"/>
        <w:rPr>
          <w:rFonts w:hint="eastAsia" w:ascii="宋体" w:hAnsi="宋体"/>
        </w:rPr>
      </w:pPr>
    </w:p>
    <w:p w14:paraId="0B8DBB75">
      <w:pPr>
        <w:spacing w:line="400" w:lineRule="exact"/>
        <w:ind w:right="0" w:firstLine="480"/>
        <w:jc w:val="center"/>
        <w:rPr>
          <w:rFonts w:hint="eastAsia" w:ascii="宋体" w:hAnsi="宋体"/>
        </w:rPr>
      </w:pPr>
    </w:p>
    <w:p w14:paraId="6657E331">
      <w:pPr>
        <w:spacing w:line="400" w:lineRule="exact"/>
        <w:ind w:right="0" w:firstLine="480"/>
        <w:jc w:val="center"/>
        <w:rPr>
          <w:rFonts w:hint="eastAsia" w:ascii="宋体" w:hAnsi="宋体"/>
        </w:rPr>
      </w:pPr>
    </w:p>
    <w:p w14:paraId="6E4CDA78">
      <w:pPr>
        <w:spacing w:line="400" w:lineRule="exact"/>
        <w:ind w:right="0" w:firstLine="480"/>
        <w:jc w:val="center"/>
        <w:rPr>
          <w:rFonts w:hint="eastAsia" w:ascii="宋体" w:hAnsi="宋体"/>
        </w:rPr>
      </w:pPr>
    </w:p>
    <w:p w14:paraId="2C66F4DF">
      <w:pPr>
        <w:spacing w:line="400" w:lineRule="exact"/>
        <w:ind w:right="0" w:firstLine="480"/>
        <w:jc w:val="center"/>
        <w:rPr>
          <w:rFonts w:hint="eastAsia" w:ascii="宋体" w:hAnsi="宋体"/>
        </w:rPr>
      </w:pPr>
    </w:p>
    <w:p w14:paraId="2BF049E6">
      <w:pPr>
        <w:spacing w:before="0" w:after="120" w:line="400" w:lineRule="exact"/>
        <w:rPr>
          <w:rFonts w:hint="eastAsia" w:ascii="黑体" w:hAnsi="黑体" w:eastAsia="黑体"/>
          <w:sz w:val="32"/>
        </w:rPr>
      </w:pPr>
      <w:r>
        <w:rPr>
          <w:rFonts w:hint="eastAsia" w:ascii="黑体" w:hAnsi="黑体" w:eastAsia="黑体"/>
          <w:sz w:val="32"/>
        </w:rPr>
        <w:t>一、学位论文开题报告</w:t>
      </w:r>
    </w:p>
    <w:tbl>
      <w:tblPr>
        <w:tblStyle w:val="9"/>
        <w:tblW w:w="5000" w:type="pct"/>
        <w:jc w:val="center"/>
        <w:tblLayout w:type="fixed"/>
        <w:tblCellMar>
          <w:top w:w="0" w:type="dxa"/>
          <w:left w:w="56" w:type="dxa"/>
          <w:bottom w:w="0" w:type="dxa"/>
          <w:right w:w="56" w:type="dxa"/>
        </w:tblCellMar>
      </w:tblPr>
      <w:tblGrid>
        <w:gridCol w:w="1229"/>
        <w:gridCol w:w="739"/>
        <w:gridCol w:w="738"/>
        <w:gridCol w:w="556"/>
        <w:gridCol w:w="837"/>
        <w:gridCol w:w="1000"/>
        <w:gridCol w:w="646"/>
        <w:gridCol w:w="1141"/>
        <w:gridCol w:w="965"/>
        <w:gridCol w:w="1897"/>
      </w:tblGrid>
      <w:tr w14:paraId="5238A9DE">
        <w:tblPrEx>
          <w:tblCellMar>
            <w:top w:w="0" w:type="dxa"/>
            <w:left w:w="56" w:type="dxa"/>
            <w:bottom w:w="0" w:type="dxa"/>
            <w:right w:w="56" w:type="dxa"/>
          </w:tblCellMar>
        </w:tblPrEx>
        <w:trPr>
          <w:jc w:val="center"/>
        </w:trPr>
        <w:tc>
          <w:tcPr>
            <w:tcW w:w="1215" w:type="dxa"/>
            <w:tcBorders>
              <w:top w:val="single" w:color="000000" w:sz="4" w:space="0"/>
              <w:left w:val="single" w:color="000000" w:sz="4" w:space="0"/>
              <w:bottom w:val="single" w:color="000000" w:sz="4" w:space="0"/>
              <w:right w:val="single" w:color="000000" w:sz="4" w:space="0"/>
            </w:tcBorders>
            <w:vAlign w:val="center"/>
          </w:tcPr>
          <w:p w14:paraId="1AD43AC0">
            <w:pPr>
              <w:spacing w:line="400" w:lineRule="exact"/>
              <w:jc w:val="center"/>
              <w:rPr>
                <w:rFonts w:hint="eastAsia" w:ascii="宋体" w:hAnsi="宋体"/>
                <w:sz w:val="24"/>
              </w:rPr>
            </w:pPr>
            <w:r>
              <w:rPr>
                <w:rFonts w:hint="eastAsia" w:ascii="宋体" w:hAnsi="宋体"/>
                <w:sz w:val="24"/>
              </w:rPr>
              <w:t>论 文                题 目</w:t>
            </w:r>
          </w:p>
        </w:tc>
        <w:tc>
          <w:tcPr>
            <w:tcW w:w="8423" w:type="dxa"/>
            <w:gridSpan w:val="9"/>
            <w:tcBorders>
              <w:top w:val="single" w:color="000000" w:sz="4" w:space="0"/>
              <w:left w:val="single" w:color="000000" w:sz="4" w:space="0"/>
              <w:bottom w:val="single" w:color="000000" w:sz="4" w:space="0"/>
              <w:right w:val="single" w:color="000000" w:sz="4" w:space="0"/>
            </w:tcBorders>
            <w:vAlign w:val="center"/>
          </w:tcPr>
          <w:p w14:paraId="244A09AA">
            <w:pPr>
              <w:spacing w:line="400" w:lineRule="exact"/>
              <w:jc w:val="center"/>
              <w:rPr>
                <w:rFonts w:hint="eastAsia" w:ascii="宋体" w:hAnsi="宋体"/>
                <w:sz w:val="24"/>
              </w:rPr>
            </w:pPr>
            <w:r>
              <w:rPr>
                <w:rFonts w:hint="eastAsia"/>
                <w:kern w:val="0"/>
                <w:sz w:val="24"/>
              </w:rPr>
              <w:t>基于大语言模型的编译器防御机制脆弱性分析方法研究</w:t>
            </w:r>
          </w:p>
        </w:tc>
      </w:tr>
      <w:tr w14:paraId="46B7317D">
        <w:tblPrEx>
          <w:tblCellMar>
            <w:top w:w="0" w:type="dxa"/>
            <w:left w:w="56" w:type="dxa"/>
            <w:bottom w:w="0" w:type="dxa"/>
            <w:right w:w="56" w:type="dxa"/>
          </w:tblCellMar>
        </w:tblPrEx>
        <w:trPr>
          <w:jc w:val="center"/>
        </w:trPr>
        <w:tc>
          <w:tcPr>
            <w:tcW w:w="1215" w:type="dxa"/>
            <w:tcBorders>
              <w:top w:val="single" w:color="000000" w:sz="4" w:space="0"/>
              <w:left w:val="single" w:color="000000" w:sz="4" w:space="0"/>
              <w:bottom w:val="single" w:color="000000" w:sz="4" w:space="0"/>
              <w:right w:val="single" w:color="000000" w:sz="4" w:space="0"/>
            </w:tcBorders>
            <w:vAlign w:val="center"/>
          </w:tcPr>
          <w:p w14:paraId="74796932">
            <w:pPr>
              <w:spacing w:line="400" w:lineRule="exact"/>
              <w:jc w:val="center"/>
              <w:rPr>
                <w:rFonts w:hint="eastAsia" w:ascii="宋体" w:hAnsi="宋体"/>
                <w:sz w:val="24"/>
              </w:rPr>
            </w:pPr>
            <w:r>
              <w:rPr>
                <w:rFonts w:hint="eastAsia" w:ascii="宋体" w:hAnsi="宋体"/>
                <w:sz w:val="24"/>
              </w:rPr>
              <w:t>研 究</w:t>
            </w:r>
          </w:p>
          <w:p w14:paraId="4B4206C6">
            <w:pPr>
              <w:spacing w:line="400" w:lineRule="exact"/>
              <w:jc w:val="center"/>
              <w:rPr>
                <w:rFonts w:hint="eastAsia" w:ascii="宋体" w:hAnsi="宋体"/>
                <w:sz w:val="24"/>
              </w:rPr>
            </w:pPr>
            <w:r>
              <w:rPr>
                <w:rFonts w:hint="eastAsia" w:ascii="宋体" w:hAnsi="宋体"/>
                <w:sz w:val="24"/>
              </w:rPr>
              <w:t>方 向</w:t>
            </w:r>
          </w:p>
        </w:tc>
        <w:tc>
          <w:tcPr>
            <w:tcW w:w="8423" w:type="dxa"/>
            <w:gridSpan w:val="9"/>
            <w:tcBorders>
              <w:top w:val="single" w:color="000000" w:sz="4" w:space="0"/>
              <w:left w:val="single" w:color="000000" w:sz="4" w:space="0"/>
              <w:bottom w:val="single" w:color="000000" w:sz="4" w:space="0"/>
              <w:right w:val="single" w:color="000000" w:sz="4" w:space="0"/>
            </w:tcBorders>
            <w:vAlign w:val="center"/>
          </w:tcPr>
          <w:p w14:paraId="6B3BC321">
            <w:pPr>
              <w:spacing w:line="400" w:lineRule="exact"/>
              <w:jc w:val="center"/>
              <w:rPr>
                <w:rFonts w:hint="eastAsia" w:ascii="宋体" w:hAnsi="宋体"/>
                <w:sz w:val="24"/>
              </w:rPr>
            </w:pPr>
            <w:r>
              <w:rPr>
                <w:rFonts w:hint="eastAsia" w:ascii="宋体" w:hAnsi="宋体"/>
                <w:sz w:val="24"/>
              </w:rPr>
              <w:t>网络空间安全</w:t>
            </w:r>
          </w:p>
        </w:tc>
      </w:tr>
      <w:tr w14:paraId="29E88068">
        <w:tblPrEx>
          <w:tblCellMar>
            <w:top w:w="0" w:type="dxa"/>
            <w:left w:w="56" w:type="dxa"/>
            <w:bottom w:w="0" w:type="dxa"/>
            <w:right w:w="56" w:type="dxa"/>
          </w:tblCellMar>
        </w:tblPrEx>
        <w:trPr>
          <w:jc w:val="center"/>
        </w:trPr>
        <w:tc>
          <w:tcPr>
            <w:tcW w:w="1215" w:type="dxa"/>
            <w:vMerge w:val="restart"/>
            <w:tcBorders>
              <w:top w:val="single" w:color="000000" w:sz="4" w:space="0"/>
              <w:left w:val="single" w:color="000000" w:sz="4" w:space="0"/>
              <w:bottom w:val="single" w:color="000000" w:sz="4" w:space="0"/>
              <w:right w:val="single" w:color="000000" w:sz="4" w:space="0"/>
            </w:tcBorders>
            <w:vAlign w:val="center"/>
          </w:tcPr>
          <w:p w14:paraId="466FFEAF">
            <w:pPr>
              <w:spacing w:line="400" w:lineRule="exact"/>
              <w:jc w:val="center"/>
              <w:rPr>
                <w:rFonts w:hint="eastAsia" w:ascii="宋体" w:hAnsi="宋体"/>
                <w:sz w:val="24"/>
              </w:rPr>
            </w:pPr>
            <w:r>
              <w:rPr>
                <w:rFonts w:hint="eastAsia" w:ascii="宋体" w:hAnsi="宋体"/>
                <w:sz w:val="24"/>
              </w:rPr>
              <w:t>题 目    来 源</w:t>
            </w:r>
          </w:p>
        </w:tc>
        <w:tc>
          <w:tcPr>
            <w:tcW w:w="731" w:type="dxa"/>
            <w:tcBorders>
              <w:top w:val="single" w:color="000000" w:sz="4" w:space="0"/>
              <w:left w:val="single" w:color="000000" w:sz="4" w:space="0"/>
              <w:bottom w:val="single" w:color="000000" w:sz="4" w:space="0"/>
              <w:right w:val="single" w:color="000000" w:sz="4" w:space="0"/>
            </w:tcBorders>
            <w:vAlign w:val="center"/>
          </w:tcPr>
          <w:p w14:paraId="56F2421E">
            <w:pPr>
              <w:spacing w:line="400" w:lineRule="exact"/>
              <w:jc w:val="center"/>
              <w:rPr>
                <w:rFonts w:hint="eastAsia" w:ascii="宋体" w:hAnsi="宋体"/>
                <w:sz w:val="24"/>
              </w:rPr>
            </w:pPr>
            <w:r>
              <w:rPr>
                <w:rFonts w:hint="eastAsia" w:ascii="宋体" w:hAnsi="宋体"/>
                <w:sz w:val="24"/>
              </w:rPr>
              <w:t>国家</w:t>
            </w:r>
          </w:p>
        </w:tc>
        <w:tc>
          <w:tcPr>
            <w:tcW w:w="730" w:type="dxa"/>
            <w:tcBorders>
              <w:top w:val="single" w:color="000000" w:sz="4" w:space="0"/>
              <w:left w:val="single" w:color="000000" w:sz="4" w:space="0"/>
              <w:bottom w:val="single" w:color="000000" w:sz="4" w:space="0"/>
              <w:right w:val="single" w:color="000000" w:sz="4" w:space="0"/>
            </w:tcBorders>
            <w:vAlign w:val="center"/>
          </w:tcPr>
          <w:p w14:paraId="6F3E83AD">
            <w:pPr>
              <w:spacing w:line="400" w:lineRule="exact"/>
              <w:jc w:val="center"/>
              <w:rPr>
                <w:rFonts w:hint="eastAsia" w:ascii="宋体" w:hAnsi="宋体"/>
                <w:sz w:val="24"/>
              </w:rPr>
            </w:pPr>
            <w:r>
              <w:rPr>
                <w:rFonts w:hint="eastAsia" w:ascii="宋体" w:hAnsi="宋体"/>
                <w:sz w:val="24"/>
              </w:rPr>
              <w:t>部委</w:t>
            </w:r>
          </w:p>
        </w:tc>
        <w:tc>
          <w:tcPr>
            <w:tcW w:w="550" w:type="dxa"/>
            <w:tcBorders>
              <w:top w:val="single" w:color="000000" w:sz="4" w:space="0"/>
              <w:left w:val="single" w:color="000000" w:sz="4" w:space="0"/>
              <w:bottom w:val="single" w:color="000000" w:sz="4" w:space="0"/>
              <w:right w:val="single" w:color="000000" w:sz="4" w:space="0"/>
            </w:tcBorders>
            <w:vAlign w:val="center"/>
          </w:tcPr>
          <w:p w14:paraId="7BFFCC32">
            <w:pPr>
              <w:spacing w:line="400" w:lineRule="exact"/>
              <w:jc w:val="center"/>
              <w:rPr>
                <w:rFonts w:hint="eastAsia" w:ascii="宋体" w:hAnsi="宋体"/>
                <w:sz w:val="24"/>
              </w:rPr>
            </w:pPr>
            <w:r>
              <w:rPr>
                <w:rFonts w:hint="eastAsia" w:ascii="宋体" w:hAnsi="宋体"/>
                <w:sz w:val="24"/>
              </w:rPr>
              <w:t>省</w:t>
            </w:r>
          </w:p>
        </w:tc>
        <w:tc>
          <w:tcPr>
            <w:tcW w:w="827" w:type="dxa"/>
            <w:tcBorders>
              <w:top w:val="single" w:color="000000" w:sz="4" w:space="0"/>
              <w:left w:val="single" w:color="000000" w:sz="4" w:space="0"/>
              <w:bottom w:val="single" w:color="000000" w:sz="4" w:space="0"/>
              <w:right w:val="single" w:color="000000" w:sz="4" w:space="0"/>
            </w:tcBorders>
            <w:vAlign w:val="center"/>
          </w:tcPr>
          <w:p w14:paraId="3451A72B">
            <w:pPr>
              <w:spacing w:line="400" w:lineRule="exact"/>
              <w:jc w:val="center"/>
              <w:rPr>
                <w:rFonts w:hint="eastAsia" w:ascii="宋体" w:hAnsi="宋体"/>
                <w:sz w:val="24"/>
              </w:rPr>
            </w:pPr>
            <w:r>
              <w:rPr>
                <w:rFonts w:hint="eastAsia" w:ascii="宋体" w:hAnsi="宋体"/>
                <w:sz w:val="24"/>
              </w:rPr>
              <w:t>市</w:t>
            </w:r>
          </w:p>
        </w:tc>
        <w:tc>
          <w:tcPr>
            <w:tcW w:w="989" w:type="dxa"/>
            <w:tcBorders>
              <w:top w:val="single" w:color="000000" w:sz="4" w:space="0"/>
              <w:left w:val="single" w:color="000000" w:sz="4" w:space="0"/>
              <w:bottom w:val="single" w:color="000000" w:sz="4" w:space="0"/>
              <w:right w:val="single" w:color="000000" w:sz="4" w:space="0"/>
            </w:tcBorders>
            <w:vAlign w:val="center"/>
          </w:tcPr>
          <w:p w14:paraId="1BC9299A">
            <w:pPr>
              <w:spacing w:line="400" w:lineRule="exact"/>
              <w:jc w:val="center"/>
              <w:rPr>
                <w:rFonts w:hint="eastAsia" w:ascii="宋体" w:hAnsi="宋体"/>
                <w:sz w:val="24"/>
              </w:rPr>
            </w:pPr>
            <w:r>
              <w:rPr>
                <w:rFonts w:hint="eastAsia" w:ascii="宋体" w:hAnsi="宋体"/>
                <w:sz w:val="24"/>
              </w:rPr>
              <w:t>厂、矿</w:t>
            </w:r>
          </w:p>
        </w:tc>
        <w:tc>
          <w:tcPr>
            <w:tcW w:w="639" w:type="dxa"/>
            <w:tcBorders>
              <w:top w:val="single" w:color="000000" w:sz="4" w:space="0"/>
              <w:left w:val="single" w:color="000000" w:sz="4" w:space="0"/>
              <w:bottom w:val="single" w:color="000000" w:sz="4" w:space="0"/>
              <w:right w:val="single" w:color="000000" w:sz="4" w:space="0"/>
            </w:tcBorders>
            <w:vAlign w:val="center"/>
          </w:tcPr>
          <w:p w14:paraId="1769373A">
            <w:pPr>
              <w:spacing w:line="400" w:lineRule="exact"/>
              <w:jc w:val="center"/>
              <w:rPr>
                <w:rFonts w:hint="eastAsia" w:ascii="宋体" w:hAnsi="宋体"/>
                <w:sz w:val="24"/>
              </w:rPr>
            </w:pPr>
            <w:r>
              <w:rPr>
                <w:rFonts w:hint="eastAsia" w:ascii="宋体" w:hAnsi="宋体"/>
                <w:sz w:val="24"/>
              </w:rPr>
              <w:t>自选</w:t>
            </w:r>
          </w:p>
        </w:tc>
        <w:tc>
          <w:tcPr>
            <w:tcW w:w="1128" w:type="dxa"/>
            <w:tcBorders>
              <w:top w:val="single" w:color="000000" w:sz="4" w:space="0"/>
              <w:left w:val="single" w:color="000000" w:sz="4" w:space="0"/>
              <w:bottom w:val="single" w:color="000000" w:sz="4" w:space="0"/>
              <w:right w:val="single" w:color="000000" w:sz="4" w:space="0"/>
            </w:tcBorders>
            <w:vAlign w:val="center"/>
          </w:tcPr>
          <w:p w14:paraId="2245ECCC">
            <w:pPr>
              <w:spacing w:line="400" w:lineRule="exact"/>
              <w:jc w:val="center"/>
              <w:rPr>
                <w:rFonts w:hint="eastAsia" w:ascii="宋体" w:hAnsi="宋体"/>
                <w:sz w:val="24"/>
              </w:rPr>
            </w:pPr>
            <w:r>
              <w:rPr>
                <w:rFonts w:hint="eastAsia" w:ascii="宋体" w:hAnsi="宋体"/>
                <w:sz w:val="24"/>
              </w:rPr>
              <w:t>有无合同</w:t>
            </w:r>
          </w:p>
        </w:tc>
        <w:tc>
          <w:tcPr>
            <w:tcW w:w="954" w:type="dxa"/>
            <w:tcBorders>
              <w:top w:val="single" w:color="000000" w:sz="4" w:space="0"/>
              <w:left w:val="single" w:color="000000" w:sz="4" w:space="0"/>
              <w:bottom w:val="single" w:color="000000" w:sz="4" w:space="0"/>
              <w:right w:val="single" w:color="000000" w:sz="4" w:space="0"/>
            </w:tcBorders>
            <w:vAlign w:val="center"/>
          </w:tcPr>
          <w:p w14:paraId="764210A4">
            <w:pPr>
              <w:spacing w:line="400" w:lineRule="exact"/>
              <w:jc w:val="center"/>
              <w:rPr>
                <w:rFonts w:hint="eastAsia" w:ascii="宋体" w:hAnsi="宋体"/>
                <w:sz w:val="24"/>
              </w:rPr>
            </w:pPr>
            <w:r>
              <w:rPr>
                <w:rFonts w:hint="eastAsia" w:ascii="宋体" w:hAnsi="宋体"/>
                <w:sz w:val="24"/>
              </w:rPr>
              <w:t>经费数</w:t>
            </w:r>
          </w:p>
        </w:tc>
        <w:tc>
          <w:tcPr>
            <w:tcW w:w="1875" w:type="dxa"/>
            <w:tcBorders>
              <w:top w:val="single" w:color="000000" w:sz="4" w:space="0"/>
              <w:left w:val="single" w:color="000000" w:sz="4" w:space="0"/>
              <w:bottom w:val="single" w:color="000000" w:sz="4" w:space="0"/>
              <w:right w:val="single" w:color="000000" w:sz="4" w:space="0"/>
            </w:tcBorders>
            <w:vAlign w:val="center"/>
          </w:tcPr>
          <w:p w14:paraId="6E06DDF5">
            <w:pPr>
              <w:spacing w:line="400" w:lineRule="exact"/>
              <w:jc w:val="center"/>
              <w:rPr>
                <w:rFonts w:hint="eastAsia" w:ascii="宋体" w:hAnsi="宋体"/>
                <w:sz w:val="24"/>
              </w:rPr>
            </w:pPr>
            <w:r>
              <w:rPr>
                <w:rFonts w:hint="eastAsia" w:ascii="宋体" w:hAnsi="宋体"/>
                <w:sz w:val="24"/>
              </w:rPr>
              <w:t>备注</w:t>
            </w:r>
          </w:p>
        </w:tc>
      </w:tr>
      <w:tr w14:paraId="782269A5">
        <w:trPr>
          <w:jc w:val="center"/>
        </w:trPr>
        <w:tc>
          <w:tcPr>
            <w:tcW w:w="1215" w:type="dxa"/>
            <w:vMerge w:val="continue"/>
            <w:tcBorders>
              <w:top w:val="single" w:color="000000" w:sz="4" w:space="0"/>
              <w:left w:val="single" w:color="000000" w:sz="4" w:space="0"/>
              <w:bottom w:val="single" w:color="000000" w:sz="4" w:space="0"/>
              <w:right w:val="single" w:color="000000" w:sz="4" w:space="0"/>
            </w:tcBorders>
            <w:vAlign w:val="center"/>
          </w:tcPr>
          <w:p w14:paraId="68630C7E">
            <w:pPr>
              <w:snapToGrid w:val="0"/>
              <w:spacing w:line="400" w:lineRule="exact"/>
              <w:jc w:val="center"/>
              <w:rPr>
                <w:rFonts w:hint="eastAsia" w:ascii="宋体" w:hAnsi="宋体"/>
                <w:sz w:val="24"/>
              </w:rPr>
            </w:pPr>
          </w:p>
        </w:tc>
        <w:tc>
          <w:tcPr>
            <w:tcW w:w="731" w:type="dxa"/>
            <w:tcBorders>
              <w:top w:val="single" w:color="000000" w:sz="4" w:space="0"/>
              <w:left w:val="single" w:color="000000" w:sz="4" w:space="0"/>
              <w:bottom w:val="single" w:color="000000" w:sz="4" w:space="0"/>
              <w:right w:val="single" w:color="000000" w:sz="4" w:space="0"/>
            </w:tcBorders>
            <w:vAlign w:val="center"/>
          </w:tcPr>
          <w:p w14:paraId="2E4F772F">
            <w:pPr>
              <w:snapToGrid w:val="0"/>
              <w:spacing w:line="400" w:lineRule="exact"/>
              <w:jc w:val="center"/>
              <w:rPr>
                <w:rFonts w:hint="eastAsia" w:ascii="宋体" w:hAnsi="宋体"/>
                <w:sz w:val="24"/>
              </w:rPr>
            </w:pPr>
          </w:p>
        </w:tc>
        <w:tc>
          <w:tcPr>
            <w:tcW w:w="730" w:type="dxa"/>
            <w:tcBorders>
              <w:top w:val="single" w:color="000000" w:sz="4" w:space="0"/>
              <w:left w:val="single" w:color="000000" w:sz="4" w:space="0"/>
              <w:bottom w:val="single" w:color="000000" w:sz="4" w:space="0"/>
              <w:right w:val="single" w:color="000000" w:sz="4" w:space="0"/>
            </w:tcBorders>
            <w:vAlign w:val="center"/>
          </w:tcPr>
          <w:p w14:paraId="791945FF">
            <w:pPr>
              <w:snapToGrid w:val="0"/>
              <w:spacing w:line="400" w:lineRule="exact"/>
              <w:jc w:val="center"/>
              <w:rPr>
                <w:rFonts w:hint="eastAsia" w:ascii="宋体" w:hAnsi="宋体"/>
                <w:sz w:val="24"/>
              </w:rPr>
            </w:pPr>
          </w:p>
        </w:tc>
        <w:tc>
          <w:tcPr>
            <w:tcW w:w="550" w:type="dxa"/>
            <w:tcBorders>
              <w:top w:val="single" w:color="000000" w:sz="4" w:space="0"/>
              <w:left w:val="single" w:color="000000" w:sz="4" w:space="0"/>
              <w:bottom w:val="single" w:color="000000" w:sz="4" w:space="0"/>
              <w:right w:val="single" w:color="000000" w:sz="4" w:space="0"/>
            </w:tcBorders>
            <w:vAlign w:val="center"/>
          </w:tcPr>
          <w:p w14:paraId="5A55F244">
            <w:pPr>
              <w:snapToGrid w:val="0"/>
              <w:spacing w:line="400" w:lineRule="exact"/>
              <w:jc w:val="center"/>
              <w:rPr>
                <w:rFonts w:hint="eastAsia" w:ascii="宋体" w:hAnsi="宋体"/>
                <w:sz w:val="24"/>
              </w:rPr>
            </w:pPr>
          </w:p>
        </w:tc>
        <w:tc>
          <w:tcPr>
            <w:tcW w:w="827" w:type="dxa"/>
            <w:tcBorders>
              <w:top w:val="single" w:color="000000" w:sz="4" w:space="0"/>
              <w:left w:val="single" w:color="000000" w:sz="4" w:space="0"/>
              <w:bottom w:val="single" w:color="000000" w:sz="4" w:space="0"/>
              <w:right w:val="single" w:color="000000" w:sz="4" w:space="0"/>
            </w:tcBorders>
            <w:vAlign w:val="center"/>
          </w:tcPr>
          <w:p w14:paraId="2EAA29F8">
            <w:pPr>
              <w:snapToGrid w:val="0"/>
              <w:spacing w:line="400" w:lineRule="exact"/>
              <w:jc w:val="center"/>
              <w:rPr>
                <w:rFonts w:hint="eastAsia" w:ascii="宋体" w:hAnsi="宋体"/>
                <w:sz w:val="24"/>
              </w:rPr>
            </w:pPr>
          </w:p>
        </w:tc>
        <w:tc>
          <w:tcPr>
            <w:tcW w:w="989" w:type="dxa"/>
            <w:tcBorders>
              <w:top w:val="single" w:color="000000" w:sz="4" w:space="0"/>
              <w:left w:val="single" w:color="000000" w:sz="4" w:space="0"/>
              <w:bottom w:val="single" w:color="000000" w:sz="4" w:space="0"/>
              <w:right w:val="single" w:color="000000" w:sz="4" w:space="0"/>
            </w:tcBorders>
            <w:vAlign w:val="center"/>
          </w:tcPr>
          <w:p w14:paraId="1789C593">
            <w:pPr>
              <w:snapToGrid w:val="0"/>
              <w:spacing w:line="400" w:lineRule="exact"/>
              <w:jc w:val="center"/>
              <w:rPr>
                <w:rFonts w:hint="eastAsia" w:ascii="宋体" w:hAnsi="宋体"/>
                <w:sz w:val="24"/>
              </w:rPr>
            </w:pPr>
          </w:p>
        </w:tc>
        <w:tc>
          <w:tcPr>
            <w:tcW w:w="639" w:type="dxa"/>
            <w:tcBorders>
              <w:top w:val="single" w:color="000000" w:sz="4" w:space="0"/>
              <w:left w:val="single" w:color="000000" w:sz="4" w:space="0"/>
              <w:bottom w:val="single" w:color="000000" w:sz="4" w:space="0"/>
              <w:right w:val="single" w:color="000000" w:sz="4" w:space="0"/>
            </w:tcBorders>
            <w:vAlign w:val="center"/>
          </w:tcPr>
          <w:p w14:paraId="16E0CEE1">
            <w:pPr>
              <w:spacing w:line="400" w:lineRule="exact"/>
              <w:jc w:val="center"/>
              <w:rPr>
                <w:rFonts w:hint="eastAsia" w:ascii="宋体" w:hAnsi="宋体"/>
                <w:sz w:val="24"/>
              </w:rPr>
            </w:pPr>
            <w:r>
              <w:rPr>
                <w:rFonts w:hint="eastAsia" w:ascii="宋体" w:hAnsi="宋体"/>
                <w:sz w:val="24"/>
              </w:rPr>
              <w:t>√</w:t>
            </w:r>
          </w:p>
        </w:tc>
        <w:tc>
          <w:tcPr>
            <w:tcW w:w="1128" w:type="dxa"/>
            <w:tcBorders>
              <w:top w:val="single" w:color="000000" w:sz="4" w:space="0"/>
              <w:left w:val="single" w:color="000000" w:sz="4" w:space="0"/>
              <w:bottom w:val="single" w:color="000000" w:sz="4" w:space="0"/>
              <w:right w:val="single" w:color="000000" w:sz="4" w:space="0"/>
            </w:tcBorders>
            <w:vAlign w:val="center"/>
          </w:tcPr>
          <w:p w14:paraId="1971E3C5">
            <w:pPr>
              <w:snapToGrid w:val="0"/>
              <w:spacing w:line="400" w:lineRule="exact"/>
              <w:jc w:val="center"/>
              <w:rPr>
                <w:rFonts w:hint="eastAsia" w:ascii="宋体" w:hAnsi="宋体"/>
                <w:sz w:val="24"/>
              </w:rPr>
            </w:pPr>
          </w:p>
        </w:tc>
        <w:tc>
          <w:tcPr>
            <w:tcW w:w="954" w:type="dxa"/>
            <w:tcBorders>
              <w:top w:val="single" w:color="000000" w:sz="4" w:space="0"/>
              <w:left w:val="single" w:color="000000" w:sz="4" w:space="0"/>
              <w:bottom w:val="single" w:color="000000" w:sz="4" w:space="0"/>
              <w:right w:val="single" w:color="000000" w:sz="4" w:space="0"/>
            </w:tcBorders>
            <w:vAlign w:val="center"/>
          </w:tcPr>
          <w:p w14:paraId="37D1B935">
            <w:pPr>
              <w:snapToGrid w:val="0"/>
              <w:spacing w:line="400" w:lineRule="exact"/>
              <w:jc w:val="center"/>
              <w:rPr>
                <w:rFonts w:hint="eastAsia" w:ascii="宋体" w:hAnsi="宋体"/>
                <w:sz w:val="24"/>
              </w:rPr>
            </w:pPr>
          </w:p>
        </w:tc>
        <w:tc>
          <w:tcPr>
            <w:tcW w:w="1875" w:type="dxa"/>
            <w:tcBorders>
              <w:top w:val="single" w:color="000000" w:sz="4" w:space="0"/>
              <w:left w:val="single" w:color="000000" w:sz="4" w:space="0"/>
              <w:bottom w:val="single" w:color="000000" w:sz="4" w:space="0"/>
              <w:right w:val="single" w:color="000000" w:sz="4" w:space="0"/>
            </w:tcBorders>
            <w:vAlign w:val="center"/>
          </w:tcPr>
          <w:p w14:paraId="0F6614CC">
            <w:pPr>
              <w:snapToGrid w:val="0"/>
              <w:spacing w:line="400" w:lineRule="exact"/>
              <w:jc w:val="center"/>
              <w:rPr>
                <w:rFonts w:hint="eastAsia" w:ascii="宋体" w:hAnsi="宋体"/>
                <w:sz w:val="24"/>
              </w:rPr>
            </w:pPr>
          </w:p>
        </w:tc>
      </w:tr>
      <w:tr w14:paraId="3D720C46">
        <w:tblPrEx>
          <w:tblCellMar>
            <w:top w:w="0" w:type="dxa"/>
            <w:left w:w="56" w:type="dxa"/>
            <w:bottom w:w="0" w:type="dxa"/>
            <w:right w:w="56" w:type="dxa"/>
          </w:tblCellMar>
        </w:tblPrEx>
        <w:trPr>
          <w:jc w:val="center"/>
        </w:trPr>
        <w:tc>
          <w:tcPr>
            <w:tcW w:w="1215" w:type="dxa"/>
            <w:tcBorders>
              <w:top w:val="single" w:color="000000" w:sz="4" w:space="0"/>
              <w:left w:val="single" w:color="000000" w:sz="4" w:space="0"/>
              <w:bottom w:val="single" w:color="000000" w:sz="4" w:space="0"/>
              <w:right w:val="single" w:color="000000" w:sz="4" w:space="0"/>
            </w:tcBorders>
            <w:vAlign w:val="center"/>
          </w:tcPr>
          <w:p w14:paraId="39E6A2B9">
            <w:pPr>
              <w:spacing w:line="400" w:lineRule="exact"/>
              <w:jc w:val="center"/>
              <w:rPr>
                <w:rFonts w:hint="eastAsia" w:ascii="宋体" w:hAnsi="宋体"/>
                <w:sz w:val="24"/>
              </w:rPr>
            </w:pPr>
            <w:r>
              <w:rPr>
                <w:rFonts w:hint="eastAsia" w:ascii="宋体" w:hAnsi="宋体"/>
                <w:sz w:val="24"/>
              </w:rPr>
              <w:t>题 目</w:t>
            </w:r>
          </w:p>
          <w:p w14:paraId="2BDA04C7">
            <w:pPr>
              <w:spacing w:line="400" w:lineRule="exact"/>
              <w:jc w:val="center"/>
              <w:rPr>
                <w:rFonts w:hint="eastAsia" w:ascii="宋体" w:hAnsi="宋体"/>
                <w:sz w:val="24"/>
              </w:rPr>
            </w:pPr>
            <w:r>
              <w:rPr>
                <w:rFonts w:hint="eastAsia" w:ascii="宋体" w:hAnsi="宋体"/>
                <w:sz w:val="24"/>
              </w:rPr>
              <w:t>类 型</w:t>
            </w:r>
          </w:p>
        </w:tc>
        <w:tc>
          <w:tcPr>
            <w:tcW w:w="731" w:type="dxa"/>
            <w:tcBorders>
              <w:top w:val="single" w:color="000000" w:sz="4" w:space="0"/>
              <w:left w:val="single" w:color="000000" w:sz="4" w:space="0"/>
              <w:bottom w:val="single" w:color="000000" w:sz="4" w:space="0"/>
              <w:right w:val="single" w:color="000000" w:sz="4" w:space="0"/>
            </w:tcBorders>
            <w:vAlign w:val="center"/>
          </w:tcPr>
          <w:p w14:paraId="42F08AD8">
            <w:pPr>
              <w:spacing w:line="400" w:lineRule="exact"/>
              <w:jc w:val="center"/>
              <w:rPr>
                <w:rFonts w:hint="eastAsia" w:ascii="宋体" w:hAnsi="宋体"/>
              </w:rPr>
            </w:pPr>
            <w:r>
              <w:rPr>
                <w:rFonts w:hint="eastAsia" w:ascii="宋体" w:hAnsi="宋体"/>
              </w:rPr>
              <w:t>理论</w:t>
            </w:r>
          </w:p>
          <w:p w14:paraId="52DEBC64">
            <w:pPr>
              <w:spacing w:line="400" w:lineRule="exact"/>
              <w:jc w:val="center"/>
              <w:rPr>
                <w:rFonts w:hint="eastAsia" w:ascii="宋体" w:hAnsi="宋体"/>
              </w:rPr>
            </w:pPr>
            <w:r>
              <w:rPr>
                <w:rFonts w:hint="eastAsia" w:ascii="宋体" w:hAnsi="宋体"/>
              </w:rPr>
              <w:t>研究</w:t>
            </w:r>
          </w:p>
        </w:tc>
        <w:tc>
          <w:tcPr>
            <w:tcW w:w="730" w:type="dxa"/>
            <w:tcBorders>
              <w:top w:val="single" w:color="000000" w:sz="4" w:space="0"/>
              <w:left w:val="single" w:color="000000" w:sz="4" w:space="0"/>
              <w:bottom w:val="single" w:color="000000" w:sz="4" w:space="0"/>
              <w:right w:val="single" w:color="000000" w:sz="4" w:space="0"/>
            </w:tcBorders>
            <w:vAlign w:val="center"/>
          </w:tcPr>
          <w:p w14:paraId="54EA4934">
            <w:pPr>
              <w:spacing w:line="400" w:lineRule="exact"/>
              <w:jc w:val="center"/>
              <w:rPr>
                <w:rFonts w:hint="eastAsia" w:ascii="宋体" w:hAnsi="宋体"/>
              </w:rPr>
            </w:pPr>
            <w:r>
              <w:rPr>
                <w:rFonts w:hint="eastAsia" w:ascii="宋体" w:hAnsi="宋体"/>
              </w:rPr>
              <w:t>应用</w:t>
            </w:r>
          </w:p>
          <w:p w14:paraId="0993242C">
            <w:pPr>
              <w:spacing w:line="400" w:lineRule="exact"/>
              <w:jc w:val="center"/>
              <w:rPr>
                <w:rFonts w:hint="eastAsia" w:ascii="宋体" w:hAnsi="宋体"/>
              </w:rPr>
            </w:pPr>
            <w:r>
              <w:rPr>
                <w:rFonts w:hint="eastAsia" w:ascii="宋体" w:hAnsi="宋体"/>
              </w:rPr>
              <w:t>研究</w:t>
            </w:r>
          </w:p>
        </w:tc>
        <w:tc>
          <w:tcPr>
            <w:tcW w:w="550" w:type="dxa"/>
            <w:tcBorders>
              <w:top w:val="single" w:color="000000" w:sz="4" w:space="0"/>
              <w:left w:val="single" w:color="000000" w:sz="4" w:space="0"/>
              <w:bottom w:val="single" w:color="000000" w:sz="4" w:space="0"/>
              <w:right w:val="single" w:color="000000" w:sz="4" w:space="0"/>
            </w:tcBorders>
            <w:vAlign w:val="center"/>
          </w:tcPr>
          <w:p w14:paraId="676812DC">
            <w:pPr>
              <w:spacing w:line="400" w:lineRule="exact"/>
              <w:jc w:val="center"/>
              <w:rPr>
                <w:rFonts w:hint="eastAsia" w:ascii="宋体" w:hAnsi="宋体"/>
              </w:rPr>
            </w:pPr>
            <w:r>
              <w:rPr>
                <w:rFonts w:hint="eastAsia" w:ascii="宋体" w:hAnsi="宋体"/>
              </w:rPr>
              <w:t>工程</w:t>
            </w:r>
          </w:p>
          <w:p w14:paraId="0813EB5F">
            <w:pPr>
              <w:spacing w:line="400" w:lineRule="exact"/>
              <w:jc w:val="center"/>
              <w:rPr>
                <w:rFonts w:hint="eastAsia" w:ascii="宋体" w:hAnsi="宋体"/>
              </w:rPr>
            </w:pPr>
            <w:r>
              <w:rPr>
                <w:rFonts w:hint="eastAsia" w:ascii="宋体" w:hAnsi="宋体"/>
              </w:rPr>
              <w:t>技术</w:t>
            </w:r>
          </w:p>
        </w:tc>
        <w:tc>
          <w:tcPr>
            <w:tcW w:w="827" w:type="dxa"/>
            <w:tcBorders>
              <w:top w:val="single" w:color="000000" w:sz="4" w:space="0"/>
              <w:left w:val="single" w:color="000000" w:sz="4" w:space="0"/>
              <w:bottom w:val="single" w:color="000000" w:sz="4" w:space="0"/>
              <w:right w:val="single" w:color="000000" w:sz="4" w:space="0"/>
            </w:tcBorders>
            <w:vAlign w:val="center"/>
          </w:tcPr>
          <w:p w14:paraId="500D105B">
            <w:pPr>
              <w:spacing w:line="400" w:lineRule="exact"/>
              <w:jc w:val="center"/>
              <w:rPr>
                <w:rFonts w:hint="eastAsia" w:ascii="宋体" w:hAnsi="宋体"/>
              </w:rPr>
            </w:pPr>
            <w:r>
              <w:rPr>
                <w:rFonts w:hint="eastAsia" w:ascii="宋体" w:hAnsi="宋体"/>
              </w:rPr>
              <w:t>跨学科</w:t>
            </w:r>
          </w:p>
          <w:p w14:paraId="6B8A2A8A">
            <w:pPr>
              <w:spacing w:line="400" w:lineRule="exact"/>
              <w:jc w:val="center"/>
              <w:rPr>
                <w:rFonts w:hint="eastAsia" w:ascii="宋体" w:hAnsi="宋体"/>
              </w:rPr>
            </w:pPr>
            <w:r>
              <w:rPr>
                <w:rFonts w:hint="eastAsia" w:ascii="宋体" w:hAnsi="宋体"/>
              </w:rPr>
              <w:t>研 究</w:t>
            </w:r>
          </w:p>
        </w:tc>
        <w:tc>
          <w:tcPr>
            <w:tcW w:w="989" w:type="dxa"/>
            <w:tcBorders>
              <w:top w:val="single" w:color="000000" w:sz="4" w:space="0"/>
              <w:left w:val="single" w:color="000000" w:sz="4" w:space="0"/>
              <w:bottom w:val="single" w:color="000000" w:sz="4" w:space="0"/>
              <w:right w:val="single" w:color="000000" w:sz="4" w:space="0"/>
            </w:tcBorders>
            <w:vAlign w:val="center"/>
          </w:tcPr>
          <w:p w14:paraId="5F0EA446">
            <w:pPr>
              <w:spacing w:line="400" w:lineRule="exact"/>
              <w:jc w:val="center"/>
              <w:rPr>
                <w:rFonts w:hint="eastAsia" w:ascii="宋体" w:hAnsi="宋体"/>
                <w:sz w:val="24"/>
              </w:rPr>
            </w:pPr>
            <w:r>
              <w:rPr>
                <w:rFonts w:hint="eastAsia" w:ascii="宋体" w:hAnsi="宋体"/>
                <w:sz w:val="24"/>
              </w:rPr>
              <w:t>其他</w:t>
            </w:r>
          </w:p>
        </w:tc>
        <w:tc>
          <w:tcPr>
            <w:tcW w:w="4596" w:type="dxa"/>
            <w:gridSpan w:val="4"/>
            <w:tcBorders>
              <w:top w:val="single" w:color="000000" w:sz="4" w:space="0"/>
              <w:left w:val="single" w:color="000000" w:sz="4" w:space="0"/>
              <w:bottom w:val="single" w:color="000000" w:sz="4" w:space="0"/>
              <w:right w:val="single" w:color="000000" w:sz="4" w:space="0"/>
            </w:tcBorders>
            <w:vAlign w:val="center"/>
          </w:tcPr>
          <w:p w14:paraId="3A4B43EC">
            <w:pPr>
              <w:snapToGrid w:val="0"/>
              <w:spacing w:line="400" w:lineRule="exact"/>
              <w:jc w:val="center"/>
              <w:rPr>
                <w:rFonts w:hint="eastAsia" w:ascii="宋体" w:hAnsi="宋体"/>
                <w:sz w:val="24"/>
              </w:rPr>
            </w:pPr>
          </w:p>
        </w:tc>
      </w:tr>
      <w:tr w14:paraId="299CB904">
        <w:tblPrEx>
          <w:tblCellMar>
            <w:top w:w="0" w:type="dxa"/>
            <w:left w:w="56" w:type="dxa"/>
            <w:bottom w:w="0" w:type="dxa"/>
            <w:right w:w="56" w:type="dxa"/>
          </w:tblCellMar>
        </w:tblPrEx>
        <w:trPr>
          <w:jc w:val="center"/>
        </w:trPr>
        <w:tc>
          <w:tcPr>
            <w:tcW w:w="9638" w:type="dxa"/>
            <w:gridSpan w:val="10"/>
            <w:tcBorders>
              <w:top w:val="single" w:color="000000" w:sz="4" w:space="0"/>
              <w:left w:val="single" w:color="000000" w:sz="4" w:space="0"/>
              <w:bottom w:val="single" w:color="000000" w:sz="4" w:space="0"/>
              <w:right w:val="single" w:color="000000" w:sz="4" w:space="0"/>
            </w:tcBorders>
          </w:tcPr>
          <w:p w14:paraId="64EA47D8">
            <w:pPr>
              <w:spacing w:line="400" w:lineRule="exact"/>
              <w:ind w:left="0" w:leftChars="0" w:right="0" w:rightChars="0" w:firstLineChars="100"/>
              <w:rPr>
                <w:rFonts w:ascii="宋体" w:hAnsi="宋体"/>
                <w:spacing w:val="-6"/>
                <w:sz w:val="24"/>
              </w:rPr>
            </w:pPr>
            <w:r>
              <w:rPr>
                <w:rFonts w:hint="eastAsia" w:ascii="黑体" w:hAnsi="黑体" w:eastAsia="黑体"/>
                <w:spacing w:val="-6"/>
                <w:sz w:val="24"/>
              </w:rPr>
              <w:t>开题报告内容</w:t>
            </w:r>
            <w:r>
              <w:rPr>
                <w:rFonts w:hint="eastAsia" w:ascii="宋体" w:hAnsi="宋体"/>
                <w:spacing w:val="-6"/>
                <w:sz w:val="24"/>
              </w:rPr>
              <w:t>（具体要求见《东南大学研究生论文选题和开题报告的原则和要求》）</w:t>
            </w:r>
          </w:p>
          <w:p>
            <w:pPr>
              <w:pStyle w:val="Normal"/>
              <w:widowControl/>
              <w:jc w:val="start"/>
              <w:rPr>
                <w:b/>
                <w:bCs/>
                <w:kern w:val="0"/>
                <w:sz w:val="24"/>
              </w:rPr>
            </w:pPr>
            <w:r>
              <w:rPr>
                <w:b/>
                <w:bCs/>
                <w:kern w:val="0"/>
                <w:sz w:val="24"/>
              </w:rPr>
              <w:t>一、研究背景</w:t>
            </w:r>
          </w:p>
          <w:p>
            <w:pPr>
              <w:pStyle w:val="Normal"/>
              <w:spacing w:lineRule="auto" w:line="360"/>
              <w:rPr>
                <w:b/>
                <w:bCs/>
                <w:kern w:val="0"/>
                <w:sz w:val="24"/>
              </w:rPr>
            </w:pPr>
            <w:r>
              <w:rPr>
                <w:b/>
                <w:bCs/>
                <w:kern w:val="0"/>
                <w:sz w:val="24"/>
              </w:rPr>
              <w:t>1.1 编译器防御机制的兜底地位</w:t>
            </w:r>
          </w:p>
          <w:p>
            <w:pPr>
              <w:pStyle w:val="Normal"/>
              <w:spacing w:lineRule="auto" w:line="360"/>
              <w:ind w:firstLineChars="200" w:startChars="0" w:start="0" w:endChars="0" w:end="0"/>
              <w:rPr>
                <w:kern w:val="0"/>
                <w:sz w:val="24"/>
              </w:rPr>
            </w:pPr>
            <w:r>
              <w:rPr>
                <w:kern w:val="0"/>
                <w:sz w:val="24"/>
              </w:rPr>
              <w:t xml:space="preserve">近十年来，被公开披露的安全漏洞数量持续攀升。截至 2025 年，CVE 漏洞库每年新登记的条目稳定在两万条以上，且仍在快速增长[1]。Microsoft、Google 等厂商陆续公开承认，仅依靠人工审计与安全编程规范并不足以彻底清除上层代码中的内存安全 Bug[2][3]。因此，工业界与学术界将重心转向漏洞被触发后的拦截能力：栈金丝雀（stack canary）、源代码加固（_FORTIFY_SOURCE）、间接跳转跟踪（IBT）、控制流完整性（CFI）等多项防御机制由编译器与运行时共同叠加部署，在漏洞触发时承担起兜底防线的角色。</w:t>
            </w:r>
          </w:p>
          <w:p>
            <w:pPr>
              <w:pStyle w:val="Normal"/>
              <w:spacing w:lineRule="auto" w:line="360"/>
              <w:ind w:firstLineChars="200" w:startChars="0" w:start="0" w:endChars="0" w:end="0"/>
              <w:rPr>
                <w:kern w:val="0"/>
                <w:sz w:val="24"/>
              </w:rPr>
            </w:pPr>
            <w:r>
              <w:rPr>
                <w:kern w:val="0"/>
                <w:sz w:val="24"/>
              </w:rPr>
              <w:t xml:space="preserve">由编译器承担的兜底机制有一个共同的工作模式：在编译期向二进制中插入检查指令、布局约束或元数据，使运行期一旦偏离预定义的合法行为即可被发现并立即终止程序。以栈金丝雀为例，编译器在易受溢出影响的栈帧中，在函数返回地址和缓冲区之间插入随机值哨兵，并在函数返回前比对其是否被改写。兜底防线的有效性依赖于编译器各端能否正确生成代码，以及这些代码所依赖的指令集架构（instruction set architecture, ISA）假设是否成立。</w:t>
            </w:r>
          </w:p>
          <w:p>
            <w:pPr>
              <w:pStyle w:val="Normal"/>
              <w:spacing w:lineRule="auto" w:line="360"/>
              <w:rPr>
                <w:b/>
                <w:bCs/>
                <w:kern w:val="0"/>
                <w:sz w:val="24"/>
              </w:rPr>
            </w:pPr>
            <w:r>
              <w:rPr>
                <w:b/>
                <w:bCs/>
                <w:kern w:val="0"/>
                <w:sz w:val="24"/>
              </w:rPr>
              <w:t>1.2 跨架构脆弱性的典型案例</w:t>
            </w:r>
          </w:p>
          <w:p>
            <w:pPr>
              <w:pStyle w:val="Normal"/>
              <w:spacing w:lineRule="auto" w:line="360"/>
              <w:ind w:firstLineChars="200" w:startChars="0" w:start="0" w:endChars="0" w:end="0"/>
              <w:rPr>
                <w:kern w:val="0"/>
                <w:sz w:val="24"/>
              </w:rPr>
            </w:pPr>
            <w:r>
              <w:rPr>
                <w:kern w:val="0"/>
                <w:sz w:val="24"/>
              </w:rPr>
              <w:t xml:space="preserve">2023 年披露的 CVE-2023-4039[4] 是一个具有代表性的案例。GCC 在 AArch64 上的 -fstack-protector 选项长期失效：当函数使用变长数组（variable-length array, VLA）或 alloca 时，编译器把栈金丝雀放在 VLA 之上、保存的返回地址却落在栈金丝雀之下，越界写入会先于金丝雀检查改写返回地址，本应兜底的保护因此被绕过。该漏洞在 GCC 早期版本即已存在，直到 2023 年才由外部研究者系统分析并修复。这种 buggy 状态下的栈帧布局如下图 1 所示。</w:t>
            </w:r>
          </w:p>
          <w:p>
            <w:pPr>
              <w:pStyle w:val="Normal"/>
              <w:spacing w:lineRule="auto" w:line="360"/>
              <w:jc w:val="center"/>
            </w:pPr>
            <w:r>
              <w:rPr/>
              <w:drawing>
                <wp:inline xmlns:wp="http://schemas.openxmlformats.org/drawingml/2006/wordprocessingDrawing" distT="0" distB="0" distL="0" distR="0">
                  <wp:extent cx="4284090" cy="5326553"/>
                  <wp:effectExtent l="0" t="0" r="0" b="0"/>
                  <wp:docPr id="21" name="Figur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tack-layout.png"/>
                          <pic:cNvPicPr/>
                        </pic:nvPicPr>
                        <pic:blipFill>
                          <a:blip xmlns:r="http://schemas.openxmlformats.org/officeDocument/2006/relationships" r:embed="rId21"/>
                          <a:stretch>
                            <a:fillRect/>
                          </a:stretch>
                        </pic:blipFill>
                        <pic:spPr>
                          <a:xfrm>
                            <a:off x="0" y="0"/>
                            <a:ext cx="4284090" cy="5326553"/>
                          </a:xfrm>
                          <a:prstGeom prst="rect">
                            <a:avLst/>
                          </a:prstGeom>
                        </pic:spPr>
                      </pic:pic>
                    </a:graphicData>
                  </a:graphic>
                </wp:inline>
              </w:drawing>
            </w:r>
          </w:p>
          <w:p>
            <w:pPr>
              <w:pStyle w:val="Normal"/>
              <w:spacing w:lineRule="auto" w:line="360"/>
              <w:jc w:val="center"/>
              <w:rPr>
                <w:rFonts w:ascii="宋体" w:hAnsi="宋体" w:eastAsia="宋体"/>
                <w:b/>
                <w:bCs/>
                <w:sz w:val="22"/>
              </w:rPr>
            </w:pPr>
            <w:r>
              <w:rPr>
                <w:rFonts w:ascii="宋体" w:hAnsi="宋体" w:eastAsia="宋体"/>
                <w:b/>
                <w:bCs/>
                <w:sz w:val="22"/>
              </w:rPr>
              <w:t>图 1  CVE-2023-4039 buggy 栈帧布局</w:t>
            </w:r>
          </w:p>
          <w:p>
            <w:pPr>
              <w:pStyle w:val="Normal"/>
              <w:spacing w:lineRule="auto" w:line="360"/>
              <w:rPr>
                <w:sz w:val="24"/>
              </w:rPr>
            </w:pPr>
          </w:p>
          <w:p>
            <w:pPr>
              <w:pStyle w:val="Normal"/>
              <w:spacing w:lineRule="auto" w:line="360"/>
              <w:ind w:firstLineChars="200" w:startChars="0" w:start="0" w:endChars="0" w:end="0"/>
              <w:rPr>
                <w:kern w:val="0"/>
                <w:sz w:val="24"/>
              </w:rPr>
            </w:pPr>
            <w:r>
              <w:rPr>
                <w:kern w:val="0"/>
                <w:sz w:val="24"/>
              </w:rPr>
              <w:t xml:space="preserve">CVE-2023-4039 直观地揭示了一个共性问题：编译器侧防御机制的有效性强依赖于具体 ISA 上的栈布局、寄存器分配与指令编码假设。一旦防御设计中的某项假设与某套 ISA 不一致，运行期保护就会悄然失效。这种失效具有"双重无声"特征：编译时不报错（工具链与功能测试都察觉不到），运行时也能产生正确的功能结果（程序行为也察觉不到），但其安全契约已经被打破。本课题将这种形态的失效称为静默失效（silent failure）：编译产物看似带有完整防线，但攻击者可直接绕过。</w:t>
            </w:r>
          </w:p>
          <w:p>
            <w:pPr>
              <w:pStyle w:val="Normal"/>
              <w:spacing w:lineRule="auto" w:line="360"/>
              <w:rPr>
                <w:b/>
                <w:bCs/>
                <w:kern w:val="0"/>
                <w:sz w:val="24"/>
              </w:rPr>
            </w:pPr>
            <w:r>
              <w:rPr>
                <w:b/>
                <w:bCs/>
                <w:kern w:val="0"/>
                <w:sz w:val="24"/>
              </w:rPr>
              <w:t>1.3 核心挑战</w:t>
            </w:r>
          </w:p>
          <w:p>
            <w:pPr>
              <w:pStyle w:val="Normal"/>
              <w:spacing w:lineRule="auto" w:line="360"/>
              <w:ind w:firstLineChars="200" w:startChars="0" w:start="0" w:endChars="0" w:end="0"/>
              <w:rPr>
                <w:kern w:val="0"/>
                <w:sz w:val="24"/>
              </w:rPr>
            </w:pPr>
            <w:r>
              <w:rPr>
                <w:kern w:val="0"/>
                <w:sz w:val="24"/>
              </w:rPr>
              <w:t xml:space="preserve">要在编译器中系统性地暴露此类静默失效，本课题面临两个相互纠缠的挑战。</w:t>
            </w:r>
          </w:p>
          <w:p>
            <w:pPr>
              <w:pStyle w:val="Normal"/>
              <w:spacing w:lineRule="auto" w:line="360"/>
              <w:ind w:firstLineChars="200" w:startChars="0" w:start="0" w:endChars="0" w:end="0"/>
              <w:rPr>
                <w:kern w:val="0"/>
                <w:sz w:val="24"/>
              </w:rPr>
            </w:pPr>
            <w:r>
              <w:rPr>
                <w:kern w:val="0"/>
                <w:sz w:val="24"/>
              </w:rPr>
              <w:t xml:space="preserve">第一是搜索空间巨大。如图 2 所示，编译器需要在多种防御机制（如栈金丝雀、_FORTIFY_SOURCE、IBT、CFI 等）与多套 ISA（如 x86-64、AArch64、RISC-V、LoongArch 等）构成的二维空间中维护安全契约。每个格点对应独立的中端 pass 或后端模板，任何细节都可能影响机制是否生效。已确认的同源遗漏并不少见：与 CVE-2023-4039 同源的 PR-96191[5] 在 2020 年修复时仅覆盖部分架构，未触及多个 fallback 后端，导致同一失效在其他架构上静默存续多年。本课题在初步实验中已向 GCC 上游确认了多例此类同源失效[6-9]（见第五章）。</w:t>
            </w:r>
          </w:p>
          <w:p>
            <w:pPr>
              <w:pStyle w:val="Normal"/>
              <w:spacing w:lineRule="auto" w:line="360"/>
              <w:jc w:val="center"/>
            </w:pPr>
            <w:r>
              <w:rPr/>
              <w:drawing>
                <wp:inline xmlns:wp="http://schemas.openxmlformats.org/drawingml/2006/wordprocessingDrawing" distT="0" distB="0" distL="0" distR="0">
                  <wp:extent cx="5385714" cy="2709687"/>
                  <wp:effectExtent l="0" t="0" r="0" b="0"/>
                  <wp:docPr id="22" name="Figur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efense-matrix.png"/>
                          <pic:cNvPicPr/>
                        </pic:nvPicPr>
                        <pic:blipFill>
                          <a:blip xmlns:r="http://schemas.openxmlformats.org/officeDocument/2006/relationships" r:embed="rId22"/>
                          <a:stretch>
                            <a:fillRect/>
                          </a:stretch>
                        </pic:blipFill>
                        <pic:spPr>
                          <a:xfrm>
                            <a:off x="0" y="0"/>
                            <a:ext cx="5385714" cy="2709687"/>
                          </a:xfrm>
                          <a:prstGeom prst="rect">
                            <a:avLst/>
                          </a:prstGeom>
                        </pic:spPr>
                      </pic:pic>
                    </a:graphicData>
                  </a:graphic>
                </wp:inline>
              </w:drawing>
            </w:r>
          </w:p>
          <w:p>
            <w:pPr>
              <w:pStyle w:val="Normal"/>
              <w:spacing w:lineRule="auto" w:line="360"/>
              <w:jc w:val="center"/>
              <w:rPr>
                <w:rFonts w:ascii="宋体" w:hAnsi="宋体" w:eastAsia="宋体"/>
                <w:b/>
                <w:bCs/>
                <w:sz w:val="22"/>
              </w:rPr>
            </w:pPr>
            <w:r>
              <w:rPr>
                <w:rFonts w:ascii="宋体" w:hAnsi="宋体" w:eastAsia="宋体"/>
                <w:b/>
                <w:bCs/>
                <w:sz w:val="22"/>
              </w:rPr>
              <w:t>图 2  防御机制 × ISA 二维研究空间</w:t>
            </w:r>
          </w:p>
          <w:p>
            <w:pPr>
              <w:pStyle w:val="Normal"/>
              <w:spacing w:lineRule="auto" w:line="360"/>
              <w:rPr>
                <w:sz w:val="24"/>
              </w:rPr>
            </w:pPr>
          </w:p>
          <w:p>
            <w:pPr>
              <w:pStyle w:val="Normal"/>
              <w:spacing w:lineRule="auto" w:line="360"/>
              <w:ind w:firstLineChars="200" w:startChars="0" w:start="0" w:endChars="0" w:end="0"/>
              <w:rPr>
                <w:kern w:val="0"/>
                <w:sz w:val="24"/>
              </w:rPr>
            </w:pPr>
            <w:r>
              <w:rPr>
                <w:kern w:val="0"/>
                <w:sz w:val="24"/>
              </w:rPr>
              <w:t xml:space="preserve">第二是失效难以判定。即使测试推进到相关代码路径，"防御契约是否满足"也很难直接观察：程序不崩溃，多编译器输出一致，看似正常而契约已失守。本课题将防御机制运行期必须成立的静态或动态性质统称为安全不变量（safety invariant，即"安全规则"，如金丝雀必须位于易受攻击栈对象与返回地址之间）。破坏这些性质即发生静默失效。已有自动化手段对此不敏感：基于崩溃或差分输出的工具（如 Csmith、YARPGen）无法触发异常；覆盖率引导的模糊测试（fuzzing）也因缺乏相应的预言机（oracle）而无法判别每一格点的安全状态。</w:t>
            </w:r>
          </w:p>
          <w:p>
            <w:pPr>
              <w:pStyle w:val="Normal"/>
              <w:spacing w:lineRule="auto" w:line="360"/>
              <w:ind w:firstLineChars="200" w:startChars="0" w:start="0" w:endChars="0" w:end="0"/>
              <w:rPr>
                <w:kern w:val="0"/>
                <w:sz w:val="24"/>
              </w:rPr>
            </w:pPr>
            <w:r>
              <w:rPr>
                <w:kern w:val="0"/>
                <w:sz w:val="24"/>
              </w:rPr>
              <w:t xml:space="preserve">同时，巨大的搜索空间也给 fuzzing 自身的覆盖效率带来了考验。本课题对此的应对思路是把推进目标显式限定在"防御机制相关代码"，让覆盖率反馈与大语言模型驱动的种子变异共同约束搜索方向，详见第三、四章。</w:t>
            </w:r>
          </w:p>
          <w:p>
            <w:pPr>
              <w:pStyle w:val="Normal"/>
              <w:spacing w:lineRule="auto" w:line="360"/>
              <w:rPr>
                <w:b/>
                <w:bCs/>
                <w:kern w:val="0"/>
                <w:sz w:val="24"/>
              </w:rPr>
            </w:pPr>
            <w:r>
              <w:rPr>
                <w:b/>
                <w:bCs/>
                <w:kern w:val="0"/>
                <w:sz w:val="24"/>
              </w:rPr>
              <w:t>1.4 本章小结</w:t>
            </w:r>
          </w:p>
          <w:p>
            <w:pPr>
              <w:pStyle w:val="Normal"/>
              <w:spacing w:lineRule="auto" w:line="360"/>
              <w:ind w:firstLineChars="200" w:startChars="0" w:start="0" w:endChars="0" w:end="0"/>
              <w:rPr>
                <w:kern w:val="0"/>
                <w:sz w:val="24"/>
              </w:rPr>
            </w:pPr>
            <w:r>
              <w:rPr>
                <w:kern w:val="0"/>
                <w:sz w:val="24"/>
              </w:rPr>
              <w:t xml:space="preserve">编译器是绝大多数软件防御机制的实际载体，其在"防御机制 × ISA"二维矩阵上的静默失效会直接削弱整个软件生态的运行时安全保障。然而，现有自动化测试方法既未把搜索空间约束到防御机制相关代码，也未把安全不变量纳入判定体系。如果能把矩阵格点上的安全不变量翻译为可机器判定的检查器，并主动引导编译器走到相应代码路径，就既可暴露既有缺陷家族的同类变种，也有望在后续优化引入同类回归时及早发现。基于此，本研究结合大语言模型的代码理解能力与覆盖率反馈，构建面向编译器防御机制脆弱性的分析方法。</w:t>
            </w:r>
          </w:p>
          <w:p>
            <w:pPr>
              <w:pStyle w:val="Normal"/>
              <w:spacing w:lineRule="auto" w:line="360"/>
              <w:rPr>
                <w:sz w:val="24"/>
              </w:rPr>
            </w:pPr>
          </w:p>
          <w:p>
            <w:pPr>
              <w:pStyle w:val="Normal"/>
              <w:widowControl/>
              <w:jc w:val="start"/>
              <w:rPr>
                <w:b/>
                <w:bCs/>
                <w:kern w:val="0"/>
                <w:sz w:val="24"/>
              </w:rPr>
            </w:pPr>
            <w:r>
              <w:rPr>
                <w:b/>
                <w:bCs/>
                <w:kern w:val="0"/>
                <w:sz w:val="24"/>
              </w:rPr>
              <w:t>二、研究现状</w:t>
            </w:r>
          </w:p>
          <w:p>
            <w:pPr>
              <w:pStyle w:val="Normal"/>
              <w:spacing w:lineRule="auto" w:line="360"/>
              <w:rPr>
                <w:b/>
                <w:bCs/>
                <w:kern w:val="0"/>
                <w:sz w:val="24"/>
              </w:rPr>
            </w:pPr>
            <w:r>
              <w:rPr>
                <w:b/>
                <w:bCs/>
                <w:kern w:val="0"/>
                <w:sz w:val="24"/>
              </w:rPr>
              <w:t>2.1 文献分类思路</w:t>
            </w:r>
          </w:p>
          <w:p>
            <w:pPr>
              <w:pStyle w:val="Normal"/>
              <w:spacing w:lineRule="auto" w:line="360"/>
              <w:ind w:firstLineChars="200" w:startChars="0" w:start="0" w:endChars="0" w:end="0"/>
              <w:rPr>
                <w:kern w:val="0"/>
                <w:sz w:val="24"/>
              </w:rPr>
            </w:pPr>
            <w:r>
              <w:rPr>
                <w:kern w:val="0"/>
                <w:sz w:val="24"/>
              </w:rPr>
              <w:t xml:space="preserve">要在编译器中系统性地暴露此类静默失效，面临两个挑战：搜索空间巨大、失效难以判定。围绕这两条挑战梳理现有方法可以发现，此前的工作或针对其中之一做出推进，或停留在与编译器自身防御机制弱相关的常规缺陷上，目前尚未出现同时直面两条挑战的成熟方案。下文按这两个维度组织文献，并讨论各自的覆盖范围与遗留空白。</w:t>
            </w:r>
          </w:p>
          <w:p>
            <w:pPr>
              <w:pStyle w:val="Normal"/>
              <w:spacing w:lineRule="auto" w:line="360"/>
              <w:ind w:firstLineChars="200" w:startChars="0" w:start="0" w:endChars="0" w:end="0"/>
              <w:rPr>
                <w:kern w:val="0"/>
                <w:sz w:val="24"/>
              </w:rPr>
            </w:pPr>
            <w:r>
              <w:rPr>
                <w:kern w:val="0"/>
                <w:sz w:val="24"/>
              </w:rPr>
              <w:t xml:space="preserve">需要指出的是，模糊测试（fuzzing）并非解决该问题的唯一路径。静态分析、形式化验证、人工审计在原则上也可以参与判定一条防御机制是否在某 ISA 上仍维持其安全契约。然而，受限于安全契约本身缺乏统一的可形式化描述，以及防御机制实现散落在编译器中端 pass 与若干后端模板中的工程现实，目前与覆盖率证据耦合最紧、最容易把搜索空间显式收敛到目标代码区域的方案仍然是覆盖率引导的模糊测试。本章对相关工作的取舍即基于此判断。</w:t>
            </w:r>
          </w:p>
          <w:p>
            <w:pPr>
              <w:pStyle w:val="Normal"/>
              <w:spacing w:lineRule="auto" w:line="360"/>
              <w:rPr>
                <w:b/>
                <w:bCs/>
                <w:kern w:val="0"/>
                <w:sz w:val="24"/>
              </w:rPr>
            </w:pPr>
            <w:r>
              <w:rPr>
                <w:b/>
                <w:bCs/>
                <w:kern w:val="0"/>
                <w:sz w:val="24"/>
              </w:rPr>
              <w:t>2.2 面向搜索空间的现有工作</w:t>
            </w:r>
          </w:p>
          <w:p>
            <w:pPr>
              <w:pStyle w:val="Normal"/>
              <w:spacing w:lineRule="auto" w:line="360"/>
              <w:ind w:firstLineChars="200" w:startChars="0" w:start="0" w:endChars="0" w:end="0"/>
              <w:rPr>
                <w:kern w:val="0"/>
                <w:sz w:val="24"/>
              </w:rPr>
            </w:pPr>
            <w:r>
              <w:rPr>
                <w:kern w:val="0"/>
                <w:sz w:val="24"/>
              </w:rPr>
              <w:t xml:space="preserve">针对"如何把测试输入有目标地推到防御机制相关代码"的问题，现有方法大致可划分为四类。</w:t>
            </w:r>
          </w:p>
          <w:p>
            <w:pPr>
              <w:pStyle w:val="Normal"/>
              <w:spacing w:lineRule="auto" w:line="360"/>
              <w:ind w:firstLineChars="200" w:startChars="0" w:start="0" w:endChars="0" w:end="0"/>
              <w:rPr>
                <w:kern w:val="0"/>
                <w:sz w:val="24"/>
              </w:rPr>
            </w:pPr>
            <w:r>
              <w:rPr>
                <w:kern w:val="0"/>
                <w:sz w:val="24"/>
              </w:rPr>
              <w:t xml:space="preserve">随机生成与文法生成。Csmith[10] 与 YARPGen[11] 基于概率文法从空白合成不含未定义行为的 C 程序，再以差分输出驱动测试。这类方法对编译器整体覆盖良好，但生成过程不带任何防御机制的语义偏好，实测中很难自然落到栈金丝雀、IBT 等机制相关的代码路径上。</w:t>
            </w:r>
          </w:p>
          <w:p>
            <w:pPr>
              <w:pStyle w:val="Normal"/>
              <w:spacing w:lineRule="auto" w:line="360"/>
              <w:ind w:firstLineChars="200" w:startChars="0" w:start="0" w:endChars="0" w:end="0"/>
              <w:rPr>
                <w:kern w:val="0"/>
                <w:sz w:val="24"/>
              </w:rPr>
            </w:pPr>
            <w:r>
              <w:rPr>
                <w:kern w:val="0"/>
                <w:sz w:val="24"/>
              </w:rPr>
              <w:t xml:space="preserve">字节级覆盖率引导。AFL[12]、libFuzzer[13] 等以字节级覆盖率反馈为导向的工具被广泛用于编译器解析与优化组件。它们能感知"是否走入新代码"，但对生成程序的语法语义合法性约束有限，且覆盖率信号无差别对待所有代码区域，无法天然把推进目标限定到防御机制相关代码。</w:t>
            </w:r>
          </w:p>
          <w:p>
            <w:pPr>
              <w:pStyle w:val="Normal"/>
              <w:spacing w:lineRule="auto" w:line="360"/>
              <w:ind w:firstLineChars="200" w:startChars="0" w:start="0" w:endChars="0" w:end="0"/>
              <w:rPr>
                <w:kern w:val="0"/>
                <w:sz w:val="24"/>
              </w:rPr>
            </w:pPr>
            <w:r>
              <w:rPr>
                <w:kern w:val="0"/>
                <w:sz w:val="24"/>
              </w:rPr>
              <w:t xml:space="preserve">源码级语义保持变异。GrayC[14] 将覆盖率引导与一组保持语义合法性的源码级变异结合，在覆盖率推进与缺陷发现率上优于纯生成式工具；EMI 系列[15] 在种子的未执行区域做语义保持变换，可视作变异与变形预言机的组合。这类方法具备较强的工程实用性，但变异规则由人工定义，没有利用目标代码自身的语义信息引导方向。</w:t>
            </w:r>
          </w:p>
          <w:p>
            <w:pPr>
              <w:pStyle w:val="Normal"/>
              <w:spacing w:lineRule="auto" w:line="360"/>
              <w:ind w:firstLineChars="200" w:startChars="0" w:start="0" w:endChars="0" w:end="0"/>
              <w:rPr>
                <w:kern w:val="0"/>
                <w:sz w:val="24"/>
              </w:rPr>
            </w:pPr>
            <w:r>
              <w:rPr>
                <w:kern w:val="0"/>
                <w:sz w:val="24"/>
              </w:rPr>
              <w:t xml:space="preserve">大语言模型驱动的变异。WhiteFox[16] 从优化 pass 源码出发，利用大模型归纳输入模式并生成测试用例，使种子生成具备对编译器内部逻辑的感知；HLPFuzz[17] 进一步将大模型与覆盖率反馈耦合，将未覆盖基本块翻译为约束求解任务交由大模型完成。这表明大模型可作为语义感知的变异引擎，但目前工作定义的目标仍是常规可达性（"走到某处代码"），并不关心目标路径所承担的安全契约。</w:t>
            </w:r>
          </w:p>
          <w:p>
            <w:pPr>
              <w:pStyle w:val="Normal"/>
              <w:spacing w:lineRule="auto" w:line="360"/>
              <w:ind w:firstLineChars="200" w:startChars="0" w:start="0" w:endChars="0" w:end="0"/>
              <w:rPr>
                <w:kern w:val="0"/>
                <w:sz w:val="24"/>
              </w:rPr>
            </w:pPr>
            <w:r>
              <w:rPr>
                <w:kern w:val="0"/>
                <w:sz w:val="24"/>
              </w:rPr>
              <w:t xml:space="preserve">综合来看，现有方法在搜索空间一侧已积累了较成熟的覆盖率推进手段，若能把"防御机制相关性"作为目标基本块挑选的额外维度并复用大语言模型的代码理解能力，就有望显著提高在防御机制 × ISA 矩阵中的有效采样密度。</w:t>
            </w:r>
          </w:p>
          <w:p>
            <w:pPr>
              <w:pStyle w:val="Normal"/>
              <w:spacing w:lineRule="auto" w:line="360"/>
              <w:rPr>
                <w:b/>
                <w:bCs/>
                <w:kern w:val="0"/>
                <w:sz w:val="24"/>
              </w:rPr>
            </w:pPr>
            <w:r>
              <w:rPr>
                <w:b/>
                <w:bCs/>
                <w:kern w:val="0"/>
                <w:sz w:val="24"/>
              </w:rPr>
              <w:t>2.3 面向失效判定的现有工作</w:t>
            </w:r>
          </w:p>
          <w:p>
            <w:pPr>
              <w:pStyle w:val="Normal"/>
              <w:spacing w:lineRule="auto" w:line="360"/>
              <w:ind w:firstLineChars="200" w:startChars="0" w:start="0" w:endChars="0" w:end="0"/>
              <w:rPr>
                <w:kern w:val="0"/>
                <w:sz w:val="24"/>
              </w:rPr>
            </w:pPr>
            <w:r>
              <w:rPr>
                <w:kern w:val="0"/>
                <w:sz w:val="24"/>
              </w:rPr>
              <w:t xml:space="preserve">针对"如何判断一颗成功编译并运行的二进制是否仍满足防御机制安全契约"，现有预言机大致分为四类。</w:t>
            </w:r>
          </w:p>
          <w:p>
            <w:pPr>
              <w:pStyle w:val="Normal"/>
              <w:spacing w:lineRule="auto" w:line="360"/>
              <w:ind w:firstLineChars="200" w:startChars="0" w:start="0" w:endChars="0" w:end="0"/>
              <w:rPr>
                <w:kern w:val="0"/>
                <w:sz w:val="24"/>
              </w:rPr>
            </w:pPr>
            <w:r>
              <w:rPr>
                <w:kern w:val="0"/>
                <w:sz w:val="24"/>
              </w:rPr>
              <w:t xml:space="preserve">崩溃预言机[10,12,13] 以编译期或运行期的崩溃（ICE、断言、segfault、超时）为信号，是 AFL、libFuzzer 迁移到编译器后的默认选择。但静默失效的产物在编译期与运行期均不会崩溃，该类预言机本质上对其不可见。</w:t>
            </w:r>
          </w:p>
          <w:p>
            <w:pPr>
              <w:pStyle w:val="Normal"/>
              <w:spacing w:lineRule="auto" w:line="360"/>
              <w:ind w:firstLineChars="200" w:startChars="0" w:start="0" w:endChars="0" w:end="0"/>
              <w:rPr>
                <w:kern w:val="0"/>
                <w:sz w:val="24"/>
              </w:rPr>
            </w:pPr>
            <w:r>
              <w:rPr>
                <w:kern w:val="0"/>
                <w:sz w:val="24"/>
              </w:rPr>
              <w:t xml:space="preserve">差分预言机[10,11] 对若干编译器或同一编译器不同优化等级就同一程序的运行结果做交叉比对，差异即为 mis-compile。然而，静默失效的二进制功能行为与正常产物一致，不同编译器之间也保持一致输出，因此不会产生可观察的差异。</w:t>
            </w:r>
          </w:p>
          <w:p>
            <w:pPr>
              <w:pStyle w:val="Normal"/>
              <w:spacing w:lineRule="auto" w:line="360"/>
              <w:ind w:firstLineChars="200" w:startChars="0" w:start="0" w:endChars="0" w:end="0"/>
              <w:rPr>
                <w:kern w:val="0"/>
                <w:sz w:val="24"/>
              </w:rPr>
            </w:pPr>
            <w:r>
              <w:rPr>
                <w:kern w:val="0"/>
                <w:sz w:val="24"/>
              </w:rPr>
              <w:t xml:space="preserve">变形预言机以 Le 等提出的 EMI[15] 为代表，对同一输入下未执行的代码做删改，新程序应产生相同结果，差异即为 mis-compile。该类预言机围绕"语义保持"组织判据，仍然在功能输出层面观察，无法触及运行期防御契约。</w:t>
            </w:r>
          </w:p>
          <w:p>
            <w:pPr>
              <w:pStyle w:val="Normal"/>
              <w:spacing w:lineRule="auto" w:line="360"/>
              <w:ind w:firstLineChars="200" w:startChars="0" w:start="0" w:endChars="0" w:end="0"/>
              <w:rPr>
                <w:kern w:val="0"/>
                <w:sz w:val="24"/>
              </w:rPr>
            </w:pPr>
            <w:r>
              <w:rPr>
                <w:kern w:val="0"/>
                <w:sz w:val="24"/>
              </w:rPr>
              <w:t xml:space="preserve">Sanitizer 预言机借助 ASan 等工具将内存破坏转为显式信号；UBfuzz[18] 进一步用反向定位来测试 sanitizer 自身实现缺陷。Sanitizer 关心程序自身的内存安全，其覆盖范围与“内置防御机制是否生效”不重叠。复合预言机如 HirGen[19] 虽在 IR 层结合差分与变形，但同样不针对编译器的防御机制。</w:t>
            </w:r>
          </w:p>
          <w:p>
            <w:pPr>
              <w:pStyle w:val="Normal"/>
              <w:spacing w:lineRule="auto" w:line="360"/>
              <w:ind w:firstLineChars="200" w:startChars="0" w:start="0" w:endChars="0" w:end="0"/>
              <w:rPr>
                <w:kern w:val="0"/>
                <w:sz w:val="24"/>
              </w:rPr>
            </w:pPr>
            <w:r>
              <w:rPr>
                <w:kern w:val="0"/>
                <w:sz w:val="24"/>
              </w:rPr>
              <w:t xml:space="preserve">可以看到，现有预言机的判据全部建立在"崩溃"或"可观察输出差异"之上。当缺陷的形态是"代码正常编译运行、运行时保护已被静默削弱"时，它们均无法触发。这正是第一章所述判定空白的来源。</w:t>
            </w:r>
          </w:p>
          <w:p>
            <w:pPr>
              <w:pStyle w:val="Normal"/>
              <w:spacing w:lineRule="auto" w:line="360"/>
              <w:rPr>
                <w:b/>
                <w:bCs/>
                <w:kern w:val="0"/>
                <w:sz w:val="24"/>
              </w:rPr>
            </w:pPr>
            <w:r>
              <w:rPr>
                <w:b/>
                <w:bCs/>
                <w:kern w:val="0"/>
                <w:sz w:val="24"/>
              </w:rPr>
              <w:t>2.4 本章小结</w:t>
            </w:r>
          </w:p>
          <w:p>
            <w:pPr>
              <w:pStyle w:val="Normal"/>
              <w:spacing w:lineRule="auto" w:line="360"/>
              <w:ind w:firstLineChars="200" w:startChars="0" w:start="0" w:endChars="0" w:end="0"/>
              <w:rPr>
                <w:kern w:val="0"/>
                <w:sz w:val="24"/>
              </w:rPr>
            </w:pPr>
            <w:r>
              <w:rPr>
                <w:kern w:val="0"/>
                <w:sz w:val="24"/>
              </w:rPr>
              <w:t xml:space="preserve">本研究整合现有模糊测试技术的优势，通过提炼跨架构的安全不变量构建专用预言机，并利用大语言模型结合覆盖率反馈实现精确变异，从而系统性暴露编译器在防御机制上的静默失效漏洞。本研究在第三、四章给出对应的解法：把每条防御机制的安全不变量翻译为可机器判定的检查器以填补预言机空白；在大模型与覆盖率联合驱动的种子生成主循环中，把目标基本块选择限定在防御机制相关代码区域，使搜索空间被显式压缩到矩阵中那些尚未触达的格点附近。</w:t>
            </w:r>
          </w:p>
          <w:p>
            <w:pPr>
              <w:pStyle w:val="Normal"/>
              <w:spacing w:lineRule="auto" w:line="360"/>
              <w:rPr>
                <w:sz w:val="24"/>
              </w:rPr>
            </w:pPr>
          </w:p>
          <w:p>
            <w:pPr>
              <w:pStyle w:val="Normal"/>
              <w:widowControl/>
              <w:jc w:val="start"/>
              <w:rPr>
                <w:b/>
                <w:bCs/>
                <w:kern w:val="0"/>
                <w:sz w:val="24"/>
              </w:rPr>
            </w:pPr>
            <w:r>
              <w:rPr>
                <w:b/>
                <w:bCs/>
                <w:kern w:val="0"/>
                <w:sz w:val="24"/>
              </w:rPr>
              <w:t>三、研究目标及研究内容</w:t>
            </w:r>
          </w:p>
          <w:p>
            <w:pPr>
              <w:pStyle w:val="Normal"/>
              <w:spacing w:lineRule="auto" w:line="360"/>
              <w:rPr>
                <w:b/>
                <w:bCs/>
                <w:kern w:val="0"/>
                <w:sz w:val="24"/>
              </w:rPr>
            </w:pPr>
            <w:r>
              <w:rPr>
                <w:b/>
                <w:bCs/>
                <w:kern w:val="0"/>
                <w:sz w:val="24"/>
              </w:rPr>
              <w:t>3.1 研究目标</w:t>
            </w:r>
          </w:p>
          <w:p>
            <w:pPr>
              <w:pStyle w:val="Normal"/>
              <w:spacing w:lineRule="auto" w:line="360"/>
              <w:ind w:firstLineChars="200" w:startChars="0" w:start="0" w:endChars="0" w:end="0"/>
              <w:rPr>
                <w:kern w:val="0"/>
                <w:sz w:val="24"/>
              </w:rPr>
            </w:pPr>
            <w:r>
              <w:rPr>
                <w:kern w:val="0"/>
                <w:sz w:val="24"/>
              </w:rPr>
              <w:t xml:space="preserve">本课题要构建一种面向编译器自身防御机制的脆弱性分析方法，并在 GCC 与 LLVM 上完成端到端验证。与以崩溃或差分输出为信号的传统编译器 fuzzer 不同，本方法以"防御机制是否仍满足其安全契约"为判据，自动暴露第一章所述的静默失效。具体目标分为以下三项：</w:t>
            </w:r>
          </w:p>
          <w:p>
            <w:pPr>
              <w:pStyle w:val="Normal"/>
              <w:spacing w:lineRule="auto" w:line="360"/>
              <w:ind w:firstLineChars="200" w:startChars="0" w:start="0" w:endChars="0" w:end="0"/>
              <w:rPr>
                <w:kern w:val="0"/>
                <w:sz w:val="24"/>
              </w:rPr>
            </w:pPr>
            <w:r>
              <w:rPr>
                <w:kern w:val="0"/>
                <w:sz w:val="24"/>
              </w:rPr>
              <w:t xml:space="preserve">(a) 形成一套覆盖主流防御机制的安全不变量集合，每条不变量具备可由二进制或运行行为判定的证据形式，在 GCC 与 LLVM 上保持一致的描述结构；</w:t>
            </w:r>
          </w:p>
          <w:p>
            <w:pPr>
              <w:pStyle w:val="Normal"/>
              <w:spacing w:lineRule="auto" w:line="360"/>
              <w:ind w:firstLineChars="200" w:startChars="0" w:start="0" w:endChars="0" w:end="0"/>
              <w:rPr>
                <w:kern w:val="0"/>
                <w:sz w:val="24"/>
              </w:rPr>
            </w:pPr>
            <w:r>
              <w:rPr>
                <w:kern w:val="0"/>
                <w:sz w:val="24"/>
              </w:rPr>
              <w:t xml:space="preserve">(b) 构建一个可同时面向 GCC 与 LLVM、跨架构运行的 fuzzer 原型，以防御机制相关代码的源代码覆盖率为推进信号，由大语言模型完成种子精细变异；</w:t>
            </w:r>
          </w:p>
          <w:p>
            <w:pPr>
              <w:pStyle w:val="Normal"/>
              <w:spacing w:lineRule="auto" w:line="360"/>
              <w:ind w:firstLineChars="200" w:startChars="0" w:start="0" w:endChars="0" w:end="0"/>
              <w:rPr>
                <w:kern w:val="0"/>
                <w:sz w:val="24"/>
              </w:rPr>
            </w:pPr>
            <w:r>
              <w:rPr>
                <w:kern w:val="0"/>
                <w:sz w:val="24"/>
              </w:rPr>
              <w:t xml:space="preserve">(c) 通过该原型在 GCC 与 LLVM 上发现可被上游确认的真实缺陷，验证方法的有效性与跨编译器迁移性。</w:t>
            </w:r>
          </w:p>
          <w:p>
            <w:pPr>
              <w:pStyle w:val="Normal"/>
              <w:spacing w:lineRule="auto" w:line="360"/>
              <w:ind w:firstLineChars="200" w:startChars="0" w:start="0" w:endChars="0" w:end="0"/>
              <w:rPr>
                <w:kern w:val="0"/>
                <w:sz w:val="24"/>
              </w:rPr>
            </w:pPr>
            <w:r>
              <w:rPr>
                <w:kern w:val="0"/>
                <w:sz w:val="24"/>
              </w:rPr>
              <w:t xml:space="preserve">三个目标依次推进：(a) 提供事实基础，(b) 构建原型，(c) 完成实证验证。其依赖关系与工作内容详见 3.2 节。</w:t>
            </w:r>
          </w:p>
          <w:p>
            <w:pPr>
              <w:pStyle w:val="Normal"/>
              <w:spacing w:lineRule="auto" w:line="360"/>
              <w:rPr>
                <w:b/>
                <w:bCs/>
                <w:kern w:val="0"/>
                <w:sz w:val="24"/>
              </w:rPr>
            </w:pPr>
            <w:r>
              <w:rPr>
                <w:b/>
                <w:bCs/>
                <w:kern w:val="0"/>
                <w:sz w:val="24"/>
              </w:rPr>
              <w:t>3.2 研究内容</w:t>
            </w:r>
          </w:p>
          <w:p>
            <w:pPr>
              <w:pStyle w:val="Normal"/>
              <w:spacing w:lineRule="auto" w:line="360"/>
              <w:ind w:firstLineChars="200" w:startChars="0" w:start="0" w:endChars="0" w:end="0"/>
              <w:rPr>
                <w:kern w:val="0"/>
                <w:sz w:val="24"/>
              </w:rPr>
            </w:pPr>
            <w:r>
              <w:rPr>
                <w:kern w:val="0"/>
                <w:sz w:val="24"/>
              </w:rPr>
              <w:t xml:space="preserve">本课题分为三部分工作，相互依赖关系如图 3 所示：不变量形式化是预言机与种子目标选择的基础；预言机提供安全判定接口；覆盖率驱动的种子生成负责将测试输入推进到特定代码路径。</w:t>
            </w:r>
          </w:p>
          <w:p>
            <w:pPr>
              <w:pStyle w:val="Normal"/>
              <w:spacing w:lineRule="auto" w:line="360"/>
              <w:jc w:val="center"/>
            </w:pPr>
            <w:r>
              <w:rPr/>
              <w:drawing>
                <wp:inline xmlns:wp="http://schemas.openxmlformats.org/drawingml/2006/wordprocessingDrawing" distT="0" distB="0" distL="0" distR="0">
                  <wp:extent cx="5385714" cy="1236021"/>
                  <wp:effectExtent l="0" t="0" r="0" b="0"/>
                  <wp:docPr id="23" name="Figur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peline.png"/>
                          <pic:cNvPicPr/>
                        </pic:nvPicPr>
                        <pic:blipFill>
                          <a:blip xmlns:r="http://schemas.openxmlformats.org/officeDocument/2006/relationships" r:embed="rId23"/>
                          <a:stretch>
                            <a:fillRect/>
                          </a:stretch>
                        </pic:blipFill>
                        <pic:spPr>
                          <a:xfrm>
                            <a:off x="0" y="0"/>
                            <a:ext cx="5385714" cy="1236021"/>
                          </a:xfrm>
                          <a:prstGeom prst="rect">
                            <a:avLst/>
                          </a:prstGeom>
                        </pic:spPr>
                      </pic:pic>
                    </a:graphicData>
                  </a:graphic>
                </wp:inline>
              </w:drawing>
            </w:r>
          </w:p>
          <w:p>
            <w:pPr>
              <w:pStyle w:val="Normal"/>
              <w:spacing w:lineRule="auto" w:line="360"/>
              <w:jc w:val="center"/>
              <w:rPr>
                <w:rFonts w:ascii="宋体" w:hAnsi="宋体" w:eastAsia="宋体"/>
                <w:b/>
                <w:bCs/>
                <w:sz w:val="22"/>
              </w:rPr>
            </w:pPr>
            <w:r>
              <w:rPr>
                <w:rFonts w:ascii="宋体" w:hAnsi="宋体" w:eastAsia="宋体"/>
                <w:b/>
                <w:bCs/>
                <w:sz w:val="22"/>
              </w:rPr>
              <w:t>图 3  研究内容工作链条</w:t>
            </w:r>
          </w:p>
          <w:p>
            <w:pPr>
              <w:pStyle w:val="Normal"/>
              <w:spacing w:lineRule="auto" w:line="360"/>
              <w:rPr>
                <w:sz w:val="24"/>
              </w:rPr>
            </w:pPr>
          </w:p>
          <w:p>
            <w:pPr>
              <w:pStyle w:val="Normal"/>
              <w:spacing w:lineRule="auto" w:line="360"/>
              <w:ind w:firstLineChars="200" w:startChars="0" w:start="0" w:endChars="0" w:end="0"/>
              <w:rPr>
                <w:kern w:val="0"/>
                <w:sz w:val="24"/>
              </w:rPr>
            </w:pPr>
            <w:r>
              <w:rPr>
                <w:kern w:val="0"/>
                <w:sz w:val="24"/>
              </w:rPr>
              <w:t xml:space="preserve">(1) 防御机制安全不变量的调研与形式化。针对栈金丝雀、_FORTIFY_SOURCE、IBT 等机制，从三类来源提炼其安全不变量：一是编译器源码中的注释与断言（如 GCC 中 AArch64 后端关于 canary 槽位置关系的注释，或 LLVM 中 StackProtector 模块的实现）；二是编译器及系统 ABI 官方文档对开关、接口、属性的规定；三是已确认的历史 bug 与修补点。每条不变量按统一字段记录其陈述、证据片段与版本敏感性，便于机械检索与回归。</w:t>
            </w:r>
          </w:p>
          <w:p>
            <w:pPr>
              <w:pStyle w:val="Normal"/>
              <w:spacing w:lineRule="auto" w:line="360"/>
              <w:ind w:firstLineChars="200" w:startChars="0" w:start="0" w:endChars="0" w:end="0"/>
              <w:rPr>
                <w:kern w:val="0"/>
                <w:sz w:val="24"/>
              </w:rPr>
            </w:pPr>
            <w:r>
              <w:rPr>
                <w:kern w:val="0"/>
                <w:sz w:val="24"/>
              </w:rPr>
              <w:t xml:space="preserve">(2) 不变量到预言机的工程化落地。将不变量翻译为二进制层面或运行行为上的检查器。框架将检查器分为静态与动态两类：静态检查通过 ELF 符号、指令流模式、属性 note 做断言式判定；动态检查通过受控执行（如对 buffer 填充长度做二分搜索）观察运行行为。预言机判据建立在二进制和运行行为之上，与产生该二进制的具体编译器解耦，GCC 与 LLVM 产物共用同一套检查器。每个机制配置一个聚合器，任一检查器返回 Fail 即记机制级违例并附带证据；同时为每个机制记录开机制/关机制两套 flag profile，框架据此对同一颗种子做对照判定，避免与编译器自身缺省行为混淆。</w:t>
            </w:r>
          </w:p>
          <w:p>
            <w:pPr>
              <w:pStyle w:val="Normal"/>
              <w:spacing w:lineRule="auto" w:line="360"/>
              <w:ind w:firstLineChars="200" w:startChars="0" w:start="0" w:endChars="0" w:end="0"/>
              <w:rPr>
                <w:kern w:val="0"/>
                <w:sz w:val="24"/>
              </w:rPr>
            </w:pPr>
            <w:r>
              <w:rPr>
                <w:kern w:val="0"/>
                <w:sz w:val="24"/>
              </w:rPr>
              <w:t xml:space="preserve">(3) 大语言模型与覆盖率联合驱动的种子生成。以编译器中防御机制的源代码覆盖率为目标信号，结合控制流图按"未覆盖且与防御机制相关性高"的策略选取基本块作为变异目标。每轮变异流程如下：构造目标上下文（含函数源码、基本块标注及示例种子），调用大模型生成新 C 种子，编译产物经预言机检查。若发现覆盖增量、命中目标或触发 bug，则保存种子。未命中目标但带来新覆盖的种子，将通过轻量级追踪定位发散点，回喂给模型进行下一轮精细变异。该过程确保了大模型生成始终聚焦于防御机制代码路径。</w:t>
            </w:r>
          </w:p>
          <w:p>
            <w:pPr>
              <w:pStyle w:val="Normal"/>
              <w:spacing w:lineRule="auto" w:line="360"/>
              <w:rPr>
                <w:sz w:val="24"/>
              </w:rPr>
            </w:pPr>
          </w:p>
          <w:p>
            <w:pPr>
              <w:pStyle w:val="Normal"/>
              <w:widowControl/>
              <w:jc w:val="start"/>
              <w:rPr>
                <w:b/>
                <w:bCs/>
                <w:kern w:val="0"/>
                <w:sz w:val="24"/>
              </w:rPr>
            </w:pPr>
            <w:r>
              <w:rPr>
                <w:b/>
                <w:bCs/>
                <w:kern w:val="0"/>
                <w:sz w:val="24"/>
              </w:rPr>
              <w:t>四、技术路线</w:t>
            </w:r>
          </w:p>
          <w:p>
            <w:pPr>
              <w:pStyle w:val="Normal"/>
              <w:spacing w:lineRule="auto" w:line="360"/>
              <w:ind w:firstLineChars="200" w:startChars="0" w:start="0" w:endChars="0" w:end="0"/>
              <w:rPr>
                <w:kern w:val="0"/>
                <w:sz w:val="24"/>
              </w:rPr>
            </w:pPr>
            <w:r>
              <w:rPr>
                <w:kern w:val="0"/>
                <w:sz w:val="24"/>
              </w:rPr>
              <w:t xml:space="preserve">技术路线分为总体架构、防御机制不变量预言机框架、大语言模型驱动的种子变异主循环、跨架构与编译选项调度四部分，对应研究内容 (1)–(3) 的工程实现。GCC 上的初步验证证据见第五章。</w:t>
            </w:r>
          </w:p>
          <w:p>
            <w:pPr>
              <w:pStyle w:val="Normal"/>
              <w:spacing w:lineRule="auto" w:line="360"/>
              <w:rPr>
                <w:b/>
                <w:bCs/>
                <w:kern w:val="0"/>
                <w:sz w:val="24"/>
              </w:rPr>
            </w:pPr>
            <w:r>
              <w:rPr>
                <w:b/>
                <w:bCs/>
                <w:kern w:val="0"/>
                <w:sz w:val="24"/>
              </w:rPr>
              <w:t>4.1 总体架构</w:t>
            </w:r>
          </w:p>
          <w:p>
            <w:pPr>
              <w:pStyle w:val="Normal"/>
              <w:spacing w:lineRule="auto" w:line="360"/>
              <w:ind w:firstLineChars="200" w:startChars="0" w:start="0" w:endChars="0" w:end="0"/>
              <w:rPr>
                <w:kern w:val="0"/>
                <w:sz w:val="24"/>
              </w:rPr>
            </w:pPr>
            <w:r>
              <w:rPr>
                <w:kern w:val="0"/>
                <w:sz w:val="24"/>
              </w:rPr>
              <w:t xml:space="preserve">系统以一条 fuzz 主循环为骨干，由 LLM 变异、编译器、预言机三个子系统以及种子语料库、配置模块共同支撑，结构如图 4 所示。Fuzz 引擎承担主循环调度与提示词组装两项职能，将当前覆盖率、目标基本块和已有种子拼装成提示词交给 LLM 变异子系统，获取新种子后分发给后续环节。编译器子系统封装预先插桩的 GCC 与 LLVM，将底层差异数据（如 gcov 与 SanitizerCoverage）统一归并为同构的"行级覆盖 → 种子 ID"映射，主循环对此无感知。预言机子系统按防御机制聚合不变量检查器，对编译成功的种子进行安全契约判定。种子语料库持久化满足质量阈值的种子并维护家系信息。配置模块按"防御机制 · ISA · flag"三元组下发任务：把工具链选择（GCC / LLVM）与对应 flag 交给编译器子系统，把目标 ISA 对应的 QEMU 工具链交给预言机的执行层，使同一份种子可在不同后端上做对照实验，从而以可重复的方式覆盖第一章所述的"防御机制 × ISA"矩阵。</w:t>
            </w:r>
          </w:p>
          <w:p>
            <w:pPr>
              <w:pStyle w:val="Normal"/>
              <w:spacing w:lineRule="auto" w:line="360"/>
              <w:jc w:val="center"/>
            </w:pPr>
            <w:r>
              <w:rPr/>
              <w:drawing>
                <wp:inline xmlns:wp="http://schemas.openxmlformats.org/drawingml/2006/wordprocessingDrawing" distT="0" distB="0" distL="0" distR="0">
                  <wp:extent cx="5385714" cy="2609079"/>
                  <wp:effectExtent l="0" t="0" r="0" b="0"/>
                  <wp:docPr id="24" name="Figur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architecture.png"/>
                          <pic:cNvPicPr/>
                        </pic:nvPicPr>
                        <pic:blipFill>
                          <a:blip xmlns:r="http://schemas.openxmlformats.org/officeDocument/2006/relationships" r:embed="rId24"/>
                          <a:stretch>
                            <a:fillRect/>
                          </a:stretch>
                        </pic:blipFill>
                        <pic:spPr>
                          <a:xfrm>
                            <a:off x="0" y="0"/>
                            <a:ext cx="5385714" cy="2609079"/>
                          </a:xfrm>
                          <a:prstGeom prst="rect">
                            <a:avLst/>
                          </a:prstGeom>
                        </pic:spPr>
                      </pic:pic>
                    </a:graphicData>
                  </a:graphic>
                </wp:inline>
              </w:drawing>
            </w:r>
          </w:p>
          <w:p>
            <w:pPr>
              <w:pStyle w:val="Normal"/>
              <w:spacing w:lineRule="auto" w:line="360"/>
              <w:jc w:val="center"/>
              <w:rPr>
                <w:rFonts w:ascii="宋体" w:hAnsi="宋体" w:eastAsia="宋体"/>
                <w:b/>
                <w:bCs/>
                <w:sz w:val="22"/>
              </w:rPr>
            </w:pPr>
            <w:r>
              <w:rPr>
                <w:rFonts w:ascii="宋体" w:hAnsi="宋体" w:eastAsia="宋体"/>
                <w:b/>
                <w:bCs/>
                <w:sz w:val="22"/>
              </w:rPr>
              <w:t>图 4  DeFuzz 总体架构</w:t>
            </w:r>
          </w:p>
          <w:p>
            <w:pPr>
              <w:pStyle w:val="Normal"/>
              <w:spacing w:lineRule="auto" w:line="360"/>
              <w:rPr>
                <w:sz w:val="24"/>
              </w:rPr>
            </w:pPr>
          </w:p>
          <w:p>
            <w:pPr>
              <w:pStyle w:val="Normal"/>
              <w:spacing w:lineRule="auto" w:line="360"/>
              <w:rPr>
                <w:b/>
                <w:bCs/>
                <w:kern w:val="0"/>
                <w:sz w:val="24"/>
              </w:rPr>
            </w:pPr>
            <w:r>
              <w:rPr>
                <w:b/>
                <w:bCs/>
                <w:kern w:val="0"/>
                <w:sz w:val="24"/>
              </w:rPr>
              <w:t>4.2 防御机制不变量预言机框架</w:t>
            </w:r>
          </w:p>
          <w:p>
            <w:pPr>
              <w:pStyle w:val="Normal"/>
              <w:spacing w:lineRule="auto" w:line="360"/>
              <w:ind w:firstLineChars="200" w:startChars="0" w:start="0" w:endChars="0" w:end="0"/>
              <w:rPr>
                <w:kern w:val="0"/>
                <w:sz w:val="24"/>
              </w:rPr>
            </w:pPr>
            <w:r>
              <w:rPr>
                <w:kern w:val="0"/>
                <w:sz w:val="24"/>
              </w:rPr>
              <w:t xml:space="preserve">每个机制对应一个聚合器，下挂若干检查器。判定流程如图 5 所示，检查器输入包括种子的源码、汇编与二进制文件。检查器分为两类：静态检查器通过 ELF 符号表、指令字节模式与 .note 段进行断言；动态检查器则通过受控执行（如二分搜索）观察运行期越界表现。每个检查器返回 Pass、Fail 或 Error，聚合时任一 Fail 即视为机制级违例，并回写触发证据。对于易与编译器缺省行为混淆的检查器，框架会同时运行开/关机制的两套配置进行比对。预言机还维护一份缓存以复用执行结果，避免重复解析。</w:t>
            </w:r>
          </w:p>
          <w:p>
            <w:pPr>
              <w:pStyle w:val="Normal"/>
              <w:spacing w:lineRule="auto" w:line="360"/>
              <w:jc w:val="center"/>
            </w:pPr>
            <w:r>
              <w:rPr/>
              <w:drawing>
                <wp:inline xmlns:wp="http://schemas.openxmlformats.org/drawingml/2006/wordprocessingDrawing" distT="0" distB="0" distL="0" distR="0">
                  <wp:extent cx="4284090" cy="5612159"/>
                  <wp:effectExtent l="0" t="0" r="0" b="0"/>
                  <wp:docPr id="25" name="Figur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oracle-flow.png"/>
                          <pic:cNvPicPr/>
                        </pic:nvPicPr>
                        <pic:blipFill>
                          <a:blip xmlns:r="http://schemas.openxmlformats.org/officeDocument/2006/relationships" r:embed="rId25"/>
                          <a:stretch>
                            <a:fillRect/>
                          </a:stretch>
                        </pic:blipFill>
                        <pic:spPr>
                          <a:xfrm>
                            <a:off x="0" y="0"/>
                            <a:ext cx="4284090" cy="5612159"/>
                          </a:xfrm>
                          <a:prstGeom prst="rect">
                            <a:avLst/>
                          </a:prstGeom>
                        </pic:spPr>
                      </pic:pic>
                    </a:graphicData>
                  </a:graphic>
                </wp:inline>
              </w:drawing>
            </w:r>
          </w:p>
          <w:p>
            <w:pPr>
              <w:pStyle w:val="Normal"/>
              <w:spacing w:lineRule="auto" w:line="360"/>
              <w:jc w:val="center"/>
              <w:rPr>
                <w:rFonts w:ascii="宋体" w:hAnsi="宋体" w:eastAsia="宋体"/>
                <w:b/>
                <w:bCs/>
                <w:sz w:val="22"/>
              </w:rPr>
            </w:pPr>
            <w:r>
              <w:rPr>
                <w:rFonts w:ascii="宋体" w:hAnsi="宋体" w:eastAsia="宋体"/>
                <w:b/>
                <w:bCs/>
                <w:sz w:val="22"/>
              </w:rPr>
              <w:t>图 5  防御机制不变量预言机判定流程</w:t>
            </w:r>
          </w:p>
          <w:p>
            <w:pPr>
              <w:pStyle w:val="Normal"/>
              <w:spacing w:lineRule="auto" w:line="360"/>
              <w:rPr>
                <w:sz w:val="24"/>
              </w:rPr>
            </w:pPr>
          </w:p>
          <w:p>
            <w:pPr>
              <w:pStyle w:val="Normal"/>
              <w:spacing w:lineRule="auto" w:line="360"/>
              <w:rPr>
                <w:b/>
                <w:bCs/>
                <w:kern w:val="0"/>
                <w:sz w:val="24"/>
              </w:rPr>
            </w:pPr>
            <w:r>
              <w:rPr>
                <w:b/>
                <w:bCs/>
                <w:kern w:val="0"/>
                <w:sz w:val="24"/>
              </w:rPr>
              <w:t>4.3 大语言模型驱动的种子变异主循环</w:t>
            </w:r>
          </w:p>
          <w:p>
            <w:pPr>
              <w:pStyle w:val="Normal"/>
              <w:spacing w:lineRule="auto" w:line="360"/>
              <w:ind w:firstLineChars="200" w:startChars="0" w:start="0" w:endChars="0" w:end="0"/>
              <w:rPr>
                <w:kern w:val="0"/>
                <w:sz w:val="24"/>
              </w:rPr>
            </w:pPr>
            <w:r>
              <w:rPr>
                <w:kern w:val="0"/>
                <w:sz w:val="24"/>
              </w:rPr>
              <w:t xml:space="preserve">主循环的输入为当前覆盖率映射与编译器源码控制流图，单轮迭代过程如图 6 所示。每轮先在未覆盖基本块中按相关性挑出一个目标，相关性由该基本块在 CFG 上的后继分支数和所属代码区域对防御机制的关联程度共同决定，使搜索集中在未触达且与防御逻辑相关的代码上。随后构造目标上下文：目标函数源码片段、逐行覆盖标注、目标基本块位置，以及覆盖目标前驱的若干示例种子。提示词组装层将上下文与基础变异提示词、机制契约要求拼接，提交给大语言模型生成新 C 种子。编译失败时反馈错误信息进入下一轮；编译成功后覆盖率分析器判断命中情况，预言机给出安全判定。结果分析阶段同时观察覆盖增量、是否命中目标、是否触发 bug，任一为真即保存种子。种子未命中目标但带来新覆盖时，利用轻量动态追踪定位其与基线种子在调用序列上的首个发散点，将发散函数源码作为额外上下文反馈给变异提示，请求模型重新精细变异。目标基本块全部覆盖后，主循环可切换至随机变异阶段，仅以预言机为保存条件继续探索。</w:t>
            </w:r>
          </w:p>
          <w:p>
            <w:pPr>
              <w:pStyle w:val="Normal"/>
              <w:spacing w:lineRule="auto" w:line="360"/>
              <w:jc w:val="center"/>
            </w:pPr>
            <w:r>
              <w:rPr/>
              <w:drawing>
                <wp:inline xmlns:wp="http://schemas.openxmlformats.org/drawingml/2006/wordprocessingDrawing" distT="0" distB="0" distL="0" distR="0">
                  <wp:extent cx="3501559" cy="6725183"/>
                  <wp:effectExtent l="0" t="0" r="0" b="0"/>
                  <wp:docPr id="26" name="Figur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main-loop.png"/>
                          <pic:cNvPicPr/>
                        </pic:nvPicPr>
                        <pic:blipFill>
                          <a:blip xmlns:r="http://schemas.openxmlformats.org/officeDocument/2006/relationships" r:embed="rId26"/>
                          <a:stretch>
                            <a:fillRect/>
                          </a:stretch>
                        </pic:blipFill>
                        <pic:spPr>
                          <a:xfrm>
                            <a:off x="0" y="0"/>
                            <a:ext cx="3501559" cy="6725183"/>
                          </a:xfrm>
                          <a:prstGeom prst="rect">
                            <a:avLst/>
                          </a:prstGeom>
                        </pic:spPr>
                      </pic:pic>
                    </a:graphicData>
                  </a:graphic>
                </wp:inline>
              </w:drawing>
            </w:r>
          </w:p>
          <w:p>
            <w:pPr>
              <w:pStyle w:val="Normal"/>
              <w:spacing w:lineRule="auto" w:line="360"/>
              <w:jc w:val="center"/>
              <w:rPr>
                <w:rFonts w:ascii="宋体" w:hAnsi="宋体" w:eastAsia="宋体"/>
                <w:b/>
                <w:bCs/>
                <w:sz w:val="22"/>
              </w:rPr>
            </w:pPr>
            <w:r>
              <w:rPr>
                <w:rFonts w:ascii="宋体" w:hAnsi="宋体" w:eastAsia="宋体"/>
                <w:b/>
                <w:bCs/>
                <w:sz w:val="22"/>
              </w:rPr>
              <w:t>图 6  大语言模型驱动的种子变异主循环</w:t>
            </w:r>
          </w:p>
          <w:p>
            <w:pPr>
              <w:pStyle w:val="Normal"/>
              <w:spacing w:lineRule="auto" w:line="360"/>
              <w:rPr>
                <w:sz w:val="24"/>
              </w:rPr>
            </w:pPr>
          </w:p>
          <w:p>
            <w:pPr>
              <w:pStyle w:val="Normal"/>
              <w:spacing w:lineRule="auto" w:line="360"/>
              <w:rPr>
                <w:b/>
                <w:bCs/>
                <w:kern w:val="0"/>
                <w:sz w:val="24"/>
              </w:rPr>
            </w:pPr>
            <w:r>
              <w:rPr>
                <w:b/>
                <w:bCs/>
                <w:kern w:val="0"/>
                <w:sz w:val="24"/>
              </w:rPr>
              <w:t>4.4 跨架构与编译选项调度</w:t>
            </w:r>
          </w:p>
          <w:p>
            <w:pPr>
              <w:pStyle w:val="Normal"/>
              <w:spacing w:lineRule="auto" w:line="360"/>
              <w:ind w:firstLineChars="200" w:startChars="0" w:start="0" w:endChars="0" w:end="0"/>
              <w:rPr>
                <w:kern w:val="0"/>
                <w:sz w:val="24"/>
              </w:rPr>
            </w:pPr>
            <w:r>
              <w:rPr>
                <w:kern w:val="0"/>
                <w:sz w:val="24"/>
              </w:rPr>
              <w:t xml:space="preserve">配置模块将编译命令参数化为编译器、ISA、架构 flag、策略 flag 方案四元组，向子系统下发对应工具链，使同一种子可分发至不同后端经 QEMU 执行。策略方案包含开/关机制两套配置，供预言机对照判定。不同编译器间的 flag 拼写差异被统一抽象，而二进制解析层（BinaryInspector）则屏蔽了各 ISA 间的底层格式差异，为检查器提供通用判定能力。</w:t>
            </w:r>
          </w:p>
          <w:p>
            <w:pPr>
              <w:pStyle w:val="Normal"/>
              <w:spacing w:lineRule="auto" w:line="360"/>
              <w:rPr>
                <w:sz w:val="24"/>
              </w:rPr>
            </w:pPr>
          </w:p>
          <w:p>
            <w:pPr>
              <w:pStyle w:val="Normal"/>
              <w:widowControl/>
              <w:jc w:val="start"/>
              <w:rPr>
                <w:b/>
                <w:bCs/>
                <w:kern w:val="0"/>
                <w:sz w:val="24"/>
              </w:rPr>
            </w:pPr>
            <w:r>
              <w:rPr>
                <w:b/>
                <w:bCs/>
                <w:kern w:val="0"/>
                <w:sz w:val="24"/>
              </w:rPr>
              <w:t>五、初步实验</w:t>
            </w:r>
          </w:p>
          <w:p>
            <w:pPr>
              <w:pStyle w:val="Normal"/>
              <w:spacing w:lineRule="auto" w:line="360"/>
              <w:ind w:firstLineChars="200" w:startChars="0" w:start="0" w:endChars="0" w:end="0"/>
              <w:rPr>
                <w:kern w:val="0"/>
                <w:sz w:val="24"/>
              </w:rPr>
            </w:pPr>
            <w:r>
              <w:rPr>
                <w:kern w:val="0"/>
                <w:sz w:val="24"/>
              </w:rPr>
              <w:t xml:space="preserve">目前已在 GCC 的多个版本上测试栈金丝雀、_FORTIFY_SOURCE、IBT 等防御机制，并在 GCC 上发现 3 例已获上游确认的静默失效[6-9]。LLVM 侧实验将在下一阶段进行。下文展开分析其中两例，并在 5.3 节简述第三例（多 ISA 上栈金丝雀寄存器泄露问题）。</w:t>
            </w:r>
          </w:p>
          <w:p>
            <w:pPr>
              <w:pStyle w:val="Normal"/>
              <w:spacing w:lineRule="auto" w:line="360"/>
              <w:rPr>
                <w:b/>
                <w:bCs/>
                <w:kern w:val="0"/>
                <w:sz w:val="24"/>
              </w:rPr>
            </w:pPr>
            <w:r>
              <w:rPr>
                <w:b/>
                <w:bCs/>
                <w:kern w:val="0"/>
                <w:sz w:val="24"/>
              </w:rPr>
              <w:t>5.1 案例一：_FORTIFY_SOURCE 上限静默放宽</w:t>
            </w:r>
          </w:p>
          <w:p>
            <w:pPr>
              <w:pStyle w:val="Normal"/>
              <w:spacing w:lineRule="auto" w:line="360"/>
              <w:ind w:firstLineChars="200" w:startChars="0" w:start="0" w:endChars="0" w:end="0"/>
              <w:rPr>
                <w:kern w:val="0"/>
                <w:sz w:val="24"/>
              </w:rPr>
            </w:pPr>
            <w:r>
              <w:rPr>
                <w:kern w:val="0"/>
                <w:sz w:val="24"/>
              </w:rPr>
              <w:t xml:space="preserve">_FORTIFY_SOURCE 是 GCC 与 glibc 配合的源代码加固机制[20]。开启后，glibc 头文件在预处理阶段把 strcat 等危险接口重写为带 size 参数的 __strcat_chk，运行时据此检查目的缓冲区上限。GCC 的 strlen pass 进一步识别已知前缀长度的目的指针，将 __strcat_chk 改写为性能更优的 __stpcpy_chk，并把目的指针前移 strlen(dst) 字节。这里的安全不变量是：目的指针前移后，传给 __stpcpy_chk 的 size 参数必须由原始 objsize 减去 strlen(dst)，否则运行时上限就被静默放宽 strlen(dst) 字节。</w:t>
            </w:r>
          </w:p>
          <w:p>
            <w:pPr>
              <w:pStyle w:val="Normal"/>
              <w:spacing w:lineRule="auto" w:line="360"/>
              <w:ind w:firstLineChars="200" w:startChars="0" w:start="0" w:endChars="0" w:end="0"/>
              <w:rPr>
                <w:kern w:val="0"/>
                <w:sz w:val="24"/>
              </w:rPr>
            </w:pPr>
            <w:r>
              <w:rPr>
                <w:kern w:val="0"/>
                <w:sz w:val="24"/>
              </w:rPr>
              <w:t xml:space="preserve">本方法构造的种子在该路径上稳定触发了 size 参数未相应减小的实例。反汇编层面 strcat → __strcat_chk → __stpcpy_chk 链条仍然出现，看似 FORTIFY 仍在生效，但"按 dst 剩余空间收紧上限"这一步已被丢弃。上报后该缺陷已被确认（PR-125079[6]）并合入主分支。该路径与 2018 年修复的 PR-87672[21] 位于同一文件，表明当年修复时遗漏了对称分支。</w:t>
            </w:r>
          </w:p>
          <w:p>
            <w:pPr>
              <w:pStyle w:val="Normal"/>
              <w:spacing w:lineRule="auto" w:line="360"/>
              <w:ind w:firstLineChars="200" w:startChars="0" w:start="0" w:endChars="0" w:end="0"/>
              <w:rPr>
                <w:kern w:val="0"/>
                <w:sz w:val="24"/>
              </w:rPr>
            </w:pPr>
            <w:r>
              <w:rPr>
                <w:kern w:val="0"/>
                <w:sz w:val="24"/>
              </w:rPr>
              <w:t xml:space="preserve">该缺陷命中了"FORTIFY 调用点的 size 参数下界推断"不变量，判定证据为静态符号与反汇编。该位置如图 7 所示。</w:t>
            </w:r>
          </w:p>
          <w:p>
            <w:pPr>
              <w:pStyle w:val="Normal"/>
              <w:spacing w:lineRule="auto" w:line="360"/>
              <w:jc w:val="center"/>
            </w:pPr>
            <w:r>
              <w:rPr/>
              <w:drawing>
                <wp:inline xmlns:wp="http://schemas.openxmlformats.org/drawingml/2006/wordprocessingDrawing" distT="0" distB="0" distL="0" distR="0">
                  <wp:extent cx="4284090" cy="6361875"/>
                  <wp:effectExtent l="0" t="0" r="0" b="0"/>
                  <wp:docPr id="27" name="Figur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fortify-path.png"/>
                          <pic:cNvPicPr/>
                        </pic:nvPicPr>
                        <pic:blipFill>
                          <a:blip xmlns:r="http://schemas.openxmlformats.org/officeDocument/2006/relationships" r:embed="rId27"/>
                          <a:stretch>
                            <a:fillRect/>
                          </a:stretch>
                        </pic:blipFill>
                        <pic:spPr>
                          <a:xfrm>
                            <a:off x="0" y="0"/>
                            <a:ext cx="4284090" cy="6361875"/>
                          </a:xfrm>
                          <a:prstGeom prst="rect">
                            <a:avLst/>
                          </a:prstGeom>
                        </pic:spPr>
                      </pic:pic>
                    </a:graphicData>
                  </a:graphic>
                </wp:inline>
              </w:drawing>
            </w:r>
          </w:p>
          <w:p>
            <w:pPr>
              <w:pStyle w:val="Normal"/>
              <w:spacing w:lineRule="auto" w:line="360"/>
              <w:jc w:val="center"/>
              <w:rPr>
                <w:rFonts w:ascii="宋体" w:hAnsi="宋体" w:eastAsia="宋体"/>
                <w:b/>
                <w:bCs/>
                <w:sz w:val="22"/>
              </w:rPr>
            </w:pPr>
            <w:r>
              <w:rPr>
                <w:rFonts w:ascii="宋体" w:hAnsi="宋体" w:eastAsia="宋体"/>
                <w:b/>
                <w:bCs/>
                <w:sz w:val="22"/>
              </w:rPr>
              <w:t>图 7  _FORTIFY_SOURCE 优化路径与 size 静默放宽</w:t>
            </w:r>
          </w:p>
          <w:p>
            <w:pPr>
              <w:pStyle w:val="Normal"/>
              <w:spacing w:lineRule="auto" w:line="360"/>
              <w:rPr>
                <w:sz w:val="24"/>
              </w:rPr>
            </w:pPr>
          </w:p>
          <w:p>
            <w:pPr>
              <w:pStyle w:val="Normal"/>
              <w:spacing w:lineRule="auto" w:line="360"/>
              <w:rPr>
                <w:b/>
                <w:bCs/>
                <w:kern w:val="0"/>
                <w:sz w:val="24"/>
              </w:rPr>
            </w:pPr>
            <w:r>
              <w:rPr>
                <w:b/>
                <w:bCs/>
                <w:kern w:val="0"/>
                <w:sz w:val="24"/>
              </w:rPr>
              <w:t>5.2 案例二：IBT 字节模式漏检</w:t>
            </w:r>
          </w:p>
          <w:p>
            <w:pPr>
              <w:pStyle w:val="Normal"/>
              <w:spacing w:lineRule="auto" w:line="360"/>
              <w:ind w:firstLineChars="200" w:startChars="0" w:start="0" w:endChars="0" w:end="0"/>
              <w:rPr>
                <w:kern w:val="0"/>
                <w:sz w:val="24"/>
              </w:rPr>
            </w:pPr>
            <w:r>
              <w:rPr>
                <w:kern w:val="0"/>
                <w:sz w:val="24"/>
              </w:rPr>
              <w:t xml:space="preserve">IBT 是 Intel CET 中针对间接跳转的保护机制[22]：硬件要求间接跳转或调用的目标地址必须以 endbr 指令开头，否则触发异常。endbr 在二进制中是固定的四字节值（endbr64 = F3 0F 1E FA、endbr32 = F3 0F 1E FB），按设计只应作为合法间接跳转入口出现在代码段。如果这四个字节以其他形式出现，例如作为 movabsq 指令的 64 位立即数的一部分嵌入 .text，攻击者就可以把控制流劫持到该处，硬件会将其识别为合法 landing pad，IBT 语义被绕过。</w:t>
            </w:r>
          </w:p>
          <w:p>
            <w:pPr>
              <w:pStyle w:val="Normal"/>
              <w:spacing w:lineRule="auto" w:line="360"/>
              <w:ind w:firstLineChars="200" w:startChars="0" w:start="0" w:endChars="0" w:end="0"/>
              <w:rPr>
                <w:kern w:val="0"/>
                <w:sz w:val="24"/>
              </w:rPr>
            </w:pPr>
            <w:r>
              <w:rPr>
                <w:kern w:val="0"/>
                <w:sz w:val="24"/>
              </w:rPr>
              <w:t xml:space="preserve">GCC 在 x86 后端用 ix86_endbr_immediate_operand 谓词做字节级检测：当目标启用 IBT 时，谓词扫描立即数中是否存在 endbr 模式，含该模式的立即数会被拒绝（同源历史修复参见 PR-96350[23]）。测试发现该谓词存在逻辑漏洞：扫描循环对"高位非零"的 64 位立即数提前退出，只要 endbr 字节排布在立即数高位，扫描就无法到达该位置。这类立即数被错误接受，进而在 .text 中嵌入了伪 landing pad。该缺陷已上报上游（PR-125084[7]），等待维护者回复。</w:t>
            </w:r>
          </w:p>
          <w:p>
            <w:pPr>
              <w:pStyle w:val="Normal"/>
              <w:spacing w:lineRule="auto" w:line="360"/>
              <w:ind w:firstLineChars="200" w:startChars="0" w:start="0" w:endChars="0" w:end="0"/>
              <w:rPr>
                <w:kern w:val="0"/>
                <w:sz w:val="24"/>
              </w:rPr>
            </w:pPr>
            <w:r>
              <w:rPr>
                <w:kern w:val="0"/>
                <w:sz w:val="24"/>
              </w:rPr>
              <w:t xml:space="preserve">该例命中"endbr 字节模式不应出现在非跳转目标的指令中"不变量，证据为代码段内 endbr 模式扫描，属静态指令流检查。</w:t>
            </w:r>
          </w:p>
          <w:p>
            <w:pPr>
              <w:pStyle w:val="Normal"/>
              <w:spacing w:lineRule="auto" w:line="360"/>
              <w:rPr>
                <w:b/>
                <w:bCs/>
                <w:kern w:val="0"/>
                <w:sz w:val="24"/>
              </w:rPr>
            </w:pPr>
            <w:r>
              <w:rPr>
                <w:b/>
                <w:bCs/>
                <w:kern w:val="0"/>
                <w:sz w:val="24"/>
              </w:rPr>
              <w:t>5.3 案例三：多 ISA 下 canary 寄存器残留</w:t>
            </w:r>
          </w:p>
          <w:p>
            <w:pPr>
              <w:pStyle w:val="Normal"/>
              <w:spacing w:lineRule="auto" w:line="360"/>
              <w:ind w:firstLineChars="200" w:startChars="0" w:start="0" w:endChars="0" w:end="0"/>
              <w:rPr>
                <w:kern w:val="0"/>
                <w:sz w:val="24"/>
              </w:rPr>
            </w:pPr>
            <w:r>
              <w:rPr>
                <w:kern w:val="0"/>
                <w:sz w:val="24"/>
              </w:rPr>
              <w:t xml:space="preserve">本方法在 GCC 通用栈保护后端的 fallback 路径上找到一例同类失效：MIPS、LoongArch 等 ISA 的 fallback 后端未提供专用 epilogue 模板，函数返回时金丝雀寄存器未显式清零，进程级 __stack_chk_guard 值在寄存器中残留。该问题与 2020 年针对 AArch64 / ARM 的 PR-96191[5] 同源，当年修复未覆盖上述后端。本课题以 meta-bug PR-125045[8] 统一跟踪该家族，其中 LoongArch 子例（PR-125049[9]）已被维护者确认并合入修复，其余正依次上报。</w:t>
            </w:r>
          </w:p>
          <w:p>
            <w:pPr>
              <w:pStyle w:val="Normal"/>
              <w:spacing w:lineRule="auto" w:line="360"/>
              <w:rPr>
                <w:b/>
                <w:bCs/>
                <w:kern w:val="0"/>
                <w:sz w:val="24"/>
              </w:rPr>
            </w:pPr>
            <w:r>
              <w:rPr>
                <w:b/>
                <w:bCs/>
                <w:kern w:val="0"/>
                <w:sz w:val="24"/>
              </w:rPr>
              <w:t>5.4 小结</w:t>
            </w:r>
          </w:p>
          <w:p>
            <w:pPr>
              <w:pStyle w:val="Normal"/>
              <w:spacing w:lineRule="auto" w:line="360"/>
              <w:ind w:firstLineChars="200" w:startChars="0" w:start="0" w:endChars="0" w:end="0"/>
              <w:rPr>
                <w:kern w:val="0"/>
                <w:sz w:val="24"/>
              </w:rPr>
            </w:pPr>
            <w:r>
              <w:rPr>
                <w:kern w:val="0"/>
                <w:sz w:val="24"/>
              </w:rPr>
              <w:t xml:space="preserve">上述三例缺陷共同说明：即使二进制仍带有保护，其底层依赖的部分安全不变量也可能已经失效。本文方法在不修改编译器的前提下，通过变异与预言机的组合成功将此类隐蔽问题暴露。</w:t>
            </w:r>
          </w:p>
          <w:p>
            <w:pPr>
              <w:pStyle w:val="Normal"/>
              <w:spacing w:lineRule="auto" w:line="360"/>
              <w:rPr>
                <w:sz w:val="24"/>
              </w:rPr>
            </w:pPr>
          </w:p>
          <w:p>
            <w:pPr>
              <w:pStyle w:val="Normal"/>
              <w:widowControl/>
              <w:jc w:val="start"/>
              <w:rPr>
                <w:b/>
                <w:bCs/>
                <w:kern w:val="0"/>
                <w:sz w:val="24"/>
              </w:rPr>
            </w:pPr>
            <w:r>
              <w:rPr>
                <w:b/>
                <w:bCs/>
                <w:kern w:val="0"/>
                <w:sz w:val="24"/>
              </w:rPr>
              <w:t>参考文献</w:t>
            </w:r>
          </w:p>
          <w:p>
            <w:pPr>
              <w:pStyle w:val="Normal"/>
              <w:keepLines/>
              <w:spacing w:lineRule="auto" w:line="360"/>
              <w:jc w:val="start"/>
              <w:rPr>
                <w:kern w:val="0"/>
                <w:sz w:val="24"/>
              </w:rPr>
            </w:pPr>
            <w:r>
              <w:rPr>
                <w:kern w:val="0"/>
                <w:sz w:val="24"/>
              </w:rPr>
              <w:t xml:space="preserve">[1] CVE Program. CVE Metrics — published vulnerabilities trend[EB/OL]. (2026)[2026-05-12]. https://www.cve.org/about/Metrics.</w:t>
            </w:r>
          </w:p>
          <w:p>
            <w:pPr>
              <w:pStyle w:val="Normal"/>
              <w:keepLines/>
              <w:spacing w:lineRule="auto" w:line="360"/>
              <w:jc w:val="start"/>
              <w:rPr>
                <w:kern w:val="0"/>
                <w:sz w:val="24"/>
              </w:rPr>
            </w:pPr>
            <w:r>
              <w:rPr>
                <w:kern w:val="0"/>
                <w:sz w:val="24"/>
              </w:rPr>
              <w:t xml:space="preserve">[2] Microsoft Security Response Center. Microsoft Security Response Center Blog[EB/OL]. (2023)[2026-05-13]. https://www.microsoft.com/en-us/msrc/blog.</w:t>
            </w:r>
          </w:p>
          <w:p>
            <w:pPr>
              <w:pStyle w:val="Normal"/>
              <w:keepLines/>
              <w:spacing w:lineRule="auto" w:line="360"/>
              <w:jc w:val="start"/>
              <w:rPr>
                <w:kern w:val="0"/>
                <w:sz w:val="24"/>
              </w:rPr>
            </w:pPr>
            <w:r>
              <w:rPr>
                <w:kern w:val="0"/>
                <w:sz w:val="24"/>
              </w:rPr>
              <w:t xml:space="preserve">[3] Google Security Blog. Memory Safe Languages in Android 13[EB/OL]. (2022-12)[2026-05-13]. https://security.googleblog.com/2022/12/memory-safe-languages-in-android-13.html.</w:t>
            </w:r>
          </w:p>
          <w:p>
            <w:pPr>
              <w:pStyle w:val="Normal"/>
              <w:keepLines/>
              <w:spacing w:lineRule="auto" w:line="360"/>
              <w:jc w:val="start"/>
              <w:rPr>
                <w:kern w:val="0"/>
                <w:sz w:val="24"/>
              </w:rPr>
            </w:pPr>
            <w:r>
              <w:rPr>
                <w:kern w:val="0"/>
                <w:sz w:val="24"/>
              </w:rPr>
              <w:t xml:space="preserve">[4] Meta Security. CVE-2023-4039: GCC's -fstack-protector fails to guard dynamic stack allocations on AArch64[EB/OL]. (2023)[2026-02-15]. https://rtx.meta.security/mitigation/2023/09/12/CVE-2023-4039.html.</w:t>
            </w:r>
          </w:p>
          <w:p>
            <w:pPr>
              <w:pStyle w:val="Normal"/>
              <w:keepLines/>
              <w:spacing w:lineRule="auto" w:line="360"/>
              <w:jc w:val="start"/>
              <w:rPr>
                <w:kern w:val="0"/>
                <w:sz w:val="24"/>
              </w:rPr>
            </w:pPr>
            <w:r>
              <w:rPr>
                <w:kern w:val="0"/>
                <w:sz w:val="24"/>
              </w:rPr>
              <w:t xml:space="preserve">[5] GNU Project. GCC Bugzilla PR 96191 — aarch64 stack_protect_test canary leak[EB/OL]. (2020)[2026-05-11]. https://gcc.gnu.org/bugzilla/show_bug.cgi?id=96191.</w:t>
            </w:r>
          </w:p>
          <w:p>
            <w:pPr>
              <w:pStyle w:val="Normal"/>
              <w:keepLines/>
              <w:spacing w:lineRule="auto" w:line="360"/>
              <w:jc w:val="start"/>
              <w:rPr>
                <w:kern w:val="0"/>
                <w:sz w:val="24"/>
              </w:rPr>
            </w:pPr>
            <w:r>
              <w:rPr>
                <w:kern w:val="0"/>
                <w:sz w:val="24"/>
              </w:rPr>
              <w:t xml:space="preserve">[6] GNU Project. GCC Bugzilla PR 125079 — [13/14/15 Regression] tree-ssa-strlen get_string_length: __strcat_chk -&gt; __stpcpy_chk drops bound subtract[EB/OL]. (2026)[2026-05-11]. https://gcc.gnu.org/bugzilla/show_bug.cgi?id=125079.</w:t>
            </w:r>
          </w:p>
          <w:p>
            <w:pPr>
              <w:pStyle w:val="Normal"/>
              <w:keepLines/>
              <w:spacing w:lineRule="auto" w:line="360"/>
              <w:jc w:val="start"/>
              <w:rPr>
                <w:kern w:val="0"/>
                <w:sz w:val="24"/>
              </w:rPr>
            </w:pPr>
            <w:r>
              <w:rPr>
                <w:kern w:val="0"/>
                <w:sz w:val="24"/>
              </w:rPr>
              <w:t xml:space="preserve">[7] GNU Project. GCC Bugzilla PR 125084 — [target/i386] ix86_endbr_immediate_operand misses ENDBR pattern when upper bytes nonzero[EB/OL]. (2026)[2026-05-11]. https://gcc.gnu.org/bugzilla/show_bug.cgi?id=125084.</w:t>
            </w:r>
          </w:p>
          <w:p>
            <w:pPr>
              <w:pStyle w:val="Normal"/>
              <w:keepLines/>
              <w:spacing w:lineRule="auto" w:line="360"/>
              <w:jc w:val="start"/>
              <w:rPr>
                <w:kern w:val="0"/>
                <w:sz w:val="24"/>
              </w:rPr>
            </w:pPr>
            <w:r>
              <w:rPr>
                <w:kern w:val="0"/>
                <w:sz w:val="24"/>
              </w:rPr>
              <w:t xml:space="preserve">[8] GNU Project. GCC Bugzilla PR 125045 — [meta-bug] SSP fallback leaves canary in live GPR on many targets[EB/OL]. (2026)[2026-05-11]. https://gcc.gnu.org/bugzilla/show_bug.cgi?id=125045.</w:t>
            </w:r>
          </w:p>
          <w:p>
            <w:pPr>
              <w:pStyle w:val="Normal"/>
              <w:keepLines/>
              <w:spacing w:lineRule="auto" w:line="360"/>
              <w:jc w:val="start"/>
              <w:rPr>
                <w:kern w:val="0"/>
                <w:sz w:val="24"/>
              </w:rPr>
            </w:pPr>
            <w:r>
              <w:rPr>
                <w:kern w:val="0"/>
                <w:sz w:val="24"/>
              </w:rPr>
              <w:t xml:space="preserve">[9] GNU Project. GCC Bugzilla PR 125049 — [loongarch] SSP fallback leaves __stack_chk_guard live in $r12 at `jr $r1`[EB/OL]. (2026)[2026-05-11]. https://gcc.gnu.org/bugzilla/show_bug.cgi?id=125049.</w:t>
            </w:r>
          </w:p>
          <w:p>
            <w:pPr>
              <w:pStyle w:val="Normal"/>
              <w:keepLines/>
              <w:spacing w:lineRule="auto" w:line="360"/>
              <w:jc w:val="start"/>
              <w:rPr>
                <w:kern w:val="0"/>
                <w:sz w:val="24"/>
              </w:rPr>
            </w:pPr>
            <w:r>
              <w:rPr>
                <w:kern w:val="0"/>
                <w:sz w:val="24"/>
              </w:rPr>
              <w:t xml:space="preserve">[10] Yang X, Chen Y, Eide E, et al. Finding and understanding bugs in C compilers[C]//Proceedings of the 32nd ACM SIGPLAN Conference on Programming Language Design and Implementation (PLDI). 2011: 283-294.</w:t>
            </w:r>
          </w:p>
          <w:p>
            <w:pPr>
              <w:pStyle w:val="Normal"/>
              <w:keepLines/>
              <w:spacing w:lineRule="auto" w:line="360"/>
              <w:jc w:val="start"/>
              <w:rPr>
                <w:kern w:val="0"/>
                <w:sz w:val="24"/>
              </w:rPr>
            </w:pPr>
            <w:r>
              <w:rPr>
                <w:kern w:val="0"/>
                <w:sz w:val="24"/>
              </w:rPr>
              <w:t xml:space="preserve">[11] Livinskii V, Babokin D, Regehr J. Random testing for C and C++ compilers with YARPGen[C]//Proceedings of the ACM on Programming Languages (OOPSLA). 2020, 4: 1-25.</w:t>
            </w:r>
          </w:p>
          <w:p>
            <w:pPr>
              <w:pStyle w:val="Normal"/>
              <w:keepLines/>
              <w:spacing w:lineRule="auto" w:line="360"/>
              <w:jc w:val="start"/>
              <w:rPr>
                <w:kern w:val="0"/>
                <w:sz w:val="24"/>
              </w:rPr>
            </w:pPr>
            <w:r>
              <w:rPr>
                <w:kern w:val="0"/>
                <w:sz w:val="24"/>
              </w:rPr>
              <w:t xml:space="preserve">[12] Zalewski M. American Fuzzy Lop (AFL)[EB/OL]. (2014)[2026-02-15]. https://lcamtuf.coredump.cx/afl/.</w:t>
            </w:r>
          </w:p>
          <w:p>
            <w:pPr>
              <w:pStyle w:val="Normal"/>
              <w:keepLines/>
              <w:spacing w:lineRule="auto" w:line="360"/>
              <w:jc w:val="start"/>
              <w:rPr>
                <w:kern w:val="0"/>
                <w:sz w:val="24"/>
              </w:rPr>
            </w:pPr>
            <w:r>
              <w:rPr>
                <w:kern w:val="0"/>
                <w:sz w:val="24"/>
              </w:rPr>
              <w:t xml:space="preserve">[13] Serebryany K. Continuous fuzzing with libFuzzer and AddressSanitizer[C]//IEEE Cybersecurity Development (SecDev). 2016: 157.</w:t>
            </w:r>
          </w:p>
          <w:p>
            <w:pPr>
              <w:pStyle w:val="Normal"/>
              <w:keepLines/>
              <w:spacing w:lineRule="auto" w:line="360"/>
              <w:jc w:val="start"/>
              <w:rPr>
                <w:kern w:val="0"/>
                <w:sz w:val="24"/>
              </w:rPr>
            </w:pPr>
            <w:r>
              <w:rPr>
                <w:kern w:val="0"/>
                <w:sz w:val="24"/>
              </w:rPr>
              <w:t xml:space="preserve">[14] Even-Mendoza K, Sharma A, Donaldson A F, et al. GrayC: Greybox fuzzing of compilers and analysers for C[C]//Proceedings of the 32nd ACM SIGSOFT International Symposium on Software Testing and Analysis (ISSTA). 2023: 1219-1231.</w:t>
            </w:r>
          </w:p>
          <w:p>
            <w:pPr>
              <w:pStyle w:val="Normal"/>
              <w:keepLines/>
              <w:spacing w:lineRule="auto" w:line="360"/>
              <w:jc w:val="start"/>
              <w:rPr>
                <w:kern w:val="0"/>
                <w:sz w:val="24"/>
              </w:rPr>
            </w:pPr>
            <w:r>
              <w:rPr>
                <w:kern w:val="0"/>
                <w:sz w:val="24"/>
              </w:rPr>
              <w:t xml:space="preserve">[15] Le V, Afshari M, Su Z. Compiler validation via equivalence modulo inputs[C]//Proceedings of the 35th ACM SIGPLAN Conference on Programming Language Design and Implementation (PLDI). 2014: 216-226.</w:t>
            </w:r>
          </w:p>
          <w:p>
            <w:pPr>
              <w:pStyle w:val="Normal"/>
              <w:keepLines/>
              <w:spacing w:lineRule="auto" w:line="360"/>
              <w:jc w:val="start"/>
              <w:rPr>
                <w:kern w:val="0"/>
                <w:sz w:val="24"/>
              </w:rPr>
            </w:pPr>
            <w:r>
              <w:rPr>
                <w:kern w:val="0"/>
                <w:sz w:val="24"/>
              </w:rPr>
              <w:t xml:space="preserve">[16] Yang C, Deng Y, Lu R, et al. WhiteFox: White-box compiler fuzzing empowered by large language models[C]//Proceedings of the ACM on Programming Languages (OOPSLA). 2024.</w:t>
            </w:r>
          </w:p>
          <w:p>
            <w:pPr>
              <w:pStyle w:val="Normal"/>
              <w:keepLines/>
              <w:spacing w:lineRule="auto" w:line="360"/>
              <w:jc w:val="start"/>
              <w:rPr>
                <w:kern w:val="0"/>
                <w:sz w:val="24"/>
              </w:rPr>
            </w:pPr>
            <w:r>
              <w:rPr>
                <w:kern w:val="0"/>
                <w:sz w:val="24"/>
              </w:rPr>
              <w:t xml:space="preserve">[17] Yang Y, Zhang H, Ren Z, et al. Hybrid language processor fuzzing via LLM-based constraint solving[C]//Proceedings of the 34th USENIX Security Symposium (USENIX Security). 2025.</w:t>
            </w:r>
          </w:p>
          <w:p>
            <w:pPr>
              <w:pStyle w:val="Normal"/>
              <w:keepLines/>
              <w:spacing w:lineRule="auto" w:line="360"/>
              <w:jc w:val="start"/>
              <w:rPr>
                <w:kern w:val="0"/>
                <w:sz w:val="24"/>
              </w:rPr>
            </w:pPr>
            <w:r>
              <w:rPr>
                <w:kern w:val="0"/>
                <w:sz w:val="24"/>
              </w:rPr>
              <w:t xml:space="preserve">[18] Li S, Su Z. UBfuzz: Finding bugs in sanitizer implementations[C]//Proceedings of the 29th ACM International Conference on Architectural Support for Programming Languages and Operating Systems (ASPLOS). 2024.</w:t>
            </w:r>
          </w:p>
          <w:p>
            <w:pPr>
              <w:pStyle w:val="Normal"/>
              <w:keepLines/>
              <w:spacing w:lineRule="auto" w:line="360"/>
              <w:jc w:val="start"/>
              <w:rPr>
                <w:kern w:val="0"/>
                <w:sz w:val="24"/>
              </w:rPr>
            </w:pPr>
            <w:r>
              <w:rPr>
                <w:kern w:val="0"/>
                <w:sz w:val="24"/>
              </w:rPr>
              <w:t xml:space="preserve">[19] Ma H, Shen Q, Tian Y, et al. Fuzzing deep learning compilers with HirGen[C]//Proceedings of the 32nd ACM SIGSOFT International Symposium on Software Testing and Analysis (ISSTA). 2023.</w:t>
            </w:r>
          </w:p>
          <w:p>
            <w:pPr>
              <w:pStyle w:val="Normal"/>
              <w:keepLines/>
              <w:spacing w:lineRule="auto" w:line="360"/>
              <w:jc w:val="start"/>
              <w:rPr>
                <w:kern w:val="0"/>
                <w:sz w:val="24"/>
              </w:rPr>
            </w:pPr>
            <w:r>
              <w:rPr>
                <w:kern w:val="0"/>
                <w:sz w:val="24"/>
              </w:rPr>
              <w:t xml:space="preserve">[20] Free Software Foundation. The GNU C Library Reference Manual: Source Fortification[EB/OL]. (2024)[2026-02-15]. https://sourceware.org/glibc/manual/latest/html_node/Source-Fortification.html.</w:t>
            </w:r>
          </w:p>
          <w:p>
            <w:pPr>
              <w:pStyle w:val="Normal"/>
              <w:keepLines/>
              <w:spacing w:lineRule="auto" w:line="360"/>
              <w:jc w:val="start"/>
              <w:rPr>
                <w:kern w:val="0"/>
                <w:sz w:val="24"/>
              </w:rPr>
            </w:pPr>
            <w:r>
              <w:rPr>
                <w:kern w:val="0"/>
                <w:sz w:val="24"/>
              </w:rPr>
              <w:t xml:space="preserve">[21] GNU Project. GCC Bugzilla PR 87672 — [9 regression] 81512c36 causes ICE in bootstrap stage 3 using "-D_FORTIFY_SOURCE=2"[EB/OL]. (2018)[2026-05-11]. https://gcc.gnu.org/bugzilla/show_bug.cgi?id=87672.</w:t>
            </w:r>
          </w:p>
          <w:p>
            <w:pPr>
              <w:pStyle w:val="Normal"/>
              <w:keepLines/>
              <w:spacing w:lineRule="auto" w:line="360"/>
              <w:jc w:val="start"/>
              <w:rPr>
                <w:kern w:val="0"/>
                <w:sz w:val="24"/>
              </w:rPr>
            </w:pPr>
            <w:r>
              <w:rPr>
                <w:kern w:val="0"/>
                <w:sz w:val="24"/>
              </w:rPr>
              <w:t xml:space="preserve">[22] Intel Corporation. Control-flow Enforcement Technology Specification[R/OL]. (2019)[2026-02-15]. https://www.intel.com/content/www/us/en/developer/articles/technical/technical-look-control-flow-enforcement-technology.html.</w:t>
            </w:r>
          </w:p>
          <w:p>
            <w:pPr>
              <w:pStyle w:val="Normal"/>
              <w:keepLines/>
              <w:spacing w:lineRule="auto" w:line="360"/>
              <w:jc w:val="start"/>
              <w:rPr>
                <w:kern w:val="0"/>
                <w:sz w:val="24"/>
              </w:rPr>
            </w:pPr>
            <w:r>
              <w:rPr>
                <w:kern w:val="0"/>
                <w:sz w:val="24"/>
              </w:rPr>
              <w:t xml:space="preserve">[23] GNU Project. GCC Bugzilla PR 96350 — [cet] For ENDBR immediate, the binary would include a gadget that starts with a fake ENDBR64 opcode[EB/OL]. (2020)[2026-05-11]. https://gcc.gnu.org/bugzilla/show_bug.cgi?id=96350.</w:t>
            </w:r>
          </w:p>
        </w:tc>
      </w:tr>
    </w:tbl>
    <w:p w14:paraId="0FEA05F5">
      <w:pPr>
        <w:spacing w:line="400" w:lineRule="exact"/>
        <w:jc w:val="center"/>
        <w:rPr>
          <w:rFonts w:hint="eastAsia" w:ascii="宋体" w:hAnsi="宋体"/>
          <w:sz w:val="24"/>
        </w:rPr>
      </w:pPr>
    </w:p>
    <w:p w14:paraId="4BAD5132">
      <w:pPr>
        <w:spacing w:before="0" w:after="120" w:line="400" w:lineRule="exact"/>
        <w:rPr>
          <w:rFonts w:hint="eastAsia" w:ascii="黑体" w:hAnsi="黑体" w:eastAsia="黑体"/>
          <w:sz w:val="32"/>
        </w:rPr>
      </w:pPr>
    </w:p>
    <w:p w14:paraId="780AEF3C">
      <w:pPr>
        <w:spacing w:before="0" w:after="120" w:line="400" w:lineRule="exact"/>
        <w:rPr>
          <w:rFonts w:hint="eastAsia" w:ascii="黑体" w:hAnsi="黑体" w:eastAsia="黑体"/>
          <w:sz w:val="32"/>
        </w:rPr>
      </w:pPr>
      <w:r>
        <w:rPr>
          <w:rFonts w:hint="eastAsia" w:ascii="黑体" w:hAnsi="黑体" w:eastAsia="黑体"/>
          <w:sz w:val="32"/>
        </w:rPr>
        <w:t>二、学位论文工作实施计划</w:t>
      </w:r>
    </w:p>
    <w:p w14:paraId="1B58974E">
      <w:pPr>
        <w:spacing w:line="440" w:lineRule="exact"/>
        <w:rPr>
          <w:rFonts w:hint="eastAsia" w:ascii="宋体" w:hAnsi="宋体"/>
          <w:sz w:val="24"/>
        </w:rPr>
      </w:pPr>
      <w:r>
        <w:rPr>
          <w:rFonts w:hint="eastAsia" w:ascii="宋体" w:hAnsi="宋体"/>
          <w:sz w:val="24"/>
        </w:rPr>
        <w:t>（一）论文的理论分析与硬件要求及其预期达到的水平与结果</w:t>
      </w:r>
    </w:p>
    <w:tbl>
      <w:tblPr>
        <w:tblStyle w:val="9"/>
        <w:tblW w:w="5000" w:type="pct"/>
        <w:jc w:val="center"/>
        <w:tblLayout w:type="fixed"/>
        <w:tblCellMar>
          <w:top w:w="0" w:type="dxa"/>
          <w:left w:w="108" w:type="dxa"/>
          <w:bottom w:w="0" w:type="dxa"/>
          <w:right w:w="108" w:type="dxa"/>
        </w:tblCellMar>
      </w:tblPr>
      <w:tblGrid>
        <w:gridCol w:w="9854"/>
      </w:tblGrid>
      <w:tr w14:paraId="0FD23F4E">
        <w:tblPrEx>
          <w:tblCellMar>
            <w:top w:w="0" w:type="dxa"/>
            <w:left w:w="108" w:type="dxa"/>
            <w:bottom w:w="0" w:type="dxa"/>
            <w:right w:w="108" w:type="dxa"/>
          </w:tblCellMar>
        </w:tblPrEx>
        <w:trPr>
          <w:trHeight w:val="3385" w:hRule="atLeast"/>
          <w:jc w:val="center"/>
        </w:trPr>
        <w:tc>
          <w:tcPr>
            <w:tcW w:w="9638" w:type="dxa"/>
            <w:tcBorders>
              <w:top w:val="single" w:color="000000" w:sz="4" w:space="0"/>
              <w:left w:val="single" w:color="000000" w:sz="4" w:space="0"/>
              <w:bottom w:val="single" w:color="000000" w:sz="4" w:space="0"/>
              <w:right w:val="single" w:color="000000" w:sz="4" w:space="0"/>
            </w:tcBorders>
          </w:tcPr>
          <w:p>
            <w:pPr>
              <w:pStyle w:val="Normal"/>
              <w:spacing w:lineRule="auto" w:line="360"/>
              <w:ind w:firstLineChars="200" w:startChars="0" w:start="0" w:endChars="0" w:end="0"/>
              <w:rPr>
                <w:kern w:val="0"/>
                <w:sz w:val="24"/>
              </w:rPr>
            </w:pPr>
            <w:r>
              <w:rPr>
                <w:kern w:val="0"/>
                <w:sz w:val="24"/>
              </w:rPr>
              <w:t xml:space="preserve">理论分析对应技术路线的四个部分：编译器主流防御机制安全不变量的形式化与证据提炼、不变量预言机检查器的工程化方法、覆盖率与控制流图引导的目标基本块挑选策略，以及大语言模型生成与预言机判定的耦合方式。预期产出包括：覆盖至少三种主流防御机制的安全不变量集合、可扩展的不变量预言机框架，以及跨架构的 fuzzer 原型；并在 GCC 与 LLVM 上发现真实静默失效以验证方法的有效性与跨编译器迁移性。</w:t>
            </w:r>
          </w:p>
          <w:p>
            <w:pPr>
              <w:pStyle w:val="Normal"/>
              <w:spacing w:lineRule="auto" w:line="360"/>
              <w:ind w:firstLineChars="200" w:startChars="0" w:start="0" w:endChars="0" w:end="0"/>
              <w:rPr>
                <w:kern w:val="0"/>
                <w:sz w:val="24"/>
              </w:rPr>
            </w:pPr>
            <w:r>
              <w:rPr>
                <w:kern w:val="0"/>
                <w:sz w:val="24"/>
              </w:rPr>
              <w:t xml:space="preserve">硬件方面，开发与实验依托一台 64 位 Linux 工作站（不少于 32 GB 内存与百 GB 级 SSD），用于 GCC / LLVM 多版本本地构建、覆盖率数据缓存与跨架构 QEMU 用户态执行；大语言模型推理通过远程 API 完成，本机无需独立 GPU。</w:t>
            </w:r>
          </w:p>
        </w:tc>
      </w:tr>
    </w:tbl>
    <w:p w14:paraId="738BD619">
      <w:pPr>
        <w:spacing w:line="440" w:lineRule="exact"/>
        <w:rPr>
          <w:rFonts w:hint="eastAsia" w:ascii="宋体" w:hAnsi="宋体"/>
          <w:sz w:val="24"/>
        </w:rPr>
      </w:pPr>
      <w:r>
        <w:rPr>
          <w:rFonts w:hint="eastAsia" w:ascii="宋体" w:hAnsi="宋体"/>
          <w:sz w:val="24"/>
        </w:rPr>
        <w:t>（二）论文工作进度与安排</w:t>
      </w:r>
    </w:p>
    <w:tbl>
      <w:tblPr>
        <w:tblStyle w:val="9"/>
        <w:tblW w:w="4950" w:type="pct"/>
        <w:jc w:val="center"/>
        <w:tblLayout w:type="fixed"/>
        <w:tblCellMar>
          <w:top w:w="0" w:type="dxa"/>
          <w:left w:w="108" w:type="dxa"/>
          <w:bottom w:w="0" w:type="dxa"/>
          <w:right w:w="108" w:type="dxa"/>
        </w:tblCellMar>
      </w:tblPr>
      <w:tblGrid>
        <w:gridCol w:w="2124"/>
        <w:gridCol w:w="5283"/>
        <w:gridCol w:w="2349"/>
      </w:tblGrid>
      <w:tr w14:paraId="41E95257">
        <w:tblPrEx>
          <w:tblCellMar>
            <w:top w:w="0" w:type="dxa"/>
            <w:left w:w="108" w:type="dxa"/>
            <w:bottom w:w="0" w:type="dxa"/>
            <w:right w:w="108" w:type="dxa"/>
          </w:tblCellMar>
        </w:tblPrEx>
        <w:trPr>
          <w:trHeight w:val="480" w:hRule="atLeast"/>
          <w:jc w:val="center"/>
        </w:trPr>
        <w:tc>
          <w:tcPr>
            <w:tcW w:w="2077" w:type="dxa"/>
            <w:tcBorders>
              <w:top w:val="single" w:color="000000" w:sz="4" w:space="0"/>
              <w:left w:val="single" w:color="000000" w:sz="4" w:space="0"/>
              <w:bottom w:val="single" w:color="000000" w:sz="4" w:space="0"/>
              <w:right w:val="single" w:color="000000" w:sz="4" w:space="0"/>
            </w:tcBorders>
            <w:vAlign w:val="center"/>
          </w:tcPr>
          <w:p w14:paraId="07611C79">
            <w:pPr>
              <w:spacing w:line="240" w:lineRule="exact"/>
              <w:jc w:val="center"/>
              <w:rPr>
                <w:rFonts w:hint="eastAsia" w:ascii="宋体" w:hAnsi="宋体"/>
                <w:sz w:val="24"/>
              </w:rPr>
            </w:pPr>
            <w:r>
              <w:rPr>
                <w:rFonts w:hint="eastAsia" w:ascii="宋体" w:hAnsi="宋体"/>
                <w:sz w:val="24"/>
              </w:rPr>
              <w:t>起讫日期</w:t>
            </w:r>
          </w:p>
        </w:tc>
        <w:tc>
          <w:tcPr>
            <w:tcW w:w="5167" w:type="dxa"/>
            <w:tcBorders>
              <w:top w:val="single" w:color="000000" w:sz="4" w:space="0"/>
              <w:left w:val="single" w:color="000000" w:sz="4" w:space="0"/>
              <w:bottom w:val="single" w:color="000000" w:sz="4" w:space="0"/>
              <w:right w:val="single" w:color="000000" w:sz="4" w:space="0"/>
            </w:tcBorders>
            <w:vAlign w:val="center"/>
          </w:tcPr>
          <w:p w14:paraId="0E4D37E3">
            <w:pPr>
              <w:spacing w:line="240" w:lineRule="exact"/>
              <w:jc w:val="center"/>
              <w:rPr>
                <w:rFonts w:hint="eastAsia" w:ascii="宋体" w:hAnsi="宋体"/>
                <w:sz w:val="24"/>
              </w:rPr>
            </w:pPr>
            <w:r>
              <w:rPr>
                <w:rFonts w:hint="eastAsia" w:ascii="宋体" w:hAnsi="宋体"/>
                <w:sz w:val="24"/>
              </w:rPr>
              <w:t>工  作  内  容  和  要  求</w:t>
            </w:r>
          </w:p>
        </w:tc>
        <w:tc>
          <w:tcPr>
            <w:tcW w:w="2297" w:type="dxa"/>
            <w:tcBorders>
              <w:top w:val="single" w:color="000000" w:sz="4" w:space="0"/>
              <w:left w:val="single" w:color="000000" w:sz="4" w:space="0"/>
              <w:bottom w:val="single" w:color="000000" w:sz="4" w:space="0"/>
              <w:right w:val="single" w:color="000000" w:sz="4" w:space="0"/>
            </w:tcBorders>
            <w:vAlign w:val="center"/>
          </w:tcPr>
          <w:p w14:paraId="09837F06">
            <w:pPr>
              <w:spacing w:line="240" w:lineRule="exact"/>
              <w:jc w:val="center"/>
              <w:rPr>
                <w:rFonts w:hint="eastAsia" w:ascii="宋体" w:hAnsi="宋体"/>
                <w:sz w:val="24"/>
              </w:rPr>
            </w:pPr>
            <w:r>
              <w:rPr>
                <w:rFonts w:hint="eastAsia" w:ascii="宋体" w:hAnsi="宋体"/>
                <w:sz w:val="24"/>
              </w:rPr>
              <w:t>备  注</w:t>
            </w:r>
          </w:p>
        </w:tc>
      </w:tr>
      <w:tr>
        <w:trPr>
          <w:trHeight w:val="480" w:hRule="atLeast"/>
        </w:trPr>
        <w:tc>
          <w:tcPr>
            <w:tcW w:w="207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 w:hAnsi="宋体" w:eastAsia="宋体"/>
                <w:sz w:val="24"/>
              </w:rPr>
            </w:pPr>
            <w:r>
              <w:rPr>
                <w:rFonts w:ascii="宋体" w:hAnsi="宋体" w:eastAsia="宋体"/>
                <w:sz w:val="24"/>
              </w:rPr>
              <w:t xml:space="preserve">2026.05-2026.07</w:t>
            </w:r>
          </w:p>
        </w:tc>
        <w:tc>
          <w:tcPr>
            <w:tcW w:w="516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 w:hAnsi="宋体" w:eastAsia="宋体"/>
                <w:sz w:val="24"/>
              </w:rPr>
            </w:pPr>
            <w:r>
              <w:rPr>
                <w:rFonts w:ascii="宋体" w:hAnsi="宋体" w:eastAsia="宋体"/>
                <w:sz w:val="24"/>
              </w:rPr>
              <w:t xml:space="preserve">扩展不变量集合到 BTI / PAC、Shadow Stack、CFI 等机制，丰富预言机框架的静态与动态检查器</w:t>
            </w:r>
          </w:p>
        </w:tc>
        <w:tc>
          <w:tcPr>
            <w:tcW w:w="229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 w:hAnsi="宋体" w:eastAsia="宋体"/>
                <w:sz w:val="24"/>
              </w:rPr>
            </w:pPr>
            <w:r>
              <w:rPr>
                <w:rFonts w:ascii="宋体" w:hAnsi="宋体" w:eastAsia="宋体"/>
                <w:sz w:val="24"/>
              </w:rPr>
              <w:t xml:space="preserve"/>
            </w:r>
          </w:p>
        </w:tc>
      </w:tr>
      <w:tr>
        <w:trPr>
          <w:trHeight w:val="480" w:hRule="atLeast"/>
        </w:trPr>
        <w:tc>
          <w:tcPr>
            <w:tcW w:w="207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 w:hAnsi="宋体" w:eastAsia="宋体"/>
                <w:sz w:val="24"/>
              </w:rPr>
            </w:pPr>
            <w:r>
              <w:rPr>
                <w:rFonts w:ascii="宋体" w:hAnsi="宋体" w:eastAsia="宋体"/>
                <w:sz w:val="24"/>
              </w:rPr>
              <w:t xml:space="preserve">2026.07-2026.09</w:t>
            </w:r>
          </w:p>
        </w:tc>
        <w:tc>
          <w:tcPr>
            <w:tcW w:w="516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 w:hAnsi="宋体" w:eastAsia="宋体"/>
                <w:sz w:val="24"/>
              </w:rPr>
            </w:pPr>
            <w:r>
              <w:rPr>
                <w:rFonts w:ascii="宋体" w:hAnsi="宋体" w:eastAsia="宋体"/>
                <w:sz w:val="24"/>
              </w:rPr>
              <w:t xml:space="preserve">把编译器子系统、覆盖率适配层、flag profile 扩展到 LLVM 工具链，对齐跨架构 / 跨编译器实验框架</w:t>
            </w:r>
          </w:p>
        </w:tc>
        <w:tc>
          <w:tcPr>
            <w:tcW w:w="229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 w:hAnsi="宋体" w:eastAsia="宋体"/>
                <w:sz w:val="24"/>
              </w:rPr>
            </w:pPr>
            <w:r>
              <w:rPr>
                <w:rFonts w:ascii="宋体" w:hAnsi="宋体" w:eastAsia="宋体"/>
                <w:sz w:val="24"/>
              </w:rPr>
              <w:t xml:space="preserve"/>
            </w:r>
          </w:p>
        </w:tc>
      </w:tr>
      <w:tr>
        <w:trPr>
          <w:trHeight w:val="480" w:hRule="atLeast"/>
        </w:trPr>
        <w:tc>
          <w:tcPr>
            <w:tcW w:w="207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 w:hAnsi="宋体" w:eastAsia="宋体"/>
                <w:sz w:val="24"/>
              </w:rPr>
            </w:pPr>
            <w:r>
              <w:rPr>
                <w:rFonts w:ascii="宋体" w:hAnsi="宋体" w:eastAsia="宋体"/>
                <w:sz w:val="24"/>
              </w:rPr>
              <w:t xml:space="preserve">2026.09-2026.12</w:t>
            </w:r>
          </w:p>
        </w:tc>
        <w:tc>
          <w:tcPr>
            <w:tcW w:w="516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 w:hAnsi="宋体" w:eastAsia="宋体"/>
                <w:sz w:val="24"/>
              </w:rPr>
            </w:pPr>
            <w:r>
              <w:rPr>
                <w:rFonts w:ascii="宋体" w:hAnsi="宋体" w:eastAsia="宋体"/>
                <w:sz w:val="24"/>
              </w:rPr>
              <w:t xml:space="preserve">在 GCC 与 LLVM 多版本、多 ISA 上完成全机制端到端实验，持续推进上游缺陷上报闭环</w:t>
            </w:r>
          </w:p>
        </w:tc>
        <w:tc>
          <w:tcPr>
            <w:tcW w:w="229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 w:hAnsi="宋体" w:eastAsia="宋体"/>
                <w:sz w:val="24"/>
              </w:rPr>
            </w:pPr>
            <w:r>
              <w:rPr>
                <w:rFonts w:ascii="宋体" w:hAnsi="宋体" w:eastAsia="宋体"/>
                <w:sz w:val="24"/>
              </w:rPr>
              <w:t xml:space="preserve"/>
            </w:r>
          </w:p>
        </w:tc>
      </w:tr>
      <w:tr>
        <w:trPr>
          <w:trHeight w:val="480" w:hRule="atLeast"/>
        </w:trPr>
        <w:tc>
          <w:tcPr>
            <w:tcW w:w="207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 w:hAnsi="宋体" w:eastAsia="宋体"/>
                <w:sz w:val="24"/>
              </w:rPr>
            </w:pPr>
            <w:r>
              <w:rPr>
                <w:rFonts w:ascii="宋体" w:hAnsi="宋体" w:eastAsia="宋体"/>
                <w:sz w:val="24"/>
              </w:rPr>
              <w:t xml:space="preserve">2026.12-2027.02</w:t>
            </w:r>
          </w:p>
        </w:tc>
        <w:tc>
          <w:tcPr>
            <w:tcW w:w="516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 w:hAnsi="宋体" w:eastAsia="宋体"/>
                <w:sz w:val="24"/>
              </w:rPr>
            </w:pPr>
            <w:r>
              <w:rPr>
                <w:rFonts w:ascii="宋体" w:hAnsi="宋体" w:eastAsia="宋体"/>
                <w:sz w:val="24"/>
              </w:rPr>
              <w:t xml:space="preserve">与 Csmith、YARPGen、GrayC、HLPFuzz 等基线方法做对照评测，量化覆盖率推进与缺陷发现上的相对优势</w:t>
            </w:r>
          </w:p>
        </w:tc>
        <w:tc>
          <w:tcPr>
            <w:tcW w:w="229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 w:hAnsi="宋体" w:eastAsia="宋体"/>
                <w:sz w:val="24"/>
              </w:rPr>
            </w:pPr>
            <w:r>
              <w:rPr>
                <w:rFonts w:ascii="宋体" w:hAnsi="宋体" w:eastAsia="宋体"/>
                <w:sz w:val="24"/>
              </w:rPr>
              <w:t xml:space="preserve"/>
            </w:r>
          </w:p>
        </w:tc>
      </w:tr>
      <w:tr>
        <w:trPr>
          <w:trHeight w:val="480" w:hRule="atLeast"/>
        </w:trPr>
        <w:tc>
          <w:tcPr>
            <w:tcW w:w="207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 w:hAnsi="宋体" w:eastAsia="宋体"/>
                <w:sz w:val="24"/>
              </w:rPr>
            </w:pPr>
            <w:r>
              <w:rPr>
                <w:rFonts w:ascii="宋体" w:hAnsi="宋体" w:eastAsia="宋体"/>
                <w:sz w:val="24"/>
              </w:rPr>
              <w:t xml:space="preserve">2027.02-2027.04</w:t>
            </w:r>
          </w:p>
        </w:tc>
        <w:tc>
          <w:tcPr>
            <w:tcW w:w="516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 w:hAnsi="宋体" w:eastAsia="宋体"/>
                <w:sz w:val="24"/>
              </w:rPr>
            </w:pPr>
            <w:r>
              <w:rPr>
                <w:rFonts w:ascii="宋体" w:hAnsi="宋体" w:eastAsia="宋体"/>
                <w:sz w:val="24"/>
              </w:rPr>
              <w:t xml:space="preserve">整理实验数据与图表，完成学位论文初稿，准备会议 / 期刊投稿</w:t>
            </w:r>
          </w:p>
        </w:tc>
        <w:tc>
          <w:tcPr>
            <w:tcW w:w="229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 w:hAnsi="宋体" w:eastAsia="宋体"/>
                <w:sz w:val="24"/>
              </w:rPr>
            </w:pPr>
            <w:r>
              <w:rPr>
                <w:rFonts w:ascii="宋体" w:hAnsi="宋体" w:eastAsia="宋体"/>
                <w:sz w:val="24"/>
              </w:rPr>
              <w:t xml:space="preserve"/>
            </w:r>
          </w:p>
        </w:tc>
      </w:tr>
      <w:tr>
        <w:trPr>
          <w:trHeight w:val="480" w:hRule="atLeast"/>
        </w:trPr>
        <w:tc>
          <w:tcPr>
            <w:tcW w:w="207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 w:hAnsi="宋体" w:eastAsia="宋体"/>
                <w:sz w:val="24"/>
              </w:rPr>
            </w:pPr>
            <w:r>
              <w:rPr>
                <w:rFonts w:ascii="宋体" w:hAnsi="宋体" w:eastAsia="宋体"/>
                <w:sz w:val="24"/>
              </w:rPr>
              <w:t xml:space="preserve">2027.04-2027.06</w:t>
            </w:r>
          </w:p>
        </w:tc>
        <w:tc>
          <w:tcPr>
            <w:tcW w:w="516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 w:hAnsi="宋体" w:eastAsia="宋体"/>
                <w:sz w:val="24"/>
              </w:rPr>
            </w:pPr>
            <w:r>
              <w:rPr>
                <w:rFonts w:ascii="宋体" w:hAnsi="宋体" w:eastAsia="宋体"/>
                <w:sz w:val="24"/>
              </w:rPr>
              <w:t xml:space="preserve">学位论文修订、外审反馈处理、答辩材料准备</w:t>
            </w:r>
          </w:p>
        </w:tc>
        <w:tc>
          <w:tcPr>
            <w:tcW w:w="229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 w:hAnsi="宋体" w:eastAsia="宋体"/>
                <w:sz w:val="24"/>
              </w:rPr>
            </w:pPr>
            <w:r>
              <w:rPr>
                <w:rFonts w:ascii="宋体" w:hAnsi="宋体" w:eastAsia="宋体"/>
                <w:sz w:val="24"/>
              </w:rPr>
              <w:t xml:space="preserve"/>
            </w:r>
          </w:p>
        </w:tc>
      </w:tr>
      <w:tr>
        <w:trPr>
          <w:trHeight w:val="480" w:hRule="atLeast"/>
        </w:trPr>
        <w:tc>
          <w:tcPr>
            <w:tcW w:w="207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 w:hAnsi="宋体" w:eastAsia="宋体"/>
                <w:sz w:val="24"/>
              </w:rPr>
            </w:pPr>
            <w:r>
              <w:rPr>
                <w:rFonts w:ascii="宋体" w:hAnsi="宋体" w:eastAsia="宋体"/>
                <w:sz w:val="24"/>
              </w:rPr>
              <w:t xml:space="preserve">2027.06</w:t>
            </w:r>
          </w:p>
        </w:tc>
        <w:tc>
          <w:tcPr>
            <w:tcW w:w="516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 w:hAnsi="宋体" w:eastAsia="宋体"/>
                <w:sz w:val="24"/>
              </w:rPr>
            </w:pPr>
            <w:r>
              <w:rPr>
                <w:rFonts w:ascii="宋体" w:hAnsi="宋体" w:eastAsia="宋体"/>
                <w:sz w:val="24"/>
              </w:rPr>
              <w:t xml:space="preserve">学位论文答辩</w:t>
            </w:r>
          </w:p>
        </w:tc>
        <w:tc>
          <w:tcPr>
            <w:tcW w:w="229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 w:hAnsi="宋体" w:eastAsia="宋体"/>
                <w:sz w:val="24"/>
              </w:rPr>
            </w:pPr>
            <w:r>
              <w:rPr>
                <w:rFonts w:ascii="宋体" w:hAnsi="宋体" w:eastAsia="宋体"/>
                <w:sz w:val="24"/>
              </w:rPr>
              <w:t xml:space="preserve"/>
            </w:r>
          </w:p>
        </w:tc>
      </w:tr>
      <w:tr w14:paraId="783C008F">
        <w:tblPrEx>
          <w:tblCellMar>
            <w:top w:w="0" w:type="dxa"/>
            <w:left w:w="108" w:type="dxa"/>
            <w:bottom w:w="0" w:type="dxa"/>
            <w:right w:w="108" w:type="dxa"/>
          </w:tblCellMar>
        </w:tblPrEx>
        <w:trPr>
          <w:trHeight w:val="286" w:hRule="atLeast"/>
          <w:jc w:val="center"/>
        </w:trPr>
        <w:tc>
          <w:tcPr>
            <w:tcW w:w="2077" w:type="dxa"/>
            <w:tcBorders>
              <w:top w:val="single" w:color="000000" w:sz="4" w:space="0"/>
              <w:left w:val="single" w:color="000000" w:sz="4" w:space="0"/>
              <w:bottom w:val="single" w:color="000000" w:sz="4" w:space="0"/>
              <w:right w:val="single" w:color="000000" w:sz="4" w:space="0"/>
            </w:tcBorders>
          </w:tcPr>
          <w:p w14:paraId="3F57A094">
            <w:pPr>
              <w:snapToGrid w:val="0"/>
              <w:spacing w:line="240" w:lineRule="exact"/>
              <w:jc w:val="center"/>
              <w:rPr>
                <w:rFonts w:hint="eastAsia" w:ascii="宋体" w:hAnsi="宋体"/>
                <w:sz w:val="24"/>
              </w:rPr>
            </w:pPr>
          </w:p>
          <w:p w14:paraId="5A924583">
            <w:pPr>
              <w:spacing w:line="240" w:lineRule="exact"/>
              <w:jc w:val="center"/>
              <w:rPr>
                <w:rFonts w:hint="eastAsia" w:ascii="宋体" w:hAnsi="宋体"/>
                <w:sz w:val="24"/>
              </w:rPr>
            </w:pPr>
          </w:p>
          <w:p w14:paraId="588B881A">
            <w:pPr>
              <w:spacing w:line="240" w:lineRule="exact"/>
              <w:jc w:val="center"/>
              <w:rPr>
                <w:rFonts w:hint="eastAsia" w:ascii="宋体" w:hAnsi="宋体"/>
                <w:sz w:val="24"/>
              </w:rPr>
            </w:pPr>
          </w:p>
          <w:p w14:paraId="6FD28F2D">
            <w:pPr>
              <w:spacing w:line="240" w:lineRule="exact"/>
              <w:jc w:val="center"/>
              <w:rPr>
                <w:rFonts w:hint="eastAsia" w:ascii="宋体" w:hAnsi="宋体"/>
                <w:sz w:val="24"/>
              </w:rPr>
            </w:pPr>
          </w:p>
          <w:p w14:paraId="5D239C99">
            <w:pPr>
              <w:spacing w:line="240" w:lineRule="exact"/>
              <w:jc w:val="center"/>
              <w:rPr>
                <w:rFonts w:hint="eastAsia" w:ascii="宋体" w:hAnsi="宋体"/>
                <w:sz w:val="24"/>
              </w:rPr>
            </w:pPr>
            <w:r>
              <w:rPr>
                <w:rFonts w:hint="eastAsia" w:ascii="宋体" w:hAnsi="宋体"/>
                <w:sz w:val="24"/>
              </w:rPr>
              <w:t>学校指导教师对开题报告的综合意见</w:t>
            </w:r>
          </w:p>
        </w:tc>
        <w:tc>
          <w:tcPr>
            <w:tcW w:w="5167" w:type="dxa"/>
            <w:tcBorders>
              <w:top w:val="single" w:color="000000" w:sz="4" w:space="0"/>
              <w:left w:val="single" w:color="000000" w:sz="4" w:space="0"/>
              <w:bottom w:val="single" w:color="000000" w:sz="4" w:space="0"/>
              <w:right w:val="single" w:color="000000" w:sz="4" w:space="0"/>
            </w:tcBorders>
          </w:tcPr>
          <w:p w14:paraId="471B1B60">
            <w:pPr>
              <w:snapToGrid w:val="0"/>
              <w:spacing w:line="440" w:lineRule="exact"/>
              <w:jc w:val="left"/>
              <w:rPr>
                <w:rFonts w:hint="eastAsia" w:ascii="宋体" w:hAnsi="宋体"/>
                <w:sz w:val="24"/>
              </w:rPr>
            </w:pPr>
          </w:p>
          <w:p w14:paraId="374BD64D">
            <w:pPr>
              <w:spacing w:line="440" w:lineRule="exact"/>
              <w:jc w:val="left"/>
              <w:rPr>
                <w:rFonts w:hint="eastAsia" w:ascii="宋体" w:hAnsi="宋体"/>
                <w:sz w:val="24"/>
              </w:rPr>
            </w:pPr>
          </w:p>
          <w:p w14:paraId="43C3819F">
            <w:pPr>
              <w:spacing w:line="440" w:lineRule="exact"/>
              <w:jc w:val="left"/>
              <w:rPr>
                <w:rFonts w:hint="eastAsia" w:ascii="宋体" w:hAnsi="宋体"/>
                <w:sz w:val="24"/>
              </w:rPr>
            </w:pPr>
          </w:p>
          <w:p w14:paraId="0E27971B">
            <w:pPr>
              <w:spacing w:line="440" w:lineRule="exact"/>
              <w:jc w:val="left"/>
              <w:rPr>
                <w:rFonts w:hint="eastAsia" w:ascii="宋体" w:hAnsi="宋体"/>
                <w:sz w:val="24"/>
              </w:rPr>
            </w:pPr>
          </w:p>
          <w:p w14:paraId="157A1088">
            <w:pPr>
              <w:spacing w:line="440" w:lineRule="exact"/>
              <w:jc w:val="left"/>
              <w:rPr>
                <w:rFonts w:hint="eastAsia" w:ascii="宋体" w:hAnsi="宋体"/>
                <w:sz w:val="24"/>
              </w:rPr>
            </w:pPr>
          </w:p>
          <w:p w14:paraId="4FFB3D51">
            <w:pPr>
              <w:spacing w:line="440" w:lineRule="exact"/>
              <w:jc w:val="left"/>
              <w:rPr>
                <w:rFonts w:hint="eastAsia" w:ascii="宋体" w:hAnsi="宋体"/>
                <w:sz w:val="24"/>
              </w:rPr>
            </w:pPr>
          </w:p>
          <w:p w14:paraId="0F8385E4">
            <w:pPr>
              <w:spacing w:line="440" w:lineRule="exact"/>
              <w:jc w:val="left"/>
              <w:rPr>
                <w:rFonts w:hint="eastAsia" w:ascii="宋体" w:hAnsi="宋体"/>
                <w:sz w:val="24"/>
              </w:rPr>
            </w:pPr>
          </w:p>
          <w:p w14:paraId="4C84B492">
            <w:pPr>
              <w:spacing w:line="440" w:lineRule="exact"/>
              <w:jc w:val="left"/>
              <w:rPr>
                <w:rFonts w:hint="eastAsia" w:ascii="宋体" w:hAnsi="宋体"/>
                <w:sz w:val="24"/>
              </w:rPr>
            </w:pPr>
          </w:p>
          <w:p w14:paraId="3467E000">
            <w:pPr>
              <w:spacing w:line="440" w:lineRule="exact"/>
              <w:jc w:val="left"/>
              <w:rPr>
                <w:rFonts w:hint="eastAsia" w:ascii="宋体" w:hAnsi="宋体"/>
                <w:sz w:val="24"/>
              </w:rPr>
            </w:pPr>
          </w:p>
          <w:p w14:paraId="24047AB1">
            <w:pPr>
              <w:spacing w:line="440" w:lineRule="exact"/>
              <w:jc w:val="left"/>
              <w:rPr>
                <w:rFonts w:hint="eastAsia" w:ascii="宋体" w:hAnsi="宋体"/>
                <w:sz w:val="24"/>
              </w:rPr>
            </w:pPr>
          </w:p>
          <w:p w14:paraId="5F0FB83A">
            <w:pPr>
              <w:spacing w:line="440" w:lineRule="exact"/>
              <w:ind w:right="0" w:firstLine="3720"/>
              <w:jc w:val="left"/>
              <w:rPr>
                <w:rFonts w:hint="eastAsia" w:ascii="宋体" w:hAnsi="宋体"/>
                <w:sz w:val="24"/>
              </w:rPr>
            </w:pPr>
            <w:r>
              <w:rPr>
                <w:rFonts w:hint="eastAsia" w:ascii="宋体" w:hAnsi="宋体"/>
                <w:sz w:val="24"/>
              </w:rPr>
              <w:t>指导教师（签字）</w:t>
            </w:r>
          </w:p>
          <w:p w14:paraId="13F94ED9">
            <w:pPr>
              <w:spacing w:line="240" w:lineRule="exact"/>
              <w:jc w:val="center"/>
              <w:rPr>
                <w:rFonts w:hint="eastAsia" w:ascii="宋体" w:hAnsi="宋体"/>
                <w:sz w:val="24"/>
              </w:rPr>
            </w:pPr>
            <w:r>
              <w:rPr>
                <w:rFonts w:hint="eastAsia" w:ascii="宋体" w:hAnsi="宋体"/>
                <w:sz w:val="24"/>
              </w:rPr>
              <w:t xml:space="preserve">                       年    月    日</w:t>
            </w:r>
          </w:p>
        </w:tc>
        <w:tc>
          <w:tcPr>
            <w:tcW w:w="2297" w:type="dxa"/>
            <w:tcBorders>
              <w:top w:val="single" w:color="000000" w:sz="4" w:space="0"/>
              <w:left w:val="single" w:color="000000" w:sz="4" w:space="0"/>
              <w:bottom w:val="single" w:color="000000" w:sz="4" w:space="0"/>
              <w:right w:val="single" w:color="000000" w:sz="4" w:space="0"/>
            </w:tcBorders>
          </w:tcPr>
          <w:p w14:paraId="698051E0">
            <w:pPr>
              <w:snapToGrid w:val="0"/>
              <w:spacing w:line="240" w:lineRule="exact"/>
              <w:jc w:val="center"/>
              <w:rPr>
                <w:rFonts w:hint="eastAsia" w:ascii="宋体" w:hAnsi="宋体"/>
                <w:sz w:val="24"/>
              </w:rPr>
            </w:pPr>
          </w:p>
        </w:tc>
      </w:tr>
      <w:tr w14:paraId="7D4E3A66">
        <w:tblPrEx>
          <w:tblCellMar>
            <w:top w:w="0" w:type="dxa"/>
            <w:left w:w="108" w:type="dxa"/>
            <w:bottom w:w="0" w:type="dxa"/>
            <w:right w:w="108" w:type="dxa"/>
          </w:tblCellMar>
        </w:tblPrEx>
        <w:trPr>
          <w:trHeight w:val="286" w:hRule="atLeast"/>
          <w:jc w:val="center"/>
        </w:trPr>
        <w:tc>
          <w:tcPr>
            <w:tcW w:w="2077" w:type="dxa"/>
            <w:tcBorders>
              <w:top w:val="single" w:color="000000" w:sz="4" w:space="0"/>
              <w:left w:val="single" w:color="000000" w:sz="4" w:space="0"/>
              <w:bottom w:val="single" w:color="000000" w:sz="4" w:space="0"/>
              <w:right w:val="single" w:color="000000" w:sz="4" w:space="0"/>
            </w:tcBorders>
          </w:tcPr>
          <w:p w14:paraId="31DBF4AC">
            <w:pPr>
              <w:snapToGrid w:val="0"/>
              <w:spacing w:line="260" w:lineRule="exact"/>
              <w:jc w:val="center"/>
              <w:rPr>
                <w:rFonts w:hint="eastAsia" w:ascii="宋体" w:hAnsi="宋体"/>
                <w:sz w:val="24"/>
              </w:rPr>
            </w:pPr>
          </w:p>
          <w:p w14:paraId="0C9D7921">
            <w:pPr>
              <w:spacing w:line="260" w:lineRule="exact"/>
              <w:jc w:val="center"/>
              <w:rPr>
                <w:rFonts w:hint="eastAsia" w:ascii="宋体" w:hAnsi="宋体"/>
                <w:sz w:val="24"/>
              </w:rPr>
            </w:pPr>
          </w:p>
          <w:p w14:paraId="5D970564">
            <w:pPr>
              <w:spacing w:line="260" w:lineRule="exact"/>
              <w:jc w:val="center"/>
              <w:rPr>
                <w:rFonts w:hint="eastAsia" w:ascii="宋体" w:hAnsi="宋体"/>
                <w:sz w:val="24"/>
              </w:rPr>
            </w:pPr>
          </w:p>
          <w:p w14:paraId="036467F8">
            <w:pPr>
              <w:spacing w:line="260" w:lineRule="exact"/>
              <w:jc w:val="center"/>
              <w:rPr>
                <w:rFonts w:hint="eastAsia" w:ascii="宋体" w:hAnsi="宋体"/>
                <w:sz w:val="24"/>
              </w:rPr>
            </w:pPr>
          </w:p>
          <w:p w14:paraId="3F88E936">
            <w:pPr>
              <w:spacing w:line="260" w:lineRule="exact"/>
              <w:jc w:val="center"/>
              <w:rPr>
                <w:rFonts w:hint="eastAsia" w:ascii="宋体" w:hAnsi="宋体"/>
                <w:sz w:val="24"/>
              </w:rPr>
            </w:pPr>
          </w:p>
          <w:p w14:paraId="3190E1EB">
            <w:pPr>
              <w:spacing w:line="360" w:lineRule="auto"/>
              <w:ind w:leftChars="-96" w:rightChars="-51" w:firstLine="0" w:firstLineChars="0"/>
              <w:jc w:val="center"/>
              <w:rPr>
                <w:rFonts w:hint="eastAsia" w:ascii="宋体" w:hAnsi="宋体"/>
                <w:sz w:val="24"/>
              </w:rPr>
            </w:pPr>
            <w:r>
              <w:rPr>
                <w:rFonts w:hint="eastAsia" w:ascii="宋体" w:hAnsi="宋体"/>
                <w:sz w:val="24"/>
              </w:rPr>
              <w:t>校外指导</w:t>
            </w:r>
          </w:p>
          <w:p w14:paraId="1ACB37BB">
            <w:pPr>
              <w:spacing w:line="240" w:lineRule="exact"/>
              <w:jc w:val="center"/>
              <w:rPr>
                <w:rFonts w:hint="eastAsia" w:ascii="宋体" w:hAnsi="宋体"/>
                <w:sz w:val="24"/>
              </w:rPr>
            </w:pPr>
            <w:r>
              <w:rPr>
                <w:rFonts w:hint="eastAsia" w:ascii="宋体" w:hAnsi="宋体"/>
                <w:sz w:val="24"/>
              </w:rPr>
              <w:t>教师对开题报告的综合意见</w:t>
            </w:r>
          </w:p>
        </w:tc>
        <w:tc>
          <w:tcPr>
            <w:tcW w:w="5167" w:type="dxa"/>
            <w:tcBorders>
              <w:top w:val="single" w:color="000000" w:sz="4" w:space="0"/>
              <w:left w:val="single" w:color="000000" w:sz="4" w:space="0"/>
              <w:bottom w:val="single" w:color="000000" w:sz="4" w:space="0"/>
              <w:right w:val="single" w:color="000000" w:sz="4" w:space="0"/>
            </w:tcBorders>
          </w:tcPr>
          <w:p w14:paraId="372022CE">
            <w:pPr>
              <w:snapToGrid w:val="0"/>
              <w:spacing w:line="440" w:lineRule="exact"/>
              <w:jc w:val="left"/>
              <w:rPr>
                <w:rFonts w:hint="eastAsia" w:ascii="宋体" w:hAnsi="宋体"/>
                <w:sz w:val="24"/>
              </w:rPr>
            </w:pPr>
          </w:p>
          <w:p w14:paraId="60ABF93A">
            <w:pPr>
              <w:spacing w:line="440" w:lineRule="exact"/>
              <w:jc w:val="left"/>
              <w:rPr>
                <w:rFonts w:hint="eastAsia" w:ascii="宋体" w:hAnsi="宋体"/>
                <w:sz w:val="24"/>
              </w:rPr>
            </w:pPr>
          </w:p>
          <w:p w14:paraId="552114F3">
            <w:pPr>
              <w:spacing w:line="440" w:lineRule="exact"/>
              <w:jc w:val="left"/>
              <w:rPr>
                <w:rFonts w:hint="eastAsia" w:ascii="宋体" w:hAnsi="宋体"/>
                <w:sz w:val="24"/>
              </w:rPr>
            </w:pPr>
          </w:p>
          <w:p w14:paraId="3BDBFCF3">
            <w:pPr>
              <w:spacing w:line="440" w:lineRule="exact"/>
              <w:jc w:val="left"/>
              <w:rPr>
                <w:rFonts w:hint="eastAsia" w:ascii="宋体" w:hAnsi="宋体"/>
                <w:sz w:val="24"/>
              </w:rPr>
            </w:pPr>
          </w:p>
          <w:p w14:paraId="5FEBFB61">
            <w:pPr>
              <w:spacing w:line="440" w:lineRule="exact"/>
              <w:jc w:val="left"/>
              <w:rPr>
                <w:rFonts w:hint="eastAsia" w:ascii="宋体" w:hAnsi="宋体"/>
                <w:sz w:val="24"/>
              </w:rPr>
            </w:pPr>
          </w:p>
          <w:p w14:paraId="4BC48CC6">
            <w:pPr>
              <w:spacing w:line="440" w:lineRule="exact"/>
              <w:jc w:val="left"/>
              <w:rPr>
                <w:rFonts w:hint="eastAsia" w:ascii="宋体" w:hAnsi="宋体"/>
                <w:sz w:val="24"/>
              </w:rPr>
            </w:pPr>
          </w:p>
          <w:p w14:paraId="3349D8D0">
            <w:pPr>
              <w:spacing w:line="440" w:lineRule="exact"/>
              <w:jc w:val="left"/>
              <w:rPr>
                <w:rFonts w:hint="eastAsia" w:ascii="宋体" w:hAnsi="宋体"/>
                <w:sz w:val="24"/>
              </w:rPr>
            </w:pPr>
          </w:p>
          <w:p w14:paraId="3D5CC7AF">
            <w:pPr>
              <w:spacing w:line="440" w:lineRule="exact"/>
              <w:ind w:left="0" w:leftChars="0" w:right="0" w:rightChars="0" w:firstLineChars="1500"/>
              <w:jc w:val="left"/>
              <w:rPr>
                <w:rFonts w:hint="eastAsia" w:ascii="宋体" w:hAnsi="宋体"/>
                <w:sz w:val="24"/>
              </w:rPr>
            </w:pPr>
            <w:r>
              <w:rPr>
                <w:rFonts w:hint="eastAsia" w:ascii="宋体" w:hAnsi="宋体"/>
                <w:sz w:val="24"/>
              </w:rPr>
              <w:t xml:space="preserve"> 指导教师（签字）</w:t>
            </w:r>
          </w:p>
          <w:p w14:paraId="20C72C94">
            <w:pPr>
              <w:spacing w:line="240" w:lineRule="exact"/>
              <w:jc w:val="center"/>
              <w:rPr>
                <w:rFonts w:hint="eastAsia" w:ascii="宋体" w:hAnsi="宋体"/>
                <w:sz w:val="24"/>
              </w:rPr>
            </w:pPr>
            <w:r>
              <w:rPr>
                <w:rFonts w:hint="eastAsia" w:ascii="宋体" w:hAnsi="宋体"/>
                <w:sz w:val="24"/>
              </w:rPr>
              <w:t xml:space="preserve">                                                      年    月    日</w:t>
            </w:r>
          </w:p>
        </w:tc>
        <w:tc>
          <w:tcPr>
            <w:tcW w:w="2297" w:type="dxa"/>
            <w:tcBorders>
              <w:top w:val="single" w:color="000000" w:sz="4" w:space="0"/>
              <w:left w:val="single" w:color="000000" w:sz="4" w:space="0"/>
              <w:bottom w:val="single" w:color="000000" w:sz="4" w:space="0"/>
              <w:right w:val="single" w:color="000000" w:sz="4" w:space="0"/>
            </w:tcBorders>
          </w:tcPr>
          <w:p w14:paraId="408BB37E">
            <w:pPr>
              <w:snapToGrid w:val="0"/>
              <w:spacing w:line="240" w:lineRule="exact"/>
              <w:jc w:val="center"/>
              <w:rPr>
                <w:rFonts w:hint="eastAsia" w:ascii="宋体" w:hAnsi="宋体"/>
                <w:sz w:val="24"/>
              </w:rPr>
            </w:pPr>
          </w:p>
        </w:tc>
      </w:tr>
      <w:tr w14:paraId="5DEE07CC">
        <w:tblPrEx>
          <w:tblCellMar>
            <w:top w:w="0" w:type="dxa"/>
            <w:left w:w="108" w:type="dxa"/>
            <w:bottom w:w="0" w:type="dxa"/>
            <w:right w:w="108" w:type="dxa"/>
          </w:tblCellMar>
        </w:tblPrEx>
        <w:trPr>
          <w:trHeight w:val="4688" w:hRule="atLeast"/>
          <w:jc w:val="center"/>
        </w:trPr>
        <w:tc>
          <w:tcPr>
            <w:tcW w:w="2077" w:type="dxa"/>
            <w:tcBorders>
              <w:top w:val="single" w:color="000000" w:sz="4" w:space="0"/>
              <w:left w:val="single" w:color="000000" w:sz="4" w:space="0"/>
              <w:bottom w:val="single" w:color="000000" w:sz="4" w:space="0"/>
              <w:right w:val="single" w:color="000000" w:sz="4" w:space="0"/>
            </w:tcBorders>
            <w:vAlign w:val="center"/>
          </w:tcPr>
          <w:p w14:paraId="7ED754D9">
            <w:pPr>
              <w:jc w:val="center"/>
              <w:rPr>
                <w:rFonts w:hint="eastAsia" w:ascii="宋体" w:hAnsi="宋体"/>
                <w:sz w:val="24"/>
              </w:rPr>
            </w:pPr>
            <w:r>
              <w:rPr>
                <w:rFonts w:hint="eastAsia" w:ascii="宋体" w:hAnsi="宋体"/>
                <w:sz w:val="24"/>
              </w:rPr>
              <w:t>开</w:t>
            </w:r>
          </w:p>
          <w:p w14:paraId="26A6AD68">
            <w:pPr>
              <w:jc w:val="center"/>
              <w:rPr>
                <w:rFonts w:hint="eastAsia" w:ascii="宋体" w:hAnsi="宋体"/>
                <w:sz w:val="24"/>
              </w:rPr>
            </w:pPr>
            <w:r>
              <w:rPr>
                <w:rFonts w:hint="eastAsia" w:ascii="宋体" w:hAnsi="宋体"/>
                <w:sz w:val="24"/>
              </w:rPr>
              <w:t>题</w:t>
            </w:r>
          </w:p>
          <w:p w14:paraId="496CF6E5">
            <w:pPr>
              <w:jc w:val="center"/>
              <w:rPr>
                <w:rFonts w:hint="eastAsia" w:ascii="宋体" w:hAnsi="宋体"/>
                <w:sz w:val="24"/>
              </w:rPr>
            </w:pPr>
            <w:r>
              <w:rPr>
                <w:rFonts w:hint="eastAsia" w:ascii="宋体" w:hAnsi="宋体"/>
                <w:sz w:val="24"/>
              </w:rPr>
              <w:t>报</w:t>
            </w:r>
          </w:p>
          <w:p w14:paraId="6C6A98B1">
            <w:pPr>
              <w:jc w:val="center"/>
              <w:rPr>
                <w:rFonts w:hint="eastAsia" w:ascii="宋体" w:hAnsi="宋体"/>
                <w:sz w:val="24"/>
              </w:rPr>
            </w:pPr>
            <w:r>
              <w:rPr>
                <w:rFonts w:hint="eastAsia" w:ascii="宋体" w:hAnsi="宋体"/>
                <w:sz w:val="24"/>
              </w:rPr>
              <w:t>告</w:t>
            </w:r>
          </w:p>
          <w:p w14:paraId="30F7B05A">
            <w:pPr>
              <w:jc w:val="center"/>
              <w:rPr>
                <w:rFonts w:hint="eastAsia" w:ascii="宋体" w:hAnsi="宋体"/>
                <w:sz w:val="24"/>
              </w:rPr>
            </w:pPr>
            <w:r>
              <w:rPr>
                <w:rFonts w:hint="eastAsia" w:ascii="宋体" w:hAnsi="宋体"/>
                <w:sz w:val="24"/>
              </w:rPr>
              <w:t>审</w:t>
            </w:r>
          </w:p>
          <w:p w14:paraId="12A68C1B">
            <w:pPr>
              <w:jc w:val="center"/>
              <w:rPr>
                <w:rFonts w:hint="eastAsia" w:ascii="宋体" w:hAnsi="宋体"/>
                <w:sz w:val="24"/>
              </w:rPr>
            </w:pPr>
            <w:r>
              <w:rPr>
                <w:rFonts w:hint="eastAsia" w:ascii="宋体" w:hAnsi="宋体"/>
                <w:sz w:val="24"/>
              </w:rPr>
              <w:t>议</w:t>
            </w:r>
          </w:p>
          <w:p w14:paraId="67A7FE79">
            <w:pPr>
              <w:jc w:val="center"/>
              <w:rPr>
                <w:rFonts w:hint="eastAsia" w:ascii="宋体" w:hAnsi="宋体"/>
                <w:sz w:val="24"/>
              </w:rPr>
            </w:pPr>
            <w:r>
              <w:rPr>
                <w:rFonts w:hint="eastAsia" w:ascii="宋体" w:hAnsi="宋体"/>
                <w:sz w:val="24"/>
              </w:rPr>
              <w:t>情</w:t>
            </w:r>
          </w:p>
          <w:p w14:paraId="64418B4C">
            <w:pPr>
              <w:jc w:val="center"/>
              <w:rPr>
                <w:rFonts w:hint="eastAsia" w:ascii="宋体" w:hAnsi="宋体"/>
                <w:sz w:val="24"/>
              </w:rPr>
            </w:pPr>
            <w:r>
              <w:rPr>
                <w:rFonts w:hint="eastAsia" w:ascii="宋体" w:hAnsi="宋体"/>
                <w:sz w:val="24"/>
              </w:rPr>
              <w:t>况</w:t>
            </w:r>
          </w:p>
          <w:p w14:paraId="4BF7C062">
            <w:pPr>
              <w:jc w:val="center"/>
              <w:rPr>
                <w:rFonts w:hint="eastAsia" w:ascii="宋体" w:hAnsi="宋体"/>
                <w:sz w:val="24"/>
              </w:rPr>
            </w:pPr>
            <w:r>
              <w:rPr>
                <w:rFonts w:hint="eastAsia" w:ascii="宋体" w:hAnsi="宋体"/>
                <w:sz w:val="24"/>
              </w:rPr>
              <w:t>记</w:t>
            </w:r>
          </w:p>
          <w:p w14:paraId="38D2D755">
            <w:pPr>
              <w:spacing w:line="260" w:lineRule="exact"/>
              <w:jc w:val="center"/>
              <w:rPr>
                <w:rFonts w:hint="eastAsia" w:ascii="宋体" w:hAnsi="宋体"/>
                <w:sz w:val="24"/>
              </w:rPr>
            </w:pPr>
            <w:r>
              <w:rPr>
                <w:rFonts w:hint="eastAsia" w:ascii="宋体" w:hAnsi="宋体"/>
                <w:sz w:val="24"/>
              </w:rPr>
              <w:t>录</w:t>
            </w:r>
          </w:p>
        </w:tc>
        <w:tc>
          <w:tcPr>
            <w:tcW w:w="7464" w:type="dxa"/>
            <w:gridSpan w:val="2"/>
            <w:tcBorders>
              <w:top w:val="single" w:color="000000" w:sz="4" w:space="0"/>
              <w:bottom w:val="single" w:color="000000" w:sz="4" w:space="0"/>
              <w:right w:val="single" w:color="000000" w:sz="4" w:space="0"/>
            </w:tcBorders>
            <w:vAlign w:val="bottom"/>
          </w:tcPr>
          <w:p w14:paraId="52CF5056">
            <w:pPr>
              <w:spacing w:line="440" w:lineRule="exact"/>
              <w:jc w:val="left"/>
              <w:rPr>
                <w:rFonts w:hint="eastAsia" w:ascii="宋体" w:hAnsi="宋体"/>
                <w:sz w:val="24"/>
              </w:rPr>
            </w:pPr>
            <w:r>
              <w:rPr>
                <w:rFonts w:hint="eastAsia" w:ascii="宋体" w:hAnsi="宋体"/>
                <w:sz w:val="24"/>
              </w:rPr>
              <w:t>１、审议小组成员（硕士至少5人，博士5－7人，其中1人须为校外导师）：</w:t>
            </w:r>
          </w:p>
          <w:p w14:paraId="283AFC17">
            <w:pPr>
              <w:spacing w:line="440" w:lineRule="exact"/>
              <w:ind w:left="0" w:leftChars="0" w:right="0" w:rightChars="0" w:firstLineChars="200"/>
              <w:rPr>
                <w:rFonts w:hint="eastAsia" w:ascii="宋体" w:hAnsi="宋体"/>
                <w:sz w:val="24"/>
              </w:rPr>
            </w:pPr>
            <w:r>
              <w:rPr>
                <w:rFonts w:hint="eastAsia" w:ascii="宋体" w:hAnsi="宋体"/>
                <w:sz w:val="24"/>
              </w:rPr>
              <w:t>组长：</w:t>
            </w:r>
          </w:p>
          <w:p w14:paraId="606B01CB">
            <w:pPr>
              <w:spacing w:line="440" w:lineRule="exact"/>
              <w:ind w:left="0" w:leftChars="0" w:right="0" w:rightChars="0" w:firstLineChars="200"/>
              <w:rPr>
                <w:rFonts w:hint="eastAsia" w:ascii="宋体" w:hAnsi="宋体"/>
                <w:sz w:val="24"/>
              </w:rPr>
            </w:pPr>
            <w:r>
              <w:rPr>
                <w:rFonts w:hint="eastAsia" w:ascii="宋体" w:hAnsi="宋体"/>
                <w:sz w:val="24"/>
              </w:rPr>
              <w:t>成员：</w:t>
            </w:r>
          </w:p>
          <w:p w14:paraId="535CFACB">
            <w:pPr>
              <w:spacing w:line="440" w:lineRule="exact"/>
              <w:rPr>
                <w:rFonts w:hint="eastAsia" w:ascii="宋体" w:hAnsi="宋体"/>
                <w:sz w:val="24"/>
              </w:rPr>
            </w:pPr>
            <w:r>
              <w:rPr>
                <w:rFonts w:hint="eastAsia" w:ascii="宋体" w:hAnsi="宋体"/>
                <w:sz w:val="24"/>
              </w:rPr>
              <w:t>２、审议小组意见</w:t>
            </w:r>
          </w:p>
          <w:p w14:paraId="0E0CC170">
            <w:pPr>
              <w:spacing w:line="440" w:lineRule="exact"/>
              <w:rPr>
                <w:rFonts w:hint="eastAsia" w:ascii="宋体" w:hAnsi="宋体"/>
                <w:sz w:val="24"/>
              </w:rPr>
            </w:pPr>
          </w:p>
          <w:p w14:paraId="58AE921A">
            <w:pPr>
              <w:spacing w:line="440" w:lineRule="exact"/>
              <w:rPr>
                <w:rFonts w:hint="eastAsia" w:ascii="宋体" w:hAnsi="宋体"/>
                <w:sz w:val="24"/>
              </w:rPr>
            </w:pPr>
            <w:r>
              <w:rPr>
                <w:rFonts w:hint="eastAsia" w:ascii="宋体" w:hAnsi="宋体"/>
                <w:sz w:val="24"/>
              </w:rPr>
              <w:t>３、投票表决结果</w:t>
            </w:r>
          </w:p>
          <w:p w14:paraId="420C0597">
            <w:pPr>
              <w:spacing w:line="440" w:lineRule="exact"/>
              <w:ind w:left="0" w:leftChars="0" w:right="0" w:rightChars="0" w:firstLineChars="206"/>
              <w:rPr>
                <w:rFonts w:hint="eastAsia" w:ascii="宋体" w:hAnsi="宋体"/>
                <w:sz w:val="24"/>
              </w:rPr>
            </w:pPr>
            <w:r>
              <w:rPr>
                <w:rFonts w:hint="eastAsia" w:ascii="宋体" w:hAnsi="宋体"/>
                <w:sz w:val="24"/>
              </w:rPr>
              <w:t xml:space="preserve">审议小组出席 </w:t>
            </w:r>
            <w:r>
              <w:rPr>
                <w:rFonts w:hint="eastAsia" w:ascii="宋体" w:hAnsi="宋体"/>
                <w:sz w:val="24"/>
                <w:u w:val="single"/>
              </w:rPr>
              <w:t xml:space="preserve">       </w:t>
            </w:r>
            <w:r>
              <w:rPr>
                <w:rFonts w:hint="eastAsia" w:ascii="宋体" w:hAnsi="宋体"/>
                <w:sz w:val="24"/>
              </w:rPr>
              <w:t xml:space="preserve"> 人；通过 </w:t>
            </w:r>
            <w:r>
              <w:rPr>
                <w:rFonts w:hint="eastAsia" w:ascii="宋体" w:hAnsi="宋体"/>
                <w:sz w:val="24"/>
                <w:u w:val="single"/>
              </w:rPr>
              <w:t xml:space="preserve">      </w:t>
            </w:r>
            <w:r>
              <w:rPr>
                <w:rFonts w:hint="eastAsia" w:ascii="宋体" w:hAnsi="宋体"/>
                <w:sz w:val="24"/>
              </w:rPr>
              <w:t xml:space="preserve"> 人；不通过 </w:t>
            </w:r>
            <w:r>
              <w:rPr>
                <w:rFonts w:hint="eastAsia" w:ascii="宋体" w:hAnsi="宋体"/>
                <w:sz w:val="24"/>
                <w:u w:val="single"/>
              </w:rPr>
              <w:t xml:space="preserve">      </w:t>
            </w:r>
            <w:r>
              <w:rPr>
                <w:rFonts w:hint="eastAsia" w:ascii="宋体" w:hAnsi="宋体"/>
                <w:sz w:val="24"/>
              </w:rPr>
              <w:t xml:space="preserve"> 人。</w:t>
            </w:r>
          </w:p>
          <w:p w14:paraId="5943E204">
            <w:pPr>
              <w:spacing w:line="440" w:lineRule="exact"/>
              <w:ind w:left="0" w:leftChars="0" w:right="0" w:rightChars="0" w:firstLineChars="206"/>
              <w:rPr>
                <w:rFonts w:hint="eastAsia" w:ascii="宋体" w:hAnsi="宋体"/>
                <w:sz w:val="24"/>
              </w:rPr>
            </w:pPr>
            <w:r>
              <w:rPr>
                <w:rFonts w:hint="eastAsia" w:ascii="宋体" w:hAnsi="宋体"/>
                <w:sz w:val="24"/>
              </w:rPr>
              <w:t>开题报告质量</w:t>
            </w:r>
            <w:r>
              <w:rPr>
                <w:rFonts w:hint="eastAsia" w:ascii="宋体" w:hAnsi="宋体"/>
                <w:sz w:val="24"/>
                <w:u w:val="single"/>
              </w:rPr>
              <w:t xml:space="preserve">            （优、良、中、通过）</w:t>
            </w:r>
          </w:p>
          <w:p w14:paraId="01B7AF45">
            <w:pPr>
              <w:spacing w:line="440" w:lineRule="exact"/>
              <w:rPr>
                <w:rFonts w:hint="eastAsia" w:ascii="宋体" w:hAnsi="宋体"/>
                <w:sz w:val="24"/>
              </w:rPr>
            </w:pPr>
            <w:r>
              <w:rPr>
                <w:rFonts w:hint="eastAsia" w:ascii="宋体" w:hAnsi="宋体"/>
                <w:sz w:val="24"/>
              </w:rPr>
              <w:t>４、审议小组组长（签名）</w:t>
            </w:r>
          </w:p>
          <w:p w14:paraId="4BB662C6">
            <w:pPr>
              <w:spacing w:line="440" w:lineRule="exact"/>
              <w:ind w:left="0" w:leftChars="0" w:right="0" w:rightChars="0" w:firstLineChars="200"/>
              <w:rPr>
                <w:rFonts w:hint="eastAsia" w:ascii="宋体" w:hAnsi="宋体"/>
                <w:sz w:val="24"/>
                <w:u w:val="single"/>
              </w:rPr>
            </w:pPr>
            <w:r>
              <w:rPr>
                <w:rFonts w:hint="eastAsia" w:ascii="宋体" w:hAnsi="宋体"/>
                <w:sz w:val="24"/>
              </w:rPr>
              <w:t>审议小组成员（签名）</w:t>
            </w:r>
          </w:p>
          <w:p w14:paraId="5DAD6AFF">
            <w:pPr>
              <w:spacing w:line="440" w:lineRule="exact"/>
              <w:ind w:right="0" w:firstLine="3720"/>
              <w:jc w:val="left"/>
              <w:rPr>
                <w:rFonts w:hint="eastAsia" w:ascii="宋体" w:hAnsi="宋体"/>
                <w:sz w:val="24"/>
              </w:rPr>
            </w:pPr>
            <w:r>
              <w:rPr>
                <w:rFonts w:hint="eastAsia" w:ascii="宋体" w:hAnsi="宋体"/>
                <w:sz w:val="24"/>
              </w:rPr>
              <w:t>年   月   日</w:t>
            </w:r>
          </w:p>
        </w:tc>
      </w:tr>
      <w:tr w14:paraId="06E8EC72">
        <w:tblPrEx>
          <w:tblCellMar>
            <w:top w:w="0" w:type="dxa"/>
            <w:left w:w="108" w:type="dxa"/>
            <w:bottom w:w="0" w:type="dxa"/>
            <w:right w:w="108" w:type="dxa"/>
          </w:tblCellMar>
        </w:tblPrEx>
        <w:trPr>
          <w:trHeight w:val="4687" w:hRule="atLeast"/>
          <w:jc w:val="center"/>
        </w:trPr>
        <w:tc>
          <w:tcPr>
            <w:tcW w:w="2077" w:type="dxa"/>
            <w:tcBorders>
              <w:top w:val="single" w:color="000000" w:sz="4" w:space="0"/>
              <w:left w:val="single" w:color="000000" w:sz="4" w:space="0"/>
              <w:bottom w:val="single" w:color="000000" w:sz="4" w:space="0"/>
              <w:right w:val="single" w:color="000000" w:sz="4" w:space="0"/>
            </w:tcBorders>
          </w:tcPr>
          <w:p w14:paraId="2D3181A5">
            <w:pPr>
              <w:spacing w:line="440" w:lineRule="exact"/>
              <w:ind w:right="0" w:firstLine="480"/>
              <w:rPr>
                <w:rFonts w:hint="eastAsia" w:ascii="宋体" w:hAnsi="宋体"/>
                <w:sz w:val="24"/>
              </w:rPr>
            </w:pPr>
            <w:r>
              <w:rPr>
                <w:rFonts w:hint="eastAsia" w:ascii="宋体" w:hAnsi="宋体"/>
                <w:sz w:val="24"/>
              </w:rPr>
              <w:t>院（系、所）意见：</w:t>
            </w:r>
          </w:p>
          <w:p w14:paraId="121D032E">
            <w:pPr>
              <w:spacing w:line="440" w:lineRule="exact"/>
              <w:ind w:right="0" w:firstLine="480"/>
              <w:rPr>
                <w:rFonts w:hint="eastAsia" w:ascii="宋体" w:hAnsi="宋体"/>
                <w:sz w:val="24"/>
              </w:rPr>
            </w:pPr>
          </w:p>
          <w:p w14:paraId="27E74CFF">
            <w:pPr>
              <w:spacing w:line="440" w:lineRule="exact"/>
              <w:jc w:val="center"/>
              <w:rPr>
                <w:rFonts w:hint="eastAsia" w:ascii="宋体" w:hAnsi="宋体"/>
                <w:sz w:val="24"/>
              </w:rPr>
            </w:pPr>
          </w:p>
          <w:p w14:paraId="7CC15B50">
            <w:pPr>
              <w:spacing w:line="440" w:lineRule="exact"/>
              <w:ind w:left="0" w:leftChars="0" w:right="0" w:rightChars="0" w:firstLineChars="800"/>
              <w:rPr>
                <w:rFonts w:hint="eastAsia" w:ascii="宋体" w:hAnsi="宋体"/>
                <w:sz w:val="24"/>
              </w:rPr>
            </w:pPr>
            <w:r>
              <w:rPr>
                <w:rFonts w:hint="eastAsia" w:ascii="宋体" w:hAnsi="宋体"/>
                <w:sz w:val="24"/>
              </w:rPr>
              <w:t>院（系、所）负责人签名（或印章）</w:t>
            </w:r>
          </w:p>
          <w:p w14:paraId="43193251">
            <w:pPr>
              <w:spacing w:line="360" w:lineRule="auto"/>
              <w:jc w:val="center"/>
              <w:rPr>
                <w:rFonts w:hint="eastAsia" w:ascii="宋体" w:hAnsi="宋体"/>
                <w:sz w:val="24"/>
              </w:rPr>
            </w:pPr>
            <w:r>
              <w:rPr>
                <w:rFonts w:hint="eastAsia" w:ascii="宋体" w:hAnsi="宋体"/>
                <w:sz w:val="24"/>
              </w:rPr>
              <w:t xml:space="preserve">                                                           年    月    日</w:t>
            </w:r>
          </w:p>
        </w:tc>
        <w:tc>
          <w:tcPr>
            <w:tcW w:w="7464" w:type="dxa"/>
            <w:gridSpan w:val="2"/>
            <w:tcBorders>
              <w:top w:val="single" w:color="000000" w:sz="4" w:space="0"/>
              <w:left w:val="single" w:color="000000" w:sz="4" w:space="0"/>
              <w:bottom w:val="single" w:color="000000" w:sz="4" w:space="0"/>
              <w:right w:val="single" w:color="000000" w:sz="4" w:space="0"/>
            </w:tcBorders>
          </w:tcPr>
          <w:p w14:paraId="3DE4193F">
            <w:pPr>
              <w:snapToGrid w:val="0"/>
              <w:spacing w:line="440" w:lineRule="exact"/>
              <w:jc w:val="left"/>
              <w:rPr>
                <w:rFonts w:hint="eastAsia" w:ascii="宋体" w:hAnsi="宋体"/>
                <w:sz w:val="24"/>
              </w:rPr>
            </w:pPr>
          </w:p>
        </w:tc>
      </w:tr>
      <w:tr w14:paraId="37733E55">
        <w:tblPrEx>
          <w:tblCellMar>
            <w:top w:w="0" w:type="dxa"/>
            <w:left w:w="108" w:type="dxa"/>
            <w:bottom w:w="0" w:type="dxa"/>
            <w:right w:w="108" w:type="dxa"/>
          </w:tblCellMar>
        </w:tblPrEx>
        <w:trPr>
          <w:cantSplit/>
          <w:trHeight w:val="4947" w:hRule="atLeast"/>
          <w:jc w:val="center"/>
        </w:trPr>
        <w:tc>
          <w:tcPr>
            <w:tcW w:w="2077" w:type="dxa"/>
            <w:tcBorders>
              <w:top w:val="single" w:color="000000" w:sz="4" w:space="0"/>
              <w:left w:val="single" w:color="000000" w:sz="4" w:space="0"/>
              <w:bottom w:val="single" w:color="000000" w:sz="4" w:space="0"/>
              <w:right w:val="single" w:color="000000" w:sz="4" w:space="0"/>
            </w:tcBorders>
          </w:tcPr>
          <w:p w14:paraId="733CCB85">
            <w:pPr>
              <w:jc w:val="center"/>
              <w:rPr>
                <w:rFonts w:hint="eastAsia" w:ascii="宋体" w:hAnsi="宋体"/>
                <w:sz w:val="24"/>
              </w:rPr>
            </w:pPr>
            <w:r>
              <w:rPr>
                <w:rFonts w:hint="eastAsia" w:ascii="宋体" w:hAnsi="宋体"/>
                <w:sz w:val="24"/>
              </w:rPr>
              <w:t>备注：</w:t>
            </w:r>
          </w:p>
        </w:tc>
        <w:tc>
          <w:tcPr>
            <w:tcW w:w="7464" w:type="dxa"/>
            <w:gridSpan w:val="2"/>
            <w:tcBorders>
              <w:top w:val="single" w:color="000000" w:sz="4" w:space="0"/>
              <w:left w:val="single" w:color="000000" w:sz="4" w:space="0"/>
              <w:bottom w:val="single" w:color="000000" w:sz="4" w:space="0"/>
              <w:right w:val="single" w:color="000000" w:sz="4" w:space="0"/>
            </w:tcBorders>
          </w:tcPr>
          <w:p w14:paraId="1273B2C4">
            <w:pPr>
              <w:snapToGrid w:val="0"/>
              <w:spacing w:line="440" w:lineRule="exact"/>
              <w:ind w:leftChars="2249" w:right="0" w:rightChars="0" w:firstLineChars="800"/>
              <w:rPr>
                <w:rFonts w:hint="eastAsia" w:ascii="宋体" w:hAnsi="宋体"/>
                <w:sz w:val="24"/>
              </w:rPr>
            </w:pPr>
          </w:p>
        </w:tc>
      </w:tr>
      <w:tr w14:paraId="667C7547">
        <w:tblPrEx>
          <w:tblCellMar>
            <w:top w:w="0" w:type="dxa"/>
            <w:left w:w="108" w:type="dxa"/>
            <w:bottom w:w="0" w:type="dxa"/>
            <w:right w:w="108" w:type="dxa"/>
          </w:tblCellMar>
        </w:tblPrEx>
        <w:trPr>
          <w:trHeight w:val="2014" w:hRule="atLeast"/>
          <w:jc w:val="center"/>
        </w:trPr>
        <w:tc>
          <w:tcPr>
            <w:tcW w:w="9541" w:type="dxa"/>
            <w:gridSpan w:val="3"/>
            <w:tcBorders>
              <w:top w:val="single" w:color="000000" w:sz="4" w:space="0"/>
              <w:left w:val="single" w:color="000000" w:sz="4" w:space="0"/>
              <w:bottom w:val="single" w:color="000000" w:sz="4" w:space="0"/>
              <w:right w:val="single" w:color="000000" w:sz="4" w:space="0"/>
            </w:tcBorders>
          </w:tcPr>
          <w:p w14:paraId="600EF821">
            <w:pPr>
              <w:snapToGrid w:val="0"/>
              <w:spacing w:line="440" w:lineRule="exact"/>
              <w:jc w:val="center"/>
              <w:rPr>
                <w:rFonts w:hint="eastAsia" w:ascii="宋体" w:hAnsi="宋体"/>
                <w:sz w:val="24"/>
              </w:rPr>
            </w:pPr>
          </w:p>
        </w:tc>
      </w:tr>
      <w:tr w14:paraId="4A947A38">
        <w:tblPrEx>
          <w:tblCellMar>
            <w:top w:w="0" w:type="dxa"/>
            <w:left w:w="108" w:type="dxa"/>
            <w:bottom w:w="0" w:type="dxa"/>
            <w:right w:w="108" w:type="dxa"/>
          </w:tblCellMar>
        </w:tblPrEx>
        <w:trPr>
          <w:trHeight w:val="2014" w:hRule="atLeast"/>
          <w:jc w:val="center"/>
        </w:trPr>
        <w:tc>
          <w:tcPr>
            <w:tcW w:w="9541" w:type="dxa"/>
            <w:gridSpan w:val="3"/>
            <w:tcBorders>
              <w:top w:val="single" w:color="000000" w:sz="4" w:space="0"/>
              <w:left w:val="single" w:color="000000" w:sz="4" w:space="0"/>
              <w:bottom w:val="single" w:color="000000" w:sz="4" w:space="0"/>
              <w:right w:val="single" w:color="000000" w:sz="4" w:space="0"/>
            </w:tcBorders>
          </w:tcPr>
          <w:p w14:paraId="386DB658">
            <w:pPr>
              <w:snapToGrid w:val="0"/>
              <w:spacing w:line="440" w:lineRule="exact"/>
              <w:ind w:right="0" w:firstLine="480"/>
              <w:rPr>
                <w:rFonts w:hint="eastAsia" w:ascii="宋体" w:hAnsi="宋体"/>
                <w:sz w:val="24"/>
              </w:rPr>
            </w:pPr>
          </w:p>
        </w:tc>
      </w:tr>
    </w:tbl>
    <w:p w14:paraId="5EAA76CB"/>
    <w:sectPr>
      <w:footerReference r:id="rId4" w:type="first"/>
      <w:footerReference r:id="rId3" w:type="default"/>
      <w:pgSz w:w="11906" w:h="16838"/>
      <w:pgMar w:top="1134" w:right="1134" w:bottom="1134" w:left="1134" w:header="0" w:footer="992" w:gutter="0"/>
      <w:pgNumType w:fmt="decimal" w:start="0"/>
      <w:cols w:space="720" w:num="1"/>
      <w:formProt w:val="0"/>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Noto Sans Devanagari">
    <w:panose1 w:val="020B0502040504020204"/>
    <w:charset w:val="00"/>
    <w:family w:val="auto"/>
    <w:pitch w:val="default"/>
    <w:sig w:usb0="80008023" w:usb1="00002046" w:usb2="00000000" w:usb3="00000000" w:csb0="00000001" w:csb1="00000000"/>
  </w:font>
  <w:font w:name="Liberation Serif">
    <w:panose1 w:val="02020603050405020304"/>
    <w:charset w:val="01"/>
    <w:family w:val="roman"/>
    <w:pitch w:val="default"/>
    <w:sig w:usb0="E0000AFF" w:usb1="500078FF" w:usb2="00000021" w:usb3="00000000" w:csb0="600001BF" w:csb1="DFF70000"/>
  </w:font>
  <w:font w:name="Source Han Serif CN">
    <w:panose1 w:val="02020400000000000000"/>
    <w:charset w:val="86"/>
    <w:family w:val="auto"/>
    <w:pitch w:val="default"/>
    <w:sig w:usb0="20000083" w:usb1="2ADF3C10" w:usb2="00000016" w:usb3="00000000" w:csb0="60060107" w:csb1="00000000"/>
  </w:font>
  <w:font w:name="Liberation Sans">
    <w:panose1 w:val="020B0604020202020204"/>
    <w:charset w:val="01"/>
    <w:family w:val="swiss"/>
    <w:pitch w:val="default"/>
    <w:sig w:usb0="E0000AFF" w:usb1="500078FF" w:usb2="00000021" w:usb3="00000000" w:csb0="600001BF" w:csb1="DFF70000"/>
  </w:font>
  <w:font w:name="Source Han Sans CN">
    <w:panose1 w:val="020B0500000000000000"/>
    <w:charset w:val="86"/>
    <w:family w:val="auto"/>
    <w:pitch w:val="default"/>
    <w:sig w:usb0="20000083" w:usb1="2ADF3C10" w:usb2="00000016" w:usb3="00000000" w:csb0="60060107" w:csb1="00000000"/>
  </w:font>
  <w:font w:name="方正小标宋简体;汉仪书宋二KW">
    <w:altName w:val="方正书宋_GBK"/>
    <w:panose1 w:val="00000000000000000000"/>
    <w:charset w:val="00"/>
    <w:family w:val="auto"/>
    <w:pitch w:val="default"/>
    <w:sig w:usb0="00000000" w:usb1="00000000" w:usb2="00000000" w:usb3="00000000" w:csb0="00000000" w:csb1="00000000"/>
  </w:font>
  <w:font w:name="方正书宋_GBK">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13EAE8">
    <w:pPr>
      <w:pStyle w:val="5"/>
      <w:ind w:right="360" w:firstLine="360"/>
      <w:rPr>
        <w:rFonts w:hint="eastAsia"/>
      </w:rPr>
    </w:pPr>
    <w:r>
      <w:rPr>
        <w:rFonts w:hint="eastAsia"/>
      </w:rPr>
      <w:t xml:space="preserve">                                                                                                    </w:t>
    </w:r>
    <w:r>
      <mc:AlternateContent>
        <mc:Choice Requires="wps">
          <w:drawing>
            <wp:anchor distT="0" distB="0" distL="0" distR="0" simplePos="0" relativeHeight="251659264"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3" name="Frame1"/>
              <wp:cNvGraphicFramePr/>
              <a:graphic xmlns:a="http://schemas.openxmlformats.org/drawingml/2006/main">
                <a:graphicData uri="http://schemas.microsoft.com/office/word/2010/wordprocessingShape">
                  <wps:wsp>
                    <wps:cNvSpPr txBox="1"/>
                    <wps:spPr>
                      <a:xfrm>
                        <a:off x="0" y="0"/>
                        <a:ext cx="114935" cy="131445"/>
                      </a:xfrm>
                      <a:prstGeom prst="rect">
                        <a:avLst/>
                      </a:prstGeom>
                      <a:solidFill>
                        <a:srgbClr val="FFFFFF">
                          <a:alpha val="0"/>
                        </a:srgbClr>
                      </a:solidFill>
                    </wps:spPr>
                    <wps:txbx>
                      <w:txbxContent>
                        <w:p w14:paraId="3C99F4CE">
                          <w:pPr>
                            <w:pStyle w:val="5"/>
                            <w:rPr>
                              <w:rStyle w:val="12"/>
                            </w:rPr>
                          </w:pPr>
                          <w:r>
                            <w:rPr>
                              <w:rStyle w:val="12"/>
                            </w:rPr>
                            <w:fldChar w:fldCharType="begin"/>
                          </w:r>
                          <w:r>
                            <w:rPr>
                              <w:rStyle w:val="12"/>
                            </w:rPr>
                            <w:instrText xml:space="preserve"> PAGE </w:instrText>
                          </w:r>
                          <w:r>
                            <w:rPr>
                              <w:rStyle w:val="12"/>
                            </w:rPr>
                            <w:fldChar w:fldCharType="separate"/>
                          </w:r>
                          <w:r>
                            <w:rPr>
                              <w:rStyle w:val="12"/>
                            </w:rPr>
                            <w:t>18</w:t>
                          </w:r>
                          <w:r>
                            <w:rPr>
                              <w:rStyle w:val="12"/>
                            </w:rPr>
                            <w:fldChar w:fldCharType="end"/>
                          </w:r>
                        </w:p>
                      </w:txbxContent>
                    </wps:txbx>
                    <wps:bodyPr lIns="0" tIns="0" rIns="0" bIns="0" anchor="t">
                      <a:noAutofit/>
                    </wps:bodyPr>
                  </wps:wsp>
                </a:graphicData>
              </a:graphic>
            </wp:anchor>
          </w:drawing>
        </mc:Choice>
        <mc:Fallback>
          <w:pict>
            <v:shape id="Frame1" o:spid="_x0000_s1026" o:spt="202" type="#_x0000_t202" style="position:absolute;left:0pt;margin-top:0.05pt;height:10.35pt;width:9.05pt;mso-position-horizontal:center;mso-position-horizontal-relative:margin;mso-wrap-distance-bottom:0pt;mso-wrap-distance-left:0pt;mso-wrap-distance-right:0pt;mso-wrap-distance-top:0pt;z-index:251659264;mso-width-relative:page;mso-height-relative:page;" fillcolor="#FFFFFF" filled="t" stroked="f" coordsize="21600,21600" o:allowincell="f" o:gfxdata="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OAcHNbRAAAAAwEAAA8AAAAAAAAAAQAgAAAAIgAAAGRycy9kb3ducmV2&#10;LnhtbFBLAQIUABQAAAAIAIdO4kC4PwPPygEAALMDAAAOAAAAAAAAAAEAIAAAACABAABkcnMvZTJv&#10;RG9jLnhtbFBLBQYAAAAABgAGAFkBAABcBQAAAAA=&#10;">
              <v:fill on="t" opacity="0f" focussize="0,0"/>
              <v:stroke on="f"/>
              <v:imagedata o:title=""/>
              <o:lock v:ext="edit" aspectratio="f"/>
              <v:textbox inset="0mm,0mm,0mm,0mm">
                <w:txbxContent>
                  <w:p w14:paraId="3C99F4CE">
                    <w:pPr>
                      <w:pStyle w:val="5"/>
                      <w:rPr>
                        <w:rStyle w:val="12"/>
                      </w:rPr>
                    </w:pPr>
                    <w:r>
                      <w:rPr>
                        <w:rStyle w:val="12"/>
                      </w:rPr>
                      <w:fldChar w:fldCharType="begin"/>
                    </w:r>
                    <w:r>
                      <w:rPr>
                        <w:rStyle w:val="12"/>
                      </w:rPr>
                      <w:instrText xml:space="preserve"> PAGE </w:instrText>
                    </w:r>
                    <w:r>
                      <w:rPr>
                        <w:rStyle w:val="12"/>
                      </w:rPr>
                      <w:fldChar w:fldCharType="separate"/>
                    </w:r>
                    <w:r>
                      <w:rPr>
                        <w:rStyle w:val="12"/>
                      </w:rPr>
                      <w:t>18</w:t>
                    </w:r>
                    <w:r>
                      <w:rPr>
                        <w:rStyle w:val="12"/>
                      </w:rPr>
                      <w:fldChar w:fldCharType="end"/>
                    </w:r>
                  </w:p>
                </w:txbxContent>
              </v:textbox>
              <w10:wrap type="squar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16B612">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FFA2D4"/>
    <w:multiLevelType w:val="multilevel"/>
    <w:tmpl w:val="BCFFA2D4"/>
    <w:lvl w:ilvl="0" w:tentative="0">
      <w:start w:val="1"/>
      <w:numFmt w:val="none"/>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pStyle w:val="2"/>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abstractNum w:abstractNumId="1">
    <w:nsid w:val="DE9AB452"/>
    <w:multiLevelType w:val="multilevel"/>
    <w:tmpl w:val="DE9AB452"/>
    <w:lvl w:ilvl="0" w:tentative="0">
      <w:start w:val="1"/>
      <w:numFmt w:val="decimal"/>
      <w:lvlText w:val="%1、"/>
      <w:lvlJc w:val="left"/>
      <w:pPr>
        <w:tabs>
          <w:tab w:val="left" w:pos="0"/>
        </w:tabs>
        <w:ind w:left="780" w:hanging="360"/>
      </w:pPr>
      <w:rPr>
        <w:rFonts w:hint="eastAsia"/>
      </w:rPr>
    </w:lvl>
    <w:lvl w:ilvl="1" w:tentative="0">
      <w:start w:val="1"/>
      <w:numFmt w:val="lowerLetter"/>
      <w:lvlText w:val="%2)"/>
      <w:lvlJc w:val="left"/>
      <w:pPr>
        <w:tabs>
          <w:tab w:val="left" w:pos="0"/>
        </w:tabs>
        <w:ind w:left="1260" w:hanging="420"/>
      </w:pPr>
    </w:lvl>
    <w:lvl w:ilvl="2" w:tentative="0">
      <w:start w:val="1"/>
      <w:numFmt w:val="lowerRoman"/>
      <w:lvlText w:val="%3."/>
      <w:lvlJc w:val="right"/>
      <w:pPr>
        <w:tabs>
          <w:tab w:val="left" w:pos="0"/>
        </w:tabs>
        <w:ind w:left="1680" w:hanging="420"/>
      </w:pPr>
    </w:lvl>
    <w:lvl w:ilvl="3" w:tentative="0">
      <w:start w:val="1"/>
      <w:numFmt w:val="decimal"/>
      <w:lvlText w:val="%4."/>
      <w:lvlJc w:val="left"/>
      <w:pPr>
        <w:tabs>
          <w:tab w:val="left" w:pos="0"/>
        </w:tabs>
        <w:ind w:left="2100" w:hanging="420"/>
      </w:pPr>
    </w:lvl>
    <w:lvl w:ilvl="4" w:tentative="0">
      <w:start w:val="1"/>
      <w:numFmt w:val="lowerLetter"/>
      <w:lvlText w:val="%5)"/>
      <w:lvlJc w:val="left"/>
      <w:pPr>
        <w:tabs>
          <w:tab w:val="left" w:pos="0"/>
        </w:tabs>
        <w:ind w:left="2520" w:hanging="420"/>
      </w:pPr>
    </w:lvl>
    <w:lvl w:ilvl="5" w:tentative="0">
      <w:start w:val="1"/>
      <w:numFmt w:val="lowerRoman"/>
      <w:lvlText w:val="%6."/>
      <w:lvlJc w:val="right"/>
      <w:pPr>
        <w:tabs>
          <w:tab w:val="left" w:pos="0"/>
        </w:tabs>
        <w:ind w:left="2940" w:hanging="420"/>
      </w:pPr>
    </w:lvl>
    <w:lvl w:ilvl="6" w:tentative="0">
      <w:start w:val="1"/>
      <w:numFmt w:val="decimal"/>
      <w:lvlText w:val="%7."/>
      <w:lvlJc w:val="left"/>
      <w:pPr>
        <w:tabs>
          <w:tab w:val="left" w:pos="0"/>
        </w:tabs>
        <w:ind w:left="3360" w:hanging="420"/>
      </w:pPr>
    </w:lvl>
    <w:lvl w:ilvl="7" w:tentative="0">
      <w:start w:val="1"/>
      <w:numFmt w:val="lowerLetter"/>
      <w:lvlText w:val="%8)"/>
      <w:lvlJc w:val="left"/>
      <w:pPr>
        <w:tabs>
          <w:tab w:val="left" w:pos="0"/>
        </w:tabs>
        <w:ind w:left="3780" w:hanging="420"/>
      </w:pPr>
    </w:lvl>
    <w:lvl w:ilvl="8" w:tentative="0">
      <w:start w:val="1"/>
      <w:numFmt w:val="lowerRoman"/>
      <w:lvlText w:val="%9."/>
      <w:lvlJc w:val="right"/>
      <w:pPr>
        <w:tabs>
          <w:tab w:val="left" w:pos="0"/>
        </w:tabs>
        <w:ind w:left="420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420"/>
  <w:autoHyphenation/>
  <w:hyphenationZone w:val="0"/>
  <w:compat>
    <w:doNotExpandShiftReturn/>
    <w:adjustLineHeightInTable/>
    <w:doNotBreakWrappedTables/>
    <w:useFELayout/>
    <w:compatSetting w:name="compatibilityMode" w:uri="http://schemas.microsoft.com/office/word" w:val="11"/>
  </w:compat>
  <w:rsids>
    <w:rsidRoot w:val="00000000"/>
    <w:rsid w:val="7DA28C82"/>
    <w:rsid w:val="B3DF6E07"/>
    <w:rsid w:val="F2FF907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Source Han Serif CN" w:cs="Noto Sans Devanaga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jc w:val="both"/>
    </w:pPr>
    <w:rPr>
      <w:rFonts w:ascii="Times New Roman" w:hAnsi="Times New Roman" w:eastAsia="宋体" w:cs="Times New Roman"/>
      <w:color w:val="auto"/>
      <w:kern w:val="2"/>
      <w:sz w:val="21"/>
      <w:szCs w:val="24"/>
      <w:lang w:val="en-US" w:eastAsia="zh-CN" w:bidi="ar-SA"/>
    </w:rPr>
  </w:style>
  <w:style w:type="paragraph" w:styleId="2">
    <w:name w:val="heading 3"/>
    <w:basedOn w:val="1"/>
    <w:next w:val="3"/>
    <w:qFormat/>
    <w:uiPriority w:val="0"/>
    <w:pPr>
      <w:widowControl/>
      <w:numPr>
        <w:ilvl w:val="2"/>
        <w:numId w:val="1"/>
      </w:numPr>
      <w:spacing w:before="100" w:after="100"/>
      <w:jc w:val="left"/>
      <w:outlineLvl w:val="2"/>
    </w:pPr>
    <w:rPr>
      <w:rFonts w:ascii="宋体" w:hAnsi="宋体" w:cs="宋体"/>
      <w:b/>
      <w:bCs/>
      <w:kern w:val="0"/>
      <w:sz w:val="27"/>
      <w:szCs w:val="27"/>
    </w:rPr>
  </w:style>
  <w:style w:type="character" w:default="1" w:styleId="10">
    <w:name w:val="Default Paragraph Font"/>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3">
    <w:name w:val="Body Text"/>
    <w:basedOn w:val="1"/>
    <w:uiPriority w:val="0"/>
    <w:pPr>
      <w:spacing w:line="400" w:lineRule="exact"/>
      <w:jc w:val="center"/>
    </w:pPr>
    <w:rPr>
      <w:rFonts w:ascii="宋体" w:hAnsi="宋体"/>
      <w:sz w:val="24"/>
    </w:rPr>
  </w:style>
  <w:style w:type="paragraph" w:styleId="4">
    <w:name w:val="caption"/>
    <w:basedOn w:val="1"/>
    <w:qFormat/>
    <w:uiPriority w:val="0"/>
    <w:pPr>
      <w:suppressLineNumbers/>
      <w:spacing w:before="120" w:after="120"/>
    </w:pPr>
    <w:rPr>
      <w:rFonts w:cs="Noto Sans Devanagari"/>
      <w:i/>
      <w:iCs/>
      <w:sz w:val="24"/>
      <w:szCs w:val="24"/>
    </w:rPr>
  </w:style>
  <w:style w:type="paragraph" w:styleId="5">
    <w:name w:val="footer"/>
    <w:basedOn w:val="1"/>
    <w:uiPriority w:val="0"/>
    <w:pPr>
      <w:tabs>
        <w:tab w:val="center" w:pos="4153"/>
        <w:tab w:val="right" w:pos="8306"/>
      </w:tabs>
      <w:snapToGrid w:val="0"/>
      <w:jc w:val="left"/>
    </w:pPr>
    <w:rPr>
      <w:sz w:val="18"/>
      <w:szCs w:val="20"/>
    </w:rPr>
  </w:style>
  <w:style w:type="paragraph" w:styleId="6">
    <w:name w:val="header"/>
    <w:basedOn w:val="1"/>
    <w:uiPriority w:val="0"/>
    <w:pPr>
      <w:pBdr>
        <w:bottom w:val="single" w:color="000000" w:sz="6" w:space="1"/>
      </w:pBdr>
      <w:tabs>
        <w:tab w:val="center" w:pos="4153"/>
        <w:tab w:val="right" w:pos="8306"/>
      </w:tabs>
      <w:snapToGrid w:val="0"/>
      <w:jc w:val="center"/>
    </w:pPr>
    <w:rPr>
      <w:sz w:val="18"/>
      <w:szCs w:val="18"/>
    </w:rPr>
  </w:style>
  <w:style w:type="paragraph" w:styleId="7">
    <w:name w:val="List"/>
    <w:basedOn w:val="3"/>
    <w:uiPriority w:val="0"/>
    <w:rPr>
      <w:rFonts w:cs="Noto Sans Devanagari"/>
    </w:rPr>
  </w:style>
  <w:style w:type="paragraph" w:styleId="8">
    <w:name w:val="Normal (Web)"/>
    <w:basedOn w:val="1"/>
    <w:qFormat/>
    <w:uiPriority w:val="0"/>
    <w:pPr>
      <w:widowControl/>
      <w:spacing w:before="100" w:after="100"/>
      <w:jc w:val="left"/>
    </w:pPr>
    <w:rPr>
      <w:rFonts w:ascii="宋体" w:hAnsi="宋体" w:cs="宋体"/>
      <w:kern w:val="0"/>
      <w:sz w:val="24"/>
    </w:rPr>
  </w:style>
  <w:style w:type="character" w:styleId="11">
    <w:name w:val="Strong"/>
    <w:qFormat/>
    <w:uiPriority w:val="0"/>
    <w:rPr>
      <w:b/>
      <w:bCs/>
    </w:rPr>
  </w:style>
  <w:style w:type="character" w:styleId="12">
    <w:name w:val="page number"/>
    <w:basedOn w:val="10"/>
    <w:uiPriority w:val="0"/>
  </w:style>
  <w:style w:type="character" w:styleId="13">
    <w:name w:val="Hyperlink"/>
    <w:uiPriority w:val="0"/>
    <w:rPr>
      <w:color w:val="0000FF"/>
      <w:u w:val="single"/>
    </w:rPr>
  </w:style>
  <w:style w:type="character" w:customStyle="1" w:styleId="14">
    <w:name w:val="WW8Num1z0"/>
    <w:qFormat/>
    <w:uiPriority w:val="0"/>
    <w:rPr>
      <w:rFonts w:hint="eastAsia"/>
    </w:rPr>
  </w:style>
  <w:style w:type="character" w:customStyle="1" w:styleId="15">
    <w:name w:val="WW8Num2z0"/>
    <w:qFormat/>
    <w:uiPriority w:val="0"/>
    <w:rPr>
      <w:rFonts w:hint="eastAsia"/>
    </w:rPr>
  </w:style>
  <w:style w:type="character" w:customStyle="1" w:styleId="16">
    <w:name w:val="Heading 3 Char"/>
    <w:qFormat/>
    <w:uiPriority w:val="0"/>
    <w:rPr>
      <w:rFonts w:ascii="宋体" w:hAnsi="宋体" w:cs="宋体"/>
      <w:b/>
      <w:bCs/>
      <w:sz w:val="27"/>
      <w:szCs w:val="27"/>
    </w:rPr>
  </w:style>
  <w:style w:type="character" w:customStyle="1" w:styleId="17">
    <w:name w:val="Comment Reference"/>
    <w:qFormat/>
    <w:uiPriority w:val="0"/>
    <w:rPr>
      <w:sz w:val="16"/>
      <w:szCs w:val="16"/>
    </w:rPr>
  </w:style>
  <w:style w:type="character" w:customStyle="1" w:styleId="18">
    <w:name w:val="Comment Text Char"/>
    <w:qFormat/>
    <w:uiPriority w:val="0"/>
    <w:rPr>
      <w:kern w:val="2"/>
    </w:rPr>
  </w:style>
  <w:style w:type="character" w:customStyle="1" w:styleId="19">
    <w:name w:val="Comment Subject Char"/>
    <w:qFormat/>
    <w:uiPriority w:val="0"/>
    <w:rPr>
      <w:b/>
      <w:bCs/>
      <w:kern w:val="2"/>
    </w:rPr>
  </w:style>
  <w:style w:type="character" w:customStyle="1" w:styleId="20">
    <w:name w:val="Header Char"/>
    <w:qFormat/>
    <w:uiPriority w:val="0"/>
    <w:rPr>
      <w:kern w:val="2"/>
      <w:sz w:val="18"/>
      <w:szCs w:val="18"/>
    </w:rPr>
  </w:style>
  <w:style w:type="paragraph" w:customStyle="1" w:styleId="21">
    <w:name w:val="Heading"/>
    <w:basedOn w:val="1"/>
    <w:next w:val="3"/>
    <w:qFormat/>
    <w:uiPriority w:val="0"/>
    <w:pPr>
      <w:keepNext/>
      <w:spacing w:before="240" w:after="120"/>
    </w:pPr>
    <w:rPr>
      <w:rFonts w:ascii="Liberation Sans" w:hAnsi="Liberation Sans" w:eastAsia="Source Han Sans CN" w:cs="Noto Sans Devanagari"/>
      <w:sz w:val="28"/>
      <w:szCs w:val="28"/>
    </w:rPr>
  </w:style>
  <w:style w:type="paragraph" w:customStyle="1" w:styleId="22">
    <w:name w:val="Index"/>
    <w:basedOn w:val="1"/>
    <w:qFormat/>
    <w:uiPriority w:val="0"/>
    <w:pPr>
      <w:suppressLineNumbers/>
    </w:pPr>
    <w:rPr>
      <w:rFonts w:cs="Noto Sans Devanagari"/>
    </w:rPr>
  </w:style>
  <w:style w:type="paragraph" w:customStyle="1" w:styleId="23">
    <w:name w:val="Comment Text"/>
    <w:basedOn w:val="1"/>
    <w:qFormat/>
    <w:uiPriority w:val="0"/>
    <w:rPr>
      <w:sz w:val="20"/>
      <w:szCs w:val="20"/>
    </w:rPr>
  </w:style>
  <w:style w:type="paragraph" w:customStyle="1" w:styleId="24">
    <w:name w:val="Comment Subject"/>
    <w:basedOn w:val="23"/>
    <w:next w:val="23"/>
    <w:qFormat/>
    <w:uiPriority w:val="0"/>
    <w:rPr>
      <w:b/>
      <w:bCs/>
    </w:rPr>
  </w:style>
  <w:style w:type="paragraph" w:customStyle="1" w:styleId="25">
    <w:name w:val="Header and Footer"/>
    <w:basedOn w:val="1"/>
    <w:qFormat/>
    <w:uiPriority w:val="0"/>
    <w:pPr>
      <w:suppressLineNumbers/>
      <w:tabs>
        <w:tab w:val="center" w:pos="4819"/>
        <w:tab w:val="right" w:pos="9638"/>
      </w:tabs>
    </w:pPr>
  </w:style>
  <w:style w:type="paragraph" w:customStyle="1" w:styleId="26">
    <w:name w:val="Revision"/>
    <w:qFormat/>
    <w:uiPriority w:val="0"/>
    <w:pPr>
      <w:widowControl/>
      <w:suppressAutoHyphens/>
      <w:bidi w:val="0"/>
    </w:pPr>
    <w:rPr>
      <w:rFonts w:ascii="Times New Roman" w:hAnsi="Times New Roman" w:eastAsia="宋体" w:cs="Times New Roman"/>
      <w:color w:val="auto"/>
      <w:kern w:val="2"/>
      <w:sz w:val="21"/>
      <w:szCs w:val="24"/>
      <w:lang w:val="en-US" w:eastAsia="zh-CN" w:bidi="ar-SA"/>
    </w:rPr>
  </w:style>
  <w:style w:type="paragraph" w:customStyle="1" w:styleId="27">
    <w:name w:val="Table Contents"/>
    <w:basedOn w:val="1"/>
    <w:qFormat/>
    <w:uiPriority w:val="0"/>
    <w:pPr>
      <w:widowControl w:val="0"/>
      <w:suppressLineNumbers/>
    </w:pPr>
  </w:style>
  <w:style w:type="paragraph" w:customStyle="1" w:styleId="28">
    <w:name w:val="Table Heading"/>
    <w:basedOn w:val="27"/>
    <w:qFormat/>
    <w:uiPriority w:val="0"/>
    <w:pPr>
      <w:suppressLineNumbers/>
      <w:jc w:val="center"/>
    </w:pPr>
    <w:rPr>
      <w:b/>
      <w:bCs/>
    </w:rPr>
  </w:style>
  <w:style w:type="paragraph" w:customStyle="1" w:styleId="29">
    <w:name w:val="Frame Contents"/>
    <w:basedOn w:val="1"/>
    <w:qFormat/>
    <w:uiPriority w:val="0"/>
  </w:style>
</w:styles>
</file>

<file path=word/_rels/document.xml.rels><?xml version="1.0" encoding="UTF-8"?><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21" Type="http://schemas.openxmlformats.org/officeDocument/2006/relationships/image" Target="media/stack-layout.png"/><Relationship Id="rId22" Type="http://schemas.openxmlformats.org/officeDocument/2006/relationships/image" Target="media/defense-matrix.png"/><Relationship Id="rId23" Type="http://schemas.openxmlformats.org/officeDocument/2006/relationships/image" Target="media/pipeline.png"/><Relationship Id="rId24" Type="http://schemas.openxmlformats.org/officeDocument/2006/relationships/image" Target="media/architecture.png"/><Relationship Id="rId25" Type="http://schemas.openxmlformats.org/officeDocument/2006/relationships/image" Target="media/oracle-flow.png"/><Relationship Id="rId26" Type="http://schemas.openxmlformats.org/officeDocument/2006/relationships/image" Target="media/main-loop.png"/><Relationship Id="rId27" Type="http://schemas.openxmlformats.org/officeDocument/2006/relationships/image" Target="media/fortify-path.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TotalTime>2</TotalTime>
  <ScaleCrop>false</ScaleCrop>
  <LinksUpToDate>false</LinksUpToDate>
  <Application>WPS Office_12.1.2.25882_F1E327BC-269C-435d-A152-05C5408002CA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2024-03-25T13:53:00Z</dcterms:created>
  <dc:creator>曹蕾</dc:creator>
  <cp:lastModifiedBy>yall</cp:lastModifiedBy>
  <dcterms:modified xsi:type="dcterms:W3CDTF">2026-05-09T22:25:40Z</dcterms:modified>
  <dc:title>学号：</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15D241725E95EA7AD2AFFD691A47C2CC_42</vt:lpwstr>
  </property>
  <property fmtid="{D5CDD505-2E9C-101B-9397-08002B2CF9AE}" pid="3" name="KSOProductBuildVer">
    <vt:lpwstr>2052-12.1.2.25882</vt:lpwstr>
  </property>
</Properties>
</file>