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png" ContentType="image/png"/>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6A5E6">
      <w:pPr>
        <w:jc w:val="right"/>
        <w:rPr>
          <w:rFonts w:hint="eastAsia" w:ascii="宋体" w:hAnsi="宋体"/>
        </w:rPr>
      </w:pPr>
      <w:r>
        <w:rPr>
          <w:rFonts w:hint="eastAsia" w:ascii="宋体" w:hAnsi="宋体"/>
        </w:rPr>
        <w:t>学号：</w:t>
      </w:r>
      <w:r>
        <w:rPr>
          <w:rFonts w:hint="eastAsia" w:ascii="宋体" w:hAnsi="宋体"/>
          <w:u w:val="single"/>
        </w:rPr>
        <w:tab/>
      </w:r>
      <w:r>
        <w:rPr>
          <w:rFonts w:hint="eastAsia" w:ascii="宋体" w:hAnsi="宋体"/>
          <w:u w:val="single"/>
          <w:lang w:val="en-US" w:eastAsia="zh-CN"/>
        </w:rPr>
        <w:t>245569</w:t>
      </w:r>
      <w:r>
        <w:rPr>
          <w:rFonts w:hint="eastAsia" w:ascii="宋体" w:hAnsi="宋体"/>
          <w:u w:val="single"/>
        </w:rPr>
        <w:tab/>
      </w:r>
    </w:p>
    <w:p w14:paraId="56655804">
      <w:pPr>
        <w:rPr>
          <w:rFonts w:hint="eastAsia" w:ascii="宋体" w:hAnsi="宋体"/>
        </w:rPr>
      </w:pPr>
    </w:p>
    <w:p w14:paraId="51E63CCF">
      <w:pPr>
        <w:rPr>
          <w:rFonts w:hint="eastAsia" w:ascii="宋体" w:hAnsi="宋体"/>
        </w:rPr>
      </w:pPr>
    </w:p>
    <w:p w14:paraId="1F84F0FF">
      <w:pPr>
        <w:spacing w:line="360" w:lineRule="auto"/>
        <w:jc w:val="center"/>
        <w:rPr>
          <w:rFonts w:hint="eastAsia" w:ascii="宋体" w:hAnsi="宋体"/>
          <w:b/>
          <w:sz w:val="44"/>
          <w:szCs w:val="44"/>
        </w:rPr>
      </w:pPr>
    </w:p>
    <w:p w14:paraId="4D90CA59">
      <w:pPr>
        <w:spacing w:line="360" w:lineRule="auto"/>
        <w:jc w:val="center"/>
        <w:rPr>
          <w:rFonts w:hint="eastAsia" w:ascii="方正小标宋简体;汉仪书宋二KW" w:hAnsi="方正小标宋简体;汉仪书宋二KW" w:eastAsia="方正小标宋简体;汉仪书宋二KW"/>
          <w:b/>
          <w:sz w:val="44"/>
        </w:rPr>
      </w:pPr>
      <w:r>
        <w:rPr>
          <w:rFonts w:hint="eastAsia" w:ascii="宋体" w:hAnsi="宋体"/>
          <w:b/>
          <w:sz w:val="44"/>
          <w:szCs w:val="44"/>
        </w:rPr>
        <w:t>东南大学</w:t>
      </w:r>
      <w:r>
        <w:rPr>
          <w:rFonts w:hint="eastAsia" w:ascii="方正小标宋简体;汉仪书宋二KW" w:hAnsi="方正小标宋简体;汉仪书宋二KW" w:eastAsia="方正小标宋简体;汉仪书宋二KW"/>
          <w:b/>
          <w:sz w:val="44"/>
        </w:rPr>
        <w:t>专业学位型研究生</w:t>
      </w:r>
    </w:p>
    <w:p w14:paraId="62018040">
      <w:pPr>
        <w:snapToGrid w:val="0"/>
        <w:spacing w:line="360" w:lineRule="auto"/>
        <w:jc w:val="center"/>
        <w:rPr>
          <w:rFonts w:hint="eastAsia" w:ascii="宋体" w:hAnsi="宋体"/>
          <w:b/>
        </w:rPr>
      </w:pPr>
      <w:r>
        <w:rPr>
          <w:rFonts w:hint="eastAsia" w:ascii="方正小标宋简体;汉仪书宋二KW" w:hAnsi="方正小标宋简体;汉仪书宋二KW" w:eastAsia="方正小标宋简体;汉仪书宋二KW"/>
          <w:b/>
          <w:sz w:val="44"/>
        </w:rPr>
        <w:t>学位论文开题报告及论文实施计划</w:t>
      </w:r>
    </w:p>
    <w:p w14:paraId="51777AFB">
      <w:pPr>
        <w:rPr>
          <w:rFonts w:hint="eastAsia" w:ascii="宋体" w:hAnsi="宋体"/>
          <w:b/>
        </w:rPr>
      </w:pPr>
    </w:p>
    <w:p w14:paraId="6CED3FB6">
      <w:pPr>
        <w:rPr>
          <w:rFonts w:hint="eastAsia" w:ascii="宋体" w:hAnsi="宋体"/>
        </w:rPr>
      </w:pPr>
    </w:p>
    <w:p w14:paraId="119B77C9">
      <w:pPr>
        <w:snapToGrid w:val="0"/>
        <w:spacing w:line="500" w:lineRule="exact"/>
        <w:ind w:left="2700" w:right="0"/>
        <w:rPr>
          <w:rFonts w:hint="eastAsia" w:ascii="宋体" w:hAnsi="宋体"/>
          <w:sz w:val="28"/>
        </w:rPr>
      </w:pPr>
      <w:r>
        <w:rPr>
          <w:rFonts w:hint="eastAsia" w:ascii="宋体" w:hAnsi="宋体"/>
          <w:sz w:val="28"/>
        </w:rPr>
        <w:t xml:space="preserve">院（系、所）  </w:t>
      </w:r>
      <w:r>
        <w:rPr>
          <w:rFonts w:ascii="宋体" w:hAnsi="宋体"/>
          <w:sz w:val="28"/>
        </w:rPr>
        <w:t xml:space="preserve">  </w:t>
      </w:r>
      <w:r>
        <w:rPr>
          <w:rFonts w:hint="eastAsia" w:ascii="宋体" w:hAnsi="宋体"/>
          <w:sz w:val="28"/>
          <w:u w:val="single"/>
        </w:rPr>
        <w:tab/>
      </w:r>
      <w:r>
        <w:rPr>
          <w:rFonts w:ascii="宋体" w:hAnsi="宋体"/>
          <w:sz w:val="28"/>
          <w:u w:val="single"/>
        </w:rPr>
        <w:t xml:space="preserve">  </w:t>
      </w:r>
      <w:r>
        <w:rPr>
          <w:rFonts w:hint="eastAsia" w:ascii="宋体" w:hAnsi="宋体"/>
          <w:spacing w:val="40"/>
          <w:kern w:val="2"/>
          <w:sz w:val="28"/>
          <w:u w:val="single"/>
        </w:rPr>
        <w:t>网络空间安全学院</w:t>
      </w:r>
      <w:r>
        <w:rPr>
          <w:rFonts w:hint="eastAsia" w:ascii="宋体" w:hAnsi="宋体"/>
          <w:sz w:val="28"/>
          <w:u w:val="single"/>
        </w:rPr>
        <w:tab/>
      </w:r>
    </w:p>
    <w:p w14:paraId="6C941772">
      <w:pPr>
        <w:snapToGrid w:val="0"/>
        <w:spacing w:line="500" w:lineRule="exact"/>
        <w:ind w:left="2700" w:right="0"/>
        <w:rPr>
          <w:rFonts w:hint="eastAsia" w:ascii="宋体" w:hAnsi="宋体"/>
          <w:sz w:val="28"/>
        </w:rPr>
      </w:pPr>
    </w:p>
    <w:p w14:paraId="17001A80">
      <w:pPr>
        <w:snapToGrid w:val="0"/>
        <w:spacing w:line="500" w:lineRule="exact"/>
        <w:ind w:left="2700" w:right="0"/>
        <w:rPr>
          <w:rFonts w:hint="eastAsia" w:ascii="宋体" w:hAnsi="宋体"/>
          <w:kern w:val="2"/>
          <w:sz w:val="28"/>
        </w:rPr>
      </w:pPr>
      <w:r>
        <w:rPr>
          <w:rFonts w:hint="eastAsia" w:ascii="宋体" w:hAnsi="宋体"/>
          <w:spacing w:val="40"/>
          <w:kern w:val="2"/>
          <w:sz w:val="28"/>
        </w:rPr>
        <w:t xml:space="preserve">学位类别  </w:t>
      </w:r>
      <w:r>
        <w:rPr>
          <w:rFonts w:hint="eastAsia" w:ascii="宋体" w:hAnsi="宋体"/>
          <w:kern w:val="2"/>
          <w:sz w:val="28"/>
        </w:rPr>
        <w:t xml:space="preserve"> </w:t>
      </w:r>
      <w:r>
        <w:rPr>
          <w:rFonts w:ascii="宋体" w:hAnsi="宋体"/>
          <w:kern w:val="2"/>
          <w:sz w:val="28"/>
        </w:rPr>
        <w:t xml:space="preserve"> </w:t>
      </w:r>
      <w:r>
        <w:rPr>
          <w:rFonts w:hint="eastAsia" w:ascii="宋体" w:hAnsi="宋体"/>
          <w:kern w:val="2"/>
          <w:sz w:val="28"/>
          <w:lang w:val="en-US" w:eastAsia="zh-CN"/>
        </w:rPr>
        <w:t xml:space="preserve">  </w:t>
      </w:r>
      <w:r>
        <w:rPr>
          <w:rFonts w:hint="eastAsia" w:ascii="宋体" w:hAnsi="宋体"/>
          <w:spacing w:val="40"/>
          <w:kern w:val="2"/>
          <w:sz w:val="28"/>
          <w:u w:val="single"/>
        </w:rPr>
        <w:tab/>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专业硕士</w:t>
      </w:r>
      <w:r>
        <w:rPr>
          <w:rFonts w:hint="eastAsia" w:ascii="宋体" w:hAnsi="宋体"/>
          <w:spacing w:val="40"/>
          <w:kern w:val="2"/>
          <w:sz w:val="28"/>
          <w:u w:val="single"/>
        </w:rPr>
        <w:tab/>
        <w:tab/>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 xml:space="preserve"> </w:t>
      </w:r>
      <w:r>
        <w:rPr>
          <w:rFonts w:ascii="宋体" w:hAnsi="宋体"/>
          <w:spacing w:val="40"/>
          <w:kern w:val="2"/>
          <w:sz w:val="28"/>
          <w:u w:val="single"/>
        </w:rPr>
        <w:t xml:space="preserve"> </w:t>
      </w:r>
      <w:r>
        <w:rPr>
          <w:rFonts w:hint="eastAsia" w:ascii="宋体" w:hAnsi="宋体"/>
          <w:spacing w:val="40"/>
          <w:kern w:val="2"/>
          <w:sz w:val="28"/>
          <w:u w:val="single"/>
        </w:rPr>
        <w:t xml:space="preserve"> </w:t>
      </w:r>
      <w:r>
        <w:rPr>
          <w:rFonts w:ascii="宋体" w:hAnsi="宋体"/>
          <w:sz w:val="28"/>
          <w:u w:val="single"/>
        </w:rPr>
        <w:t xml:space="preserve">   </w:t>
      </w:r>
      <w:r>
        <w:rPr>
          <w:rFonts w:ascii="宋体" w:hAnsi="宋体"/>
          <w:kern w:val="2"/>
          <w:sz w:val="28"/>
        </w:rPr>
        <w:t xml:space="preserve"> </w:t>
      </w:r>
    </w:p>
    <w:p w14:paraId="16DB093B">
      <w:pPr>
        <w:snapToGrid w:val="0"/>
        <w:spacing w:line="500" w:lineRule="exact"/>
        <w:ind w:left="2700" w:right="0"/>
        <w:rPr>
          <w:rFonts w:hint="eastAsia" w:ascii="宋体" w:hAnsi="宋体"/>
          <w:kern w:val="2"/>
          <w:sz w:val="28"/>
        </w:rPr>
      </w:pPr>
    </w:p>
    <w:p w14:paraId="0B6353B8">
      <w:pPr>
        <w:snapToGrid w:val="0"/>
        <w:spacing w:line="500" w:lineRule="exact"/>
        <w:ind w:left="2700" w:right="0"/>
        <w:rPr>
          <w:rFonts w:hint="eastAsia" w:ascii="宋体" w:hAnsi="宋体"/>
          <w:spacing w:val="40"/>
          <w:kern w:val="2"/>
          <w:sz w:val="28"/>
        </w:rPr>
      </w:pPr>
      <w:r>
        <w:rPr>
          <w:rFonts w:hint="eastAsia" w:ascii="宋体" w:hAnsi="宋体"/>
          <w:spacing w:val="40"/>
          <w:kern w:val="2"/>
          <w:sz w:val="28"/>
        </w:rPr>
        <w:t xml:space="preserve">专业领域  </w:t>
      </w:r>
      <w:r>
        <w:rPr>
          <w:rFonts w:ascii="宋体" w:hAnsi="宋体"/>
          <w:spacing w:val="40"/>
          <w:kern w:val="2"/>
          <w:sz w:val="28"/>
        </w:rPr>
        <w:t xml:space="preserve"> </w:t>
      </w:r>
      <w:r>
        <w:rPr>
          <w:rFonts w:hint="eastAsia" w:ascii="宋体" w:hAnsi="宋体"/>
          <w:spacing w:val="40"/>
          <w:kern w:val="2"/>
          <w:sz w:val="28"/>
          <w:lang w:val="en-US" w:eastAsia="zh-CN"/>
        </w:rPr>
        <w:t xml:space="preserve">  </w:t>
      </w:r>
      <w:r>
        <w:rPr>
          <w:rFonts w:ascii="宋体" w:hAnsi="宋体"/>
          <w:spacing w:val="40"/>
          <w:kern w:val="2"/>
          <w:sz w:val="28"/>
          <w:u w:val="single"/>
        </w:rPr>
        <w:t xml:space="preserve">  </w:t>
      </w:r>
      <w:r>
        <w:rPr>
          <w:rFonts w:hint="eastAsia" w:ascii="宋体" w:hAnsi="宋体"/>
          <w:spacing w:val="40"/>
          <w:kern w:val="2"/>
          <w:sz w:val="28"/>
          <w:u w:val="single"/>
        </w:rPr>
        <w:tab/>
        <w:tab/>
        <w:t>电子信息</w:t>
        <w:tab/>
        <w:tab/>
      </w:r>
    </w:p>
    <w:p w14:paraId="58C4EE11">
      <w:pPr>
        <w:snapToGrid w:val="0"/>
        <w:spacing w:line="500" w:lineRule="exact"/>
        <w:ind w:left="2700" w:right="0"/>
        <w:rPr>
          <w:rFonts w:hint="eastAsia" w:ascii="宋体" w:hAnsi="宋体"/>
          <w:spacing w:val="40"/>
          <w:kern w:val="2"/>
          <w:sz w:val="28"/>
        </w:rPr>
      </w:pPr>
    </w:p>
    <w:p w14:paraId="22206923">
      <w:pPr>
        <w:snapToGrid w:val="0"/>
        <w:spacing w:line="500" w:lineRule="exact"/>
        <w:ind w:left="2700" w:right="0"/>
        <w:rPr>
          <w:rFonts w:hint="eastAsia" w:ascii="宋体" w:hAnsi="宋体"/>
          <w:sz w:val="28"/>
        </w:rPr>
      </w:pPr>
      <w:r>
        <w:rPr>
          <w:rFonts w:hint="eastAsia" w:ascii="宋体" w:hAnsi="宋体"/>
          <w:sz w:val="28"/>
        </w:rPr>
        <w:t xml:space="preserve">研究生姓名  </w:t>
      </w:r>
      <w:r>
        <w:rPr>
          <w:rFonts w:ascii="宋体" w:hAnsi="宋体"/>
          <w:sz w:val="28"/>
        </w:rPr>
        <w:t xml:space="preserve">    </w:t>
      </w:r>
      <w:r>
        <w:rPr>
          <w:rFonts w:ascii="宋体" w:hAnsi="宋体"/>
          <w:spacing w:val="40"/>
          <w:kern w:val="2"/>
          <w:sz w:val="28"/>
          <w:u w:val="single"/>
        </w:rPr>
        <w:t xml:space="preserve">  </w:t>
      </w:r>
      <w:r>
        <w:rPr>
          <w:rFonts w:hint="eastAsia" w:ascii="宋体" w:hAnsi="宋体"/>
          <w:spacing w:val="40"/>
          <w:kern w:val="2"/>
          <w:sz w:val="28"/>
          <w:u w:val="single"/>
        </w:rPr>
        <w:tab/>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张景耀</w:t>
      </w:r>
      <w:r>
        <w:rPr>
          <w:rFonts w:hint="eastAsia" w:ascii="宋体" w:hAnsi="宋体"/>
          <w:spacing w:val="40"/>
          <w:kern w:val="2"/>
          <w:sz w:val="28"/>
          <w:u w:val="single"/>
          <w:lang w:val="en-US" w:eastAsia="zh-CN"/>
        </w:rPr>
        <w:t xml:space="preserve">  </w:t>
      </w:r>
      <w:bookmarkStart w:id="0" w:name="_GoBack"/>
      <w:bookmarkEnd w:id="0"/>
      <w:r>
        <w:rPr>
          <w:rFonts w:hint="eastAsia" w:ascii="宋体" w:hAnsi="宋体"/>
          <w:spacing w:val="40"/>
          <w:kern w:val="2"/>
          <w:sz w:val="28"/>
          <w:u w:val="single"/>
        </w:rPr>
        <w:tab/>
        <w:tab/>
      </w:r>
      <w:r>
        <w:rPr>
          <w:rFonts w:ascii="宋体" w:hAnsi="宋体"/>
          <w:spacing w:val="40"/>
          <w:kern w:val="2"/>
          <w:sz w:val="28"/>
          <w:u w:val="single"/>
        </w:rPr>
        <w:t xml:space="preserve"> </w:t>
      </w:r>
    </w:p>
    <w:p w14:paraId="18DD47AD">
      <w:pPr>
        <w:snapToGrid w:val="0"/>
        <w:spacing w:line="500" w:lineRule="exact"/>
        <w:ind w:left="2700" w:right="0"/>
        <w:rPr>
          <w:rFonts w:hint="eastAsia" w:ascii="宋体" w:hAnsi="宋体"/>
          <w:sz w:val="28"/>
        </w:rPr>
      </w:pPr>
    </w:p>
    <w:p w14:paraId="56FCA759">
      <w:pPr>
        <w:snapToGrid w:val="0"/>
        <w:spacing w:line="500" w:lineRule="exact"/>
        <w:ind w:left="2700" w:right="0"/>
        <w:rPr>
          <w:rFonts w:hint="eastAsia" w:ascii="宋体" w:hAnsi="宋体"/>
          <w:sz w:val="28"/>
        </w:rPr>
      </w:pPr>
      <w:r>
        <w:rPr>
          <w:rFonts w:hint="eastAsia" w:ascii="宋体" w:hAnsi="宋体"/>
          <w:sz w:val="28"/>
        </w:rPr>
        <w:t>指导教师（校内）</w:t>
      </w:r>
      <w:r>
        <w:rPr>
          <w:rFonts w:ascii="宋体" w:hAnsi="宋体"/>
          <w:spacing w:val="40"/>
          <w:kern w:val="2"/>
          <w:sz w:val="28"/>
          <w:u w:val="single"/>
        </w:rPr>
        <w:t xml:space="preserve">  </w:t>
      </w:r>
      <w:r>
        <w:rPr>
          <w:rFonts w:hint="eastAsia" w:ascii="宋体" w:hAnsi="宋体"/>
          <w:spacing w:val="40"/>
          <w:kern w:val="2"/>
          <w:sz w:val="28"/>
          <w:u w:val="single"/>
        </w:rPr>
        <w:tab/>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徐坚皓</w:t>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tab/>
      </w:r>
      <w:r>
        <w:rPr>
          <w:rFonts w:ascii="宋体" w:hAnsi="宋体"/>
          <w:sz w:val="28"/>
          <w:u w:val="single"/>
        </w:rPr>
        <w:t xml:space="preserve">      </w:t>
      </w:r>
    </w:p>
    <w:p w14:paraId="512A9ED7">
      <w:pPr>
        <w:snapToGrid w:val="0"/>
        <w:spacing w:line="500" w:lineRule="exact"/>
        <w:ind w:left="2700" w:right="0"/>
        <w:rPr>
          <w:rFonts w:hint="eastAsia" w:ascii="宋体" w:hAnsi="宋体"/>
          <w:sz w:val="28"/>
        </w:rPr>
      </w:pPr>
    </w:p>
    <w:p w14:paraId="536FD972">
      <w:pPr>
        <w:snapToGrid w:val="0"/>
        <w:spacing w:line="500" w:lineRule="exact"/>
        <w:ind w:left="2700" w:right="0"/>
        <w:rPr>
          <w:rFonts w:hint="eastAsia" w:ascii="宋体" w:hAnsi="宋体"/>
          <w:sz w:val="28"/>
        </w:rPr>
      </w:pPr>
      <w:r>
        <w:rPr>
          <w:rFonts w:hint="eastAsia" w:ascii="宋体" w:hAnsi="宋体"/>
          <w:sz w:val="28"/>
        </w:rPr>
        <w:t>指导教师（校外）</w:t>
      </w:r>
      <w:r>
        <w:rPr>
          <w:rFonts w:ascii="宋体" w:hAnsi="宋体"/>
          <w:spacing w:val="40"/>
          <w:kern w:val="2"/>
          <w:sz w:val="28"/>
          <w:u w:val="single"/>
        </w:rPr>
        <w:t xml:space="preserve">  </w:t>
      </w:r>
      <w:r>
        <w:rPr>
          <w:rFonts w:hint="eastAsia" w:ascii="宋体" w:hAnsi="宋体"/>
          <w:spacing w:val="40"/>
          <w:kern w:val="2"/>
          <w:sz w:val="28"/>
          <w:u w:val="single"/>
        </w:rPr>
        <w:tab/>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无</w:t>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ascii="宋体" w:hAnsi="宋体"/>
          <w:sz w:val="28"/>
          <w:u w:val="single"/>
        </w:rPr>
        <w:t xml:space="preserve">      </w:t>
      </w:r>
    </w:p>
    <w:p w14:paraId="49AB6B4B">
      <w:pPr>
        <w:snapToGrid w:val="0"/>
        <w:spacing w:line="500" w:lineRule="exact"/>
        <w:ind w:left="2700" w:right="0"/>
        <w:rPr>
          <w:rFonts w:hint="eastAsia" w:ascii="宋体" w:hAnsi="宋体"/>
          <w:sz w:val="28"/>
        </w:rPr>
      </w:pPr>
    </w:p>
    <w:p w14:paraId="46B563EF">
      <w:pPr>
        <w:snapToGrid w:val="0"/>
        <w:spacing w:line="500" w:lineRule="exact"/>
        <w:ind w:left="2700" w:right="0"/>
        <w:rPr>
          <w:rFonts w:hint="eastAsia" w:ascii="宋体" w:hAnsi="宋体"/>
          <w:sz w:val="28"/>
        </w:rPr>
      </w:pPr>
      <w:r>
        <w:rPr>
          <w:rFonts w:hint="eastAsia" w:ascii="宋体" w:hAnsi="宋体"/>
          <w:sz w:val="28"/>
        </w:rPr>
        <w:t xml:space="preserve">开题报告日期 </w:t>
      </w:r>
      <w:r>
        <w:rPr>
          <w:rFonts w:ascii="宋体" w:hAnsi="宋体"/>
          <w:sz w:val="28"/>
        </w:rPr>
        <w:t xml:space="preserve">   </w:t>
      </w:r>
      <w:r>
        <w:rPr>
          <w:rFonts w:hint="eastAsia" w:ascii="宋体" w:hAnsi="宋体"/>
          <w:sz w:val="28"/>
          <w:u w:val="single"/>
        </w:rPr>
        <w:tab/>
        <w:tab/>
        <w:tab/>
      </w:r>
      <w:r>
        <w:rPr>
          <w:rFonts w:ascii="宋体" w:hAnsi="宋体"/>
          <w:sz w:val="28"/>
          <w:u w:val="single"/>
        </w:rPr>
        <w:t xml:space="preserve">  2026.</w:t>
      </w:r>
      <w:r>
        <w:rPr>
          <w:rFonts w:hint="eastAsia" w:ascii="宋体" w:hAnsi="宋体"/>
          <w:sz w:val="28"/>
          <w:u w:val="single"/>
          <w:lang w:val="en-US" w:eastAsia="zh-CN"/>
        </w:rPr>
        <w:t>5</w:t>
      </w:r>
      <w:r>
        <w:rPr>
          <w:rFonts w:hint="eastAsia" w:ascii="宋体" w:hAnsi="宋体"/>
          <w:sz w:val="28"/>
          <w:u w:val="single"/>
        </w:rPr>
        <w:tab/>
        <w:tab/>
      </w:r>
      <w:r>
        <w:rPr>
          <w:rFonts w:ascii="宋体" w:hAnsi="宋体"/>
          <w:sz w:val="28"/>
          <w:u w:val="single"/>
        </w:rPr>
        <w:t xml:space="preserve">  </w:t>
      </w:r>
      <w:r>
        <w:rPr>
          <w:rFonts w:hint="eastAsia" w:ascii="宋体" w:hAnsi="宋体"/>
          <w:sz w:val="28"/>
          <w:u w:val="single"/>
        </w:rPr>
        <w:tab/>
      </w:r>
    </w:p>
    <w:p w14:paraId="161BD211">
      <w:pPr>
        <w:snapToGrid w:val="0"/>
        <w:spacing w:line="500" w:lineRule="exact"/>
        <w:ind w:left="2700" w:right="0"/>
        <w:rPr>
          <w:rFonts w:hint="eastAsia" w:ascii="宋体" w:hAnsi="宋体"/>
          <w:sz w:val="28"/>
          <w:u w:val="single"/>
        </w:rPr>
      </w:pPr>
    </w:p>
    <w:p w14:paraId="7B74209F">
      <w:pPr>
        <w:snapToGrid w:val="0"/>
        <w:spacing w:line="440" w:lineRule="exact"/>
        <w:rPr>
          <w:rFonts w:hint="eastAsia" w:ascii="宋体" w:hAnsi="宋体"/>
          <w:sz w:val="28"/>
          <w:u w:val="single"/>
        </w:rPr>
      </w:pPr>
    </w:p>
    <w:p w14:paraId="55F8D551">
      <w:pPr>
        <w:snapToGrid w:val="0"/>
        <w:spacing w:line="440" w:lineRule="exact"/>
        <w:rPr>
          <w:rFonts w:hint="eastAsia" w:ascii="宋体" w:hAnsi="宋体"/>
          <w:sz w:val="28"/>
        </w:rPr>
      </w:pPr>
    </w:p>
    <w:p w14:paraId="70F6CC6C">
      <w:pPr>
        <w:snapToGrid w:val="0"/>
        <w:spacing w:line="440" w:lineRule="exact"/>
        <w:rPr>
          <w:rFonts w:hint="eastAsia" w:ascii="宋体" w:hAnsi="宋体"/>
          <w:sz w:val="28"/>
        </w:rPr>
      </w:pPr>
    </w:p>
    <w:p w14:paraId="5C143E30">
      <w:pPr>
        <w:snapToGrid w:val="0"/>
        <w:spacing w:line="440" w:lineRule="exact"/>
        <w:rPr>
          <w:rFonts w:hint="eastAsia" w:ascii="宋体" w:hAnsi="宋体"/>
          <w:sz w:val="28"/>
        </w:rPr>
      </w:pPr>
    </w:p>
    <w:p w14:paraId="0D2C91FE">
      <w:pPr>
        <w:snapToGrid w:val="0"/>
        <w:spacing w:before="360" w:after="360"/>
        <w:jc w:val="center"/>
        <w:rPr>
          <w:rFonts w:hint="eastAsia" w:ascii="宋体" w:hAnsi="宋体"/>
          <w:sz w:val="32"/>
          <w:szCs w:val="32"/>
        </w:rPr>
      </w:pPr>
      <w:r>
        <w:rPr>
          <w:rFonts w:hint="eastAsia" w:ascii="宋体" w:hAnsi="宋体"/>
          <w:sz w:val="32"/>
          <w:szCs w:val="32"/>
        </w:rPr>
        <w:t>东南大学研究生院制表</w:t>
      </w:r>
    </w:p>
    <w:p w14:paraId="6EB930FC">
      <w:pPr>
        <w:snapToGrid w:val="0"/>
        <w:spacing w:before="360" w:after="360"/>
        <w:rPr>
          <w:rFonts w:hint="eastAsia" w:ascii="宋体" w:hAnsi="宋体"/>
          <w:sz w:val="44"/>
          <w:szCs w:val="44"/>
        </w:rPr>
      </w:pPr>
    </w:p>
    <w:p w14:paraId="2CCEA5B5">
      <w:pPr>
        <w:snapToGrid w:val="0"/>
        <w:spacing w:before="360" w:after="360"/>
        <w:rPr>
          <w:rFonts w:hint="eastAsia" w:ascii="宋体" w:hAnsi="宋体"/>
          <w:sz w:val="44"/>
          <w:szCs w:val="44"/>
        </w:rPr>
      </w:pPr>
    </w:p>
    <w:p w14:paraId="6CD8B87A">
      <w:pPr>
        <w:snapToGrid w:val="0"/>
        <w:spacing w:before="360" w:after="360"/>
        <w:ind w:left="0" w:leftChars="0" w:right="0" w:rightChars="0" w:firstLineChars="800"/>
        <w:rPr>
          <w:rFonts w:hint="eastAsia" w:ascii="宋体" w:hAnsi="宋体"/>
          <w:sz w:val="44"/>
          <w:szCs w:val="44"/>
        </w:rPr>
      </w:pPr>
    </w:p>
    <w:p w14:paraId="39370FF0">
      <w:pPr>
        <w:snapToGrid w:val="0"/>
        <w:spacing w:before="360" w:after="360"/>
        <w:ind w:left="0" w:leftChars="0" w:right="0" w:rightChars="0" w:firstLineChars="800"/>
        <w:rPr>
          <w:rFonts w:hint="eastAsia" w:ascii="方正小标宋简体;汉仪书宋二KW" w:hAnsi="方正小标宋简体;汉仪书宋二KW" w:eastAsia="方正小标宋简体;汉仪书宋二KW"/>
          <w:sz w:val="44"/>
        </w:rPr>
      </w:pPr>
      <w:r>
        <w:rPr>
          <w:rFonts w:hint="eastAsia" w:ascii="宋体" w:hAnsi="宋体"/>
          <w:sz w:val="44"/>
          <w:szCs w:val="44"/>
        </w:rPr>
        <w:t>填</w:t>
      </w:r>
      <w:r>
        <w:rPr>
          <w:rFonts w:hint="eastAsia" w:ascii="方正小标宋简体;汉仪书宋二KW" w:hAnsi="方正小标宋简体;汉仪书宋二KW" w:eastAsia="方正小标宋简体;汉仪书宋二KW"/>
          <w:sz w:val="44"/>
          <w:szCs w:val="44"/>
        </w:rPr>
        <w:t xml:space="preserve"> </w:t>
      </w:r>
      <w:r>
        <w:rPr>
          <w:rFonts w:hint="eastAsia" w:ascii="方正小标宋简体;汉仪书宋二KW" w:hAnsi="方正小标宋简体;汉仪书宋二KW" w:eastAsia="方正小标宋简体;汉仪书宋二KW"/>
          <w:sz w:val="44"/>
        </w:rPr>
        <w:t>表 须 知</w:t>
      </w:r>
    </w:p>
    <w:p w14:paraId="7ACB31C4">
      <w:pPr>
        <w:numPr>
          <w:ilvl w:val="0"/>
          <w:numId w:val="2"/>
        </w:numPr>
        <w:tabs>
          <w:tab w:val="left" w:pos="780"/>
        </w:tabs>
        <w:spacing w:line="360" w:lineRule="auto"/>
        <w:rPr>
          <w:rFonts w:hint="eastAsia" w:ascii="宋体" w:hAnsi="宋体"/>
        </w:rPr>
      </w:pPr>
      <w:r>
        <w:rPr>
          <w:rFonts w:hint="eastAsia" w:ascii="宋体" w:hAnsi="宋体"/>
        </w:rPr>
        <w:t>论文开题报告由研究生本人向审议小组报告并听取意见后，由研究生本人填写此表。</w:t>
      </w:r>
    </w:p>
    <w:p w14:paraId="3EF3811E">
      <w:pPr>
        <w:numPr>
          <w:ilvl w:val="0"/>
          <w:numId w:val="2"/>
        </w:numPr>
        <w:tabs>
          <w:tab w:val="left" w:pos="780"/>
        </w:tabs>
        <w:spacing w:line="360" w:lineRule="auto"/>
        <w:rPr>
          <w:rFonts w:hint="eastAsia" w:ascii="宋体" w:hAnsi="宋体"/>
        </w:rPr>
      </w:pPr>
      <w:r>
        <w:rPr>
          <w:rFonts w:hint="eastAsia" w:ascii="宋体" w:hAnsi="宋体"/>
        </w:rPr>
        <w:t>论文开题报告填写完成后，必须经导师审批，通过后方能提交。</w:t>
      </w:r>
    </w:p>
    <w:p w14:paraId="601C9D63">
      <w:pPr>
        <w:spacing w:line="360" w:lineRule="auto"/>
        <w:ind w:leftChars="100" w:right="0" w:rightChars="0" w:firstLineChars="100"/>
        <w:rPr>
          <w:rFonts w:hint="eastAsia" w:ascii="宋体" w:hAnsi="宋体"/>
        </w:rPr>
      </w:pPr>
      <w:r>
        <w:rPr>
          <w:rFonts w:hint="eastAsia" w:ascii="宋体" w:hAnsi="宋体"/>
        </w:rPr>
        <w:t>3、博士生应在第四学期内、硕士生应在第三学期内完成此开题报告。开题报告经研究生秘书在网上审核确认（硕士生至少半年、博士生至少一年）后方可申请答辩。</w:t>
      </w:r>
    </w:p>
    <w:p w14:paraId="7B73E880">
      <w:pPr>
        <w:spacing w:line="360" w:lineRule="auto"/>
        <w:ind w:leftChars="100" w:right="0" w:rightChars="0" w:firstLineChars="100"/>
        <w:rPr>
          <w:rFonts w:hint="eastAsia" w:ascii="宋体" w:hAnsi="宋体"/>
        </w:rPr>
      </w:pPr>
      <w:r>
        <w:rPr>
          <w:rFonts w:hint="eastAsia" w:ascii="宋体" w:hAnsi="宋体"/>
        </w:rPr>
        <w:t>4、研究生开题前应填写查新报告。查新报告对专业学位博士作为必要环节。博士生查新工作可委托图书馆负责，也可在完成网络文献检索类研究生课程的学习或参加学校组织的网络文献检索培训后，自行组织查新检索，自行组织查新需要详细文献查新述评作为附件。自行查新报告须经导师审查后由开题报告审核专家组审核签字（或盖章）。硕士生开题查新参考上述办法，不作硬性要求。</w:t>
      </w:r>
    </w:p>
    <w:p w14:paraId="723B6D24">
      <w:pPr>
        <w:spacing w:line="360" w:lineRule="auto"/>
        <w:ind w:leftChars="100" w:right="0" w:rightChars="0" w:firstLineChars="100"/>
        <w:rPr>
          <w:rFonts w:hint="eastAsia" w:ascii="宋体" w:hAnsi="宋体"/>
        </w:rPr>
      </w:pPr>
      <w:r>
        <w:rPr>
          <w:rFonts w:hint="eastAsia" w:ascii="宋体" w:hAnsi="宋体"/>
        </w:rPr>
        <w:t>5、本表一式两份，一份研究生自留放入本人“研究生档案材料袋”；一份由院（系、所）保存并归入院（系、所）研究生教学档案。</w:t>
      </w:r>
    </w:p>
    <w:p w14:paraId="6FF67789">
      <w:pPr>
        <w:ind w:left="0" w:leftChars="0" w:right="0" w:rightChars="0" w:firstLineChars="200"/>
        <w:rPr>
          <w:rFonts w:hint="eastAsia"/>
          <w:b/>
          <w:bCs/>
          <w:szCs w:val="21"/>
        </w:rPr>
      </w:pPr>
      <w:r>
        <w:rPr>
          <w:rFonts w:hint="eastAsia" w:ascii="宋体" w:hAnsi="宋体"/>
        </w:rPr>
        <w:t>6、</w:t>
      </w:r>
      <w:r>
        <w:rPr>
          <w:rFonts w:hint="eastAsia"/>
          <w:bCs/>
          <w:szCs w:val="21"/>
        </w:rPr>
        <w:t>学位类别为：</w:t>
      </w:r>
      <w:r>
        <w:rPr>
          <w:rFonts w:hint="eastAsia"/>
          <w:szCs w:val="21"/>
        </w:rPr>
        <w:t>工程硕士；公共管理硕士；法律硕士（非法学）；工商管理硕士；建筑学硕士；风景园林硕士；临床医学硕士；公共卫生硕士；旅游管理硕士；会计硕士；国际商务硕士；资产评估硕士；工程管理硕士；艺术硕士；工程博士；医学博士等。</w:t>
      </w:r>
    </w:p>
    <w:p w14:paraId="7E1E7E40">
      <w:pPr>
        <w:spacing w:line="360" w:lineRule="auto"/>
        <w:ind w:leftChars="67" w:right="0" w:rightChars="0" w:firstLineChars="150"/>
        <w:rPr>
          <w:rFonts w:hint="eastAsia" w:ascii="宋体" w:hAnsi="宋体"/>
        </w:rPr>
      </w:pPr>
      <w:r>
        <w:rPr>
          <w:rFonts w:hint="eastAsia" w:ascii="宋体" w:hAnsi="宋体"/>
        </w:rPr>
        <w:t>7、本表下载区：</w:t>
      </w:r>
      <w:r>
        <w:rPr>
          <w:rFonts w:ascii="宋体" w:hAnsi="宋体"/>
        </w:rPr>
        <w:t>http://seugs.seu.edu.cn/3676/list.htm</w:t>
      </w:r>
      <w:r>
        <w:rPr>
          <w:rFonts w:hint="eastAsia" w:ascii="宋体" w:hAnsi="宋体"/>
        </w:rPr>
        <w:t xml:space="preserve"> 。本表电子文档打印时用A4纸张，格式不变，内容较多可以加页。</w:t>
      </w:r>
    </w:p>
    <w:p w14:paraId="1453F2DB">
      <w:pPr>
        <w:widowControl/>
        <w:ind w:left="0" w:leftChars="0" w:right="0" w:rightChars="0" w:firstLineChars="200"/>
        <w:jc w:val="left"/>
        <w:rPr>
          <w:rFonts w:hint="eastAsia" w:ascii="宋体" w:hAnsi="宋体"/>
        </w:rPr>
      </w:pPr>
    </w:p>
    <w:p w14:paraId="7054C627">
      <w:pPr>
        <w:widowControl/>
        <w:jc w:val="left"/>
        <w:rPr>
          <w:rFonts w:hint="eastAsia" w:ascii="宋体" w:hAnsi="宋体"/>
        </w:rPr>
      </w:pPr>
    </w:p>
    <w:p w14:paraId="331EF53B">
      <w:pPr>
        <w:spacing w:line="400" w:lineRule="exact"/>
        <w:ind w:right="0" w:firstLine="480"/>
        <w:jc w:val="center"/>
        <w:rPr>
          <w:rFonts w:hint="eastAsia" w:ascii="宋体" w:hAnsi="宋体"/>
        </w:rPr>
      </w:pPr>
    </w:p>
    <w:p w14:paraId="69D16735">
      <w:pPr>
        <w:spacing w:line="400" w:lineRule="exact"/>
        <w:ind w:right="0" w:firstLine="480"/>
        <w:jc w:val="center"/>
        <w:rPr>
          <w:rFonts w:hint="eastAsia" w:ascii="宋体" w:hAnsi="宋体"/>
        </w:rPr>
      </w:pPr>
    </w:p>
    <w:p w14:paraId="0235A66B">
      <w:pPr>
        <w:spacing w:line="400" w:lineRule="exact"/>
        <w:ind w:right="0" w:firstLine="480"/>
        <w:jc w:val="center"/>
        <w:rPr>
          <w:rFonts w:hint="eastAsia" w:ascii="宋体" w:hAnsi="宋体"/>
        </w:rPr>
      </w:pPr>
    </w:p>
    <w:p w14:paraId="03327448">
      <w:pPr>
        <w:spacing w:line="400" w:lineRule="exact"/>
        <w:ind w:right="0" w:firstLine="480"/>
        <w:jc w:val="center"/>
        <w:rPr>
          <w:rFonts w:hint="eastAsia" w:ascii="宋体" w:hAnsi="宋体"/>
        </w:rPr>
      </w:pPr>
    </w:p>
    <w:p w14:paraId="729BAD73">
      <w:pPr>
        <w:spacing w:line="400" w:lineRule="exact"/>
        <w:ind w:right="0" w:firstLine="480"/>
        <w:jc w:val="center"/>
        <w:rPr>
          <w:rFonts w:hint="eastAsia" w:ascii="宋体" w:hAnsi="宋体"/>
        </w:rPr>
      </w:pPr>
    </w:p>
    <w:p w14:paraId="287AAB46">
      <w:pPr>
        <w:spacing w:line="400" w:lineRule="exact"/>
        <w:ind w:right="0" w:firstLine="480"/>
        <w:jc w:val="center"/>
        <w:rPr>
          <w:rFonts w:hint="eastAsia" w:ascii="宋体" w:hAnsi="宋体"/>
        </w:rPr>
      </w:pPr>
    </w:p>
    <w:p w14:paraId="3CA0B9BB">
      <w:pPr>
        <w:spacing w:line="400" w:lineRule="exact"/>
        <w:ind w:right="0" w:firstLine="480"/>
        <w:jc w:val="center"/>
        <w:rPr>
          <w:rFonts w:hint="eastAsia" w:ascii="宋体" w:hAnsi="宋体"/>
        </w:rPr>
      </w:pPr>
    </w:p>
    <w:p w14:paraId="1B2D8A8A">
      <w:pPr>
        <w:spacing w:line="400" w:lineRule="exact"/>
        <w:ind w:right="0" w:firstLine="480"/>
        <w:jc w:val="center"/>
        <w:rPr>
          <w:rFonts w:hint="eastAsia" w:ascii="宋体" w:hAnsi="宋体"/>
        </w:rPr>
      </w:pPr>
    </w:p>
    <w:p w14:paraId="0B8DBB75">
      <w:pPr>
        <w:spacing w:line="400" w:lineRule="exact"/>
        <w:ind w:right="0" w:firstLine="480"/>
        <w:jc w:val="center"/>
        <w:rPr>
          <w:rFonts w:hint="eastAsia" w:ascii="宋体" w:hAnsi="宋体"/>
        </w:rPr>
      </w:pPr>
    </w:p>
    <w:p w14:paraId="6657E331">
      <w:pPr>
        <w:spacing w:line="400" w:lineRule="exact"/>
        <w:ind w:right="0" w:firstLine="480"/>
        <w:jc w:val="center"/>
        <w:rPr>
          <w:rFonts w:hint="eastAsia" w:ascii="宋体" w:hAnsi="宋体"/>
        </w:rPr>
      </w:pPr>
    </w:p>
    <w:p w14:paraId="6E4CDA78">
      <w:pPr>
        <w:spacing w:line="400" w:lineRule="exact"/>
        <w:ind w:right="0" w:firstLine="480"/>
        <w:jc w:val="center"/>
        <w:rPr>
          <w:rFonts w:hint="eastAsia" w:ascii="宋体" w:hAnsi="宋体"/>
        </w:rPr>
      </w:pPr>
    </w:p>
    <w:p w14:paraId="2C66F4DF">
      <w:pPr>
        <w:spacing w:line="400" w:lineRule="exact"/>
        <w:ind w:right="0" w:firstLine="480"/>
        <w:jc w:val="center"/>
        <w:rPr>
          <w:rFonts w:hint="eastAsia" w:ascii="宋体" w:hAnsi="宋体"/>
        </w:rPr>
      </w:pPr>
    </w:p>
    <w:p w14:paraId="2BF049E6">
      <w:pPr>
        <w:spacing w:before="0" w:after="120" w:line="400" w:lineRule="exact"/>
        <w:rPr>
          <w:rFonts w:hint="eastAsia" w:ascii="黑体" w:hAnsi="黑体" w:eastAsia="黑体"/>
          <w:sz w:val="32"/>
        </w:rPr>
      </w:pPr>
      <w:r>
        <w:rPr>
          <w:rFonts w:hint="eastAsia" w:ascii="黑体" w:hAnsi="黑体" w:eastAsia="黑体"/>
          <w:sz w:val="32"/>
        </w:rPr>
        <w:t>一、学位论文开题报告</w:t>
      </w:r>
    </w:p>
    <w:tbl>
      <w:tblPr>
        <w:tblStyle w:val="9"/>
        <w:tblW w:w="5000" w:type="pct"/>
        <w:jc w:val="center"/>
        <w:tblLayout w:type="fixed"/>
        <w:tblCellMar>
          <w:top w:w="0" w:type="dxa"/>
          <w:left w:w="56" w:type="dxa"/>
          <w:bottom w:w="0" w:type="dxa"/>
          <w:right w:w="56" w:type="dxa"/>
        </w:tblCellMar>
      </w:tblPr>
      <w:tblGrid>
        <w:gridCol w:w="1229"/>
        <w:gridCol w:w="739"/>
        <w:gridCol w:w="738"/>
        <w:gridCol w:w="556"/>
        <w:gridCol w:w="837"/>
        <w:gridCol w:w="1000"/>
        <w:gridCol w:w="646"/>
        <w:gridCol w:w="1141"/>
        <w:gridCol w:w="965"/>
        <w:gridCol w:w="1897"/>
      </w:tblGrid>
      <w:tr w14:paraId="5238A9DE">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1AD43AC0">
            <w:pPr>
              <w:spacing w:line="400" w:lineRule="exact"/>
              <w:jc w:val="center"/>
              <w:rPr>
                <w:rFonts w:hint="eastAsia" w:ascii="宋体" w:hAnsi="宋体"/>
                <w:sz w:val="24"/>
              </w:rPr>
            </w:pPr>
            <w:r>
              <w:rPr>
                <w:rFonts w:hint="eastAsia" w:ascii="宋体" w:hAnsi="宋体"/>
                <w:sz w:val="24"/>
              </w:rPr>
              <w:t>论 文                题 目</w:t>
            </w:r>
          </w:p>
        </w:tc>
        <w:tc>
          <w:tcPr>
            <w:tcW w:w="8423" w:type="dxa"/>
            <w:gridSpan w:val="9"/>
            <w:tcBorders>
              <w:top w:val="single" w:color="000000" w:sz="4" w:space="0"/>
              <w:left w:val="single" w:color="000000" w:sz="4" w:space="0"/>
              <w:bottom w:val="single" w:color="000000" w:sz="4" w:space="0"/>
              <w:right w:val="single" w:color="000000" w:sz="4" w:space="0"/>
            </w:tcBorders>
            <w:vAlign w:val="center"/>
          </w:tcPr>
          <w:p w14:paraId="244A09AA">
            <w:pPr>
              <w:spacing w:line="400" w:lineRule="exact"/>
              <w:jc w:val="center"/>
              <w:rPr>
                <w:rFonts w:hint="eastAsia" w:ascii="宋体" w:hAnsi="宋体"/>
                <w:sz w:val="24"/>
              </w:rPr>
            </w:pPr>
            <w:r>
              <w:rPr>
                <w:rFonts w:hint="eastAsia"/>
                <w:kern w:val="0"/>
                <w:sz w:val="24"/>
              </w:rPr>
              <w:t>基于 LLM 约束求解的编译器防御机制模糊测试方法研究</w:t>
            </w:r>
          </w:p>
        </w:tc>
      </w:tr>
      <w:tr w14:paraId="46B7317D">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74796932">
            <w:pPr>
              <w:spacing w:line="400" w:lineRule="exact"/>
              <w:jc w:val="center"/>
              <w:rPr>
                <w:rFonts w:hint="eastAsia" w:ascii="宋体" w:hAnsi="宋体"/>
                <w:sz w:val="24"/>
              </w:rPr>
            </w:pPr>
            <w:r>
              <w:rPr>
                <w:rFonts w:hint="eastAsia" w:ascii="宋体" w:hAnsi="宋体"/>
                <w:sz w:val="24"/>
              </w:rPr>
              <w:t>研 究</w:t>
            </w:r>
          </w:p>
          <w:p w14:paraId="4B4206C6">
            <w:pPr>
              <w:spacing w:line="400" w:lineRule="exact"/>
              <w:jc w:val="center"/>
              <w:rPr>
                <w:rFonts w:hint="eastAsia" w:ascii="宋体" w:hAnsi="宋体"/>
                <w:sz w:val="24"/>
              </w:rPr>
            </w:pPr>
            <w:r>
              <w:rPr>
                <w:rFonts w:hint="eastAsia" w:ascii="宋体" w:hAnsi="宋体"/>
                <w:sz w:val="24"/>
              </w:rPr>
              <w:t>方 向</w:t>
            </w:r>
          </w:p>
        </w:tc>
        <w:tc>
          <w:tcPr>
            <w:tcW w:w="8423" w:type="dxa"/>
            <w:gridSpan w:val="9"/>
            <w:tcBorders>
              <w:top w:val="single" w:color="000000" w:sz="4" w:space="0"/>
              <w:left w:val="single" w:color="000000" w:sz="4" w:space="0"/>
              <w:bottom w:val="single" w:color="000000" w:sz="4" w:space="0"/>
              <w:right w:val="single" w:color="000000" w:sz="4" w:space="0"/>
            </w:tcBorders>
            <w:vAlign w:val="center"/>
          </w:tcPr>
          <w:p w14:paraId="6B3BC321">
            <w:pPr>
              <w:spacing w:line="400" w:lineRule="exact"/>
              <w:jc w:val="center"/>
              <w:rPr>
                <w:rFonts w:hint="eastAsia" w:ascii="宋体" w:hAnsi="宋体"/>
                <w:sz w:val="24"/>
              </w:rPr>
            </w:pPr>
            <w:r>
              <w:rPr>
                <w:rFonts w:hint="eastAsia" w:ascii="宋体" w:hAnsi="宋体"/>
                <w:sz w:val="24"/>
              </w:rPr>
              <w:t>网络空间安全</w:t>
            </w:r>
          </w:p>
        </w:tc>
      </w:tr>
      <w:tr w14:paraId="29E88068">
        <w:tblPrEx>
          <w:tblCellMar>
            <w:top w:w="0" w:type="dxa"/>
            <w:left w:w="56" w:type="dxa"/>
            <w:bottom w:w="0" w:type="dxa"/>
            <w:right w:w="56" w:type="dxa"/>
          </w:tblCellMar>
        </w:tblPrEx>
        <w:trPr>
          <w:jc w:val="center"/>
        </w:trPr>
        <w:tc>
          <w:tcPr>
            <w:tcW w:w="1215" w:type="dxa"/>
            <w:vMerge w:val="restart"/>
            <w:tcBorders>
              <w:top w:val="single" w:color="000000" w:sz="4" w:space="0"/>
              <w:left w:val="single" w:color="000000" w:sz="4" w:space="0"/>
              <w:bottom w:val="single" w:color="000000" w:sz="4" w:space="0"/>
              <w:right w:val="single" w:color="000000" w:sz="4" w:space="0"/>
            </w:tcBorders>
            <w:vAlign w:val="center"/>
          </w:tcPr>
          <w:p w14:paraId="466FFEAF">
            <w:pPr>
              <w:spacing w:line="400" w:lineRule="exact"/>
              <w:jc w:val="center"/>
              <w:rPr>
                <w:rFonts w:hint="eastAsia" w:ascii="宋体" w:hAnsi="宋体"/>
                <w:sz w:val="24"/>
              </w:rPr>
            </w:pPr>
            <w:r>
              <w:rPr>
                <w:rFonts w:hint="eastAsia" w:ascii="宋体" w:hAnsi="宋体"/>
                <w:sz w:val="24"/>
              </w:rPr>
              <w:t>题 目    来 源</w:t>
            </w:r>
          </w:p>
        </w:tc>
        <w:tc>
          <w:tcPr>
            <w:tcW w:w="731" w:type="dxa"/>
            <w:tcBorders>
              <w:top w:val="single" w:color="000000" w:sz="4" w:space="0"/>
              <w:left w:val="single" w:color="000000" w:sz="4" w:space="0"/>
              <w:bottom w:val="single" w:color="000000" w:sz="4" w:space="0"/>
              <w:right w:val="single" w:color="000000" w:sz="4" w:space="0"/>
            </w:tcBorders>
            <w:vAlign w:val="center"/>
          </w:tcPr>
          <w:p w14:paraId="56F2421E">
            <w:pPr>
              <w:spacing w:line="400" w:lineRule="exact"/>
              <w:jc w:val="center"/>
              <w:rPr>
                <w:rFonts w:hint="eastAsia" w:ascii="宋体" w:hAnsi="宋体"/>
                <w:sz w:val="24"/>
              </w:rPr>
            </w:pPr>
            <w:r>
              <w:rPr>
                <w:rFonts w:hint="eastAsia" w:ascii="宋体" w:hAnsi="宋体"/>
                <w:sz w:val="24"/>
              </w:rPr>
              <w:t>国家</w:t>
            </w:r>
          </w:p>
        </w:tc>
        <w:tc>
          <w:tcPr>
            <w:tcW w:w="730" w:type="dxa"/>
            <w:tcBorders>
              <w:top w:val="single" w:color="000000" w:sz="4" w:space="0"/>
              <w:left w:val="single" w:color="000000" w:sz="4" w:space="0"/>
              <w:bottom w:val="single" w:color="000000" w:sz="4" w:space="0"/>
              <w:right w:val="single" w:color="000000" w:sz="4" w:space="0"/>
            </w:tcBorders>
            <w:vAlign w:val="center"/>
          </w:tcPr>
          <w:p w14:paraId="6F3E83AD">
            <w:pPr>
              <w:spacing w:line="400" w:lineRule="exact"/>
              <w:jc w:val="center"/>
              <w:rPr>
                <w:rFonts w:hint="eastAsia" w:ascii="宋体" w:hAnsi="宋体"/>
                <w:sz w:val="24"/>
              </w:rPr>
            </w:pPr>
            <w:r>
              <w:rPr>
                <w:rFonts w:hint="eastAsia" w:ascii="宋体" w:hAnsi="宋体"/>
                <w:sz w:val="24"/>
              </w:rPr>
              <w:t>部委</w:t>
            </w:r>
          </w:p>
        </w:tc>
        <w:tc>
          <w:tcPr>
            <w:tcW w:w="550" w:type="dxa"/>
            <w:tcBorders>
              <w:top w:val="single" w:color="000000" w:sz="4" w:space="0"/>
              <w:left w:val="single" w:color="000000" w:sz="4" w:space="0"/>
              <w:bottom w:val="single" w:color="000000" w:sz="4" w:space="0"/>
              <w:right w:val="single" w:color="000000" w:sz="4" w:space="0"/>
            </w:tcBorders>
            <w:vAlign w:val="center"/>
          </w:tcPr>
          <w:p w14:paraId="7BFFCC32">
            <w:pPr>
              <w:spacing w:line="400" w:lineRule="exact"/>
              <w:jc w:val="center"/>
              <w:rPr>
                <w:rFonts w:hint="eastAsia" w:ascii="宋体" w:hAnsi="宋体"/>
                <w:sz w:val="24"/>
              </w:rPr>
            </w:pPr>
            <w:r>
              <w:rPr>
                <w:rFonts w:hint="eastAsia" w:ascii="宋体" w:hAnsi="宋体"/>
                <w:sz w:val="24"/>
              </w:rPr>
              <w:t>省</w:t>
            </w:r>
          </w:p>
        </w:tc>
        <w:tc>
          <w:tcPr>
            <w:tcW w:w="827" w:type="dxa"/>
            <w:tcBorders>
              <w:top w:val="single" w:color="000000" w:sz="4" w:space="0"/>
              <w:left w:val="single" w:color="000000" w:sz="4" w:space="0"/>
              <w:bottom w:val="single" w:color="000000" w:sz="4" w:space="0"/>
              <w:right w:val="single" w:color="000000" w:sz="4" w:space="0"/>
            </w:tcBorders>
            <w:vAlign w:val="center"/>
          </w:tcPr>
          <w:p w14:paraId="3451A72B">
            <w:pPr>
              <w:spacing w:line="400" w:lineRule="exact"/>
              <w:jc w:val="center"/>
              <w:rPr>
                <w:rFonts w:hint="eastAsia" w:ascii="宋体" w:hAnsi="宋体"/>
                <w:sz w:val="24"/>
              </w:rPr>
            </w:pPr>
            <w:r>
              <w:rPr>
                <w:rFonts w:hint="eastAsia" w:ascii="宋体" w:hAnsi="宋体"/>
                <w:sz w:val="24"/>
              </w:rPr>
              <w:t>市</w:t>
            </w:r>
          </w:p>
        </w:tc>
        <w:tc>
          <w:tcPr>
            <w:tcW w:w="989" w:type="dxa"/>
            <w:tcBorders>
              <w:top w:val="single" w:color="000000" w:sz="4" w:space="0"/>
              <w:left w:val="single" w:color="000000" w:sz="4" w:space="0"/>
              <w:bottom w:val="single" w:color="000000" w:sz="4" w:space="0"/>
              <w:right w:val="single" w:color="000000" w:sz="4" w:space="0"/>
            </w:tcBorders>
            <w:vAlign w:val="center"/>
          </w:tcPr>
          <w:p w14:paraId="1BC9299A">
            <w:pPr>
              <w:spacing w:line="400" w:lineRule="exact"/>
              <w:jc w:val="center"/>
              <w:rPr>
                <w:rFonts w:hint="eastAsia" w:ascii="宋体" w:hAnsi="宋体"/>
                <w:sz w:val="24"/>
              </w:rPr>
            </w:pPr>
            <w:r>
              <w:rPr>
                <w:rFonts w:hint="eastAsia" w:ascii="宋体" w:hAnsi="宋体"/>
                <w:sz w:val="24"/>
              </w:rPr>
              <w:t>厂、矿</w:t>
            </w:r>
          </w:p>
        </w:tc>
        <w:tc>
          <w:tcPr>
            <w:tcW w:w="639" w:type="dxa"/>
            <w:tcBorders>
              <w:top w:val="single" w:color="000000" w:sz="4" w:space="0"/>
              <w:left w:val="single" w:color="000000" w:sz="4" w:space="0"/>
              <w:bottom w:val="single" w:color="000000" w:sz="4" w:space="0"/>
              <w:right w:val="single" w:color="000000" w:sz="4" w:space="0"/>
            </w:tcBorders>
            <w:vAlign w:val="center"/>
          </w:tcPr>
          <w:p w14:paraId="1769373A">
            <w:pPr>
              <w:spacing w:line="400" w:lineRule="exact"/>
              <w:jc w:val="center"/>
              <w:rPr>
                <w:rFonts w:hint="eastAsia" w:ascii="宋体" w:hAnsi="宋体"/>
                <w:sz w:val="24"/>
              </w:rPr>
            </w:pPr>
            <w:r>
              <w:rPr>
                <w:rFonts w:hint="eastAsia" w:ascii="宋体" w:hAnsi="宋体"/>
                <w:sz w:val="24"/>
              </w:rPr>
              <w:t>自选</w:t>
            </w:r>
          </w:p>
        </w:tc>
        <w:tc>
          <w:tcPr>
            <w:tcW w:w="1128" w:type="dxa"/>
            <w:tcBorders>
              <w:top w:val="single" w:color="000000" w:sz="4" w:space="0"/>
              <w:left w:val="single" w:color="000000" w:sz="4" w:space="0"/>
              <w:bottom w:val="single" w:color="000000" w:sz="4" w:space="0"/>
              <w:right w:val="single" w:color="000000" w:sz="4" w:space="0"/>
            </w:tcBorders>
            <w:vAlign w:val="center"/>
          </w:tcPr>
          <w:p w14:paraId="2245ECCC">
            <w:pPr>
              <w:spacing w:line="400" w:lineRule="exact"/>
              <w:jc w:val="center"/>
              <w:rPr>
                <w:rFonts w:hint="eastAsia" w:ascii="宋体" w:hAnsi="宋体"/>
                <w:sz w:val="24"/>
              </w:rPr>
            </w:pPr>
            <w:r>
              <w:rPr>
                <w:rFonts w:hint="eastAsia" w:ascii="宋体" w:hAnsi="宋体"/>
                <w:sz w:val="24"/>
              </w:rPr>
              <w:t>有无合同</w:t>
            </w:r>
          </w:p>
        </w:tc>
        <w:tc>
          <w:tcPr>
            <w:tcW w:w="954" w:type="dxa"/>
            <w:tcBorders>
              <w:top w:val="single" w:color="000000" w:sz="4" w:space="0"/>
              <w:left w:val="single" w:color="000000" w:sz="4" w:space="0"/>
              <w:bottom w:val="single" w:color="000000" w:sz="4" w:space="0"/>
              <w:right w:val="single" w:color="000000" w:sz="4" w:space="0"/>
            </w:tcBorders>
            <w:vAlign w:val="center"/>
          </w:tcPr>
          <w:p w14:paraId="764210A4">
            <w:pPr>
              <w:spacing w:line="400" w:lineRule="exact"/>
              <w:jc w:val="center"/>
              <w:rPr>
                <w:rFonts w:hint="eastAsia" w:ascii="宋体" w:hAnsi="宋体"/>
                <w:sz w:val="24"/>
              </w:rPr>
            </w:pPr>
            <w:r>
              <w:rPr>
                <w:rFonts w:hint="eastAsia" w:ascii="宋体" w:hAnsi="宋体"/>
                <w:sz w:val="24"/>
              </w:rPr>
              <w:t>经费数</w:t>
            </w:r>
          </w:p>
        </w:tc>
        <w:tc>
          <w:tcPr>
            <w:tcW w:w="1875" w:type="dxa"/>
            <w:tcBorders>
              <w:top w:val="single" w:color="000000" w:sz="4" w:space="0"/>
              <w:left w:val="single" w:color="000000" w:sz="4" w:space="0"/>
              <w:bottom w:val="single" w:color="000000" w:sz="4" w:space="0"/>
              <w:right w:val="single" w:color="000000" w:sz="4" w:space="0"/>
            </w:tcBorders>
            <w:vAlign w:val="center"/>
          </w:tcPr>
          <w:p w14:paraId="6E06DDF5">
            <w:pPr>
              <w:spacing w:line="400" w:lineRule="exact"/>
              <w:jc w:val="center"/>
              <w:rPr>
                <w:rFonts w:hint="eastAsia" w:ascii="宋体" w:hAnsi="宋体"/>
                <w:sz w:val="24"/>
              </w:rPr>
            </w:pPr>
            <w:r>
              <w:rPr>
                <w:rFonts w:hint="eastAsia" w:ascii="宋体" w:hAnsi="宋体"/>
                <w:sz w:val="24"/>
              </w:rPr>
              <w:t>备注</w:t>
            </w:r>
          </w:p>
        </w:tc>
      </w:tr>
      <w:tr w14:paraId="782269A5">
        <w:trPr>
          <w:jc w:val="center"/>
        </w:trPr>
        <w:tc>
          <w:tcPr>
            <w:tcW w:w="1215" w:type="dxa"/>
            <w:vMerge w:val="continue"/>
            <w:tcBorders>
              <w:top w:val="single" w:color="000000" w:sz="4" w:space="0"/>
              <w:left w:val="single" w:color="000000" w:sz="4" w:space="0"/>
              <w:bottom w:val="single" w:color="000000" w:sz="4" w:space="0"/>
              <w:right w:val="single" w:color="000000" w:sz="4" w:space="0"/>
            </w:tcBorders>
            <w:vAlign w:val="center"/>
          </w:tcPr>
          <w:p w14:paraId="68630C7E">
            <w:pPr>
              <w:snapToGrid w:val="0"/>
              <w:spacing w:line="400" w:lineRule="exact"/>
              <w:jc w:val="center"/>
              <w:rPr>
                <w:rFonts w:hint="eastAsia" w:ascii="宋体" w:hAnsi="宋体"/>
                <w:sz w:val="24"/>
              </w:rPr>
            </w:pPr>
          </w:p>
        </w:tc>
        <w:tc>
          <w:tcPr>
            <w:tcW w:w="731" w:type="dxa"/>
            <w:tcBorders>
              <w:top w:val="single" w:color="000000" w:sz="4" w:space="0"/>
              <w:left w:val="single" w:color="000000" w:sz="4" w:space="0"/>
              <w:bottom w:val="single" w:color="000000" w:sz="4" w:space="0"/>
              <w:right w:val="single" w:color="000000" w:sz="4" w:space="0"/>
            </w:tcBorders>
            <w:vAlign w:val="center"/>
          </w:tcPr>
          <w:p w14:paraId="2E4F772F">
            <w:pPr>
              <w:snapToGrid w:val="0"/>
              <w:spacing w:line="400" w:lineRule="exact"/>
              <w:jc w:val="center"/>
              <w:rPr>
                <w:rFonts w:hint="eastAsia" w:ascii="宋体" w:hAnsi="宋体"/>
                <w:sz w:val="24"/>
              </w:rPr>
            </w:pPr>
          </w:p>
        </w:tc>
        <w:tc>
          <w:tcPr>
            <w:tcW w:w="730" w:type="dxa"/>
            <w:tcBorders>
              <w:top w:val="single" w:color="000000" w:sz="4" w:space="0"/>
              <w:left w:val="single" w:color="000000" w:sz="4" w:space="0"/>
              <w:bottom w:val="single" w:color="000000" w:sz="4" w:space="0"/>
              <w:right w:val="single" w:color="000000" w:sz="4" w:space="0"/>
            </w:tcBorders>
            <w:vAlign w:val="center"/>
          </w:tcPr>
          <w:p w14:paraId="791945FF">
            <w:pPr>
              <w:snapToGrid w:val="0"/>
              <w:spacing w:line="400" w:lineRule="exact"/>
              <w:jc w:val="center"/>
              <w:rPr>
                <w:rFonts w:hint="eastAsia" w:ascii="宋体" w:hAnsi="宋体"/>
                <w:sz w:val="24"/>
              </w:rPr>
            </w:pPr>
          </w:p>
        </w:tc>
        <w:tc>
          <w:tcPr>
            <w:tcW w:w="550" w:type="dxa"/>
            <w:tcBorders>
              <w:top w:val="single" w:color="000000" w:sz="4" w:space="0"/>
              <w:left w:val="single" w:color="000000" w:sz="4" w:space="0"/>
              <w:bottom w:val="single" w:color="000000" w:sz="4" w:space="0"/>
              <w:right w:val="single" w:color="000000" w:sz="4" w:space="0"/>
            </w:tcBorders>
            <w:vAlign w:val="center"/>
          </w:tcPr>
          <w:p w14:paraId="5A55F244">
            <w:pPr>
              <w:snapToGrid w:val="0"/>
              <w:spacing w:line="400" w:lineRule="exact"/>
              <w:jc w:val="center"/>
              <w:rPr>
                <w:rFonts w:hint="eastAsia" w:ascii="宋体" w:hAnsi="宋体"/>
                <w:sz w:val="24"/>
              </w:rPr>
            </w:pPr>
          </w:p>
        </w:tc>
        <w:tc>
          <w:tcPr>
            <w:tcW w:w="827" w:type="dxa"/>
            <w:tcBorders>
              <w:top w:val="single" w:color="000000" w:sz="4" w:space="0"/>
              <w:left w:val="single" w:color="000000" w:sz="4" w:space="0"/>
              <w:bottom w:val="single" w:color="000000" w:sz="4" w:space="0"/>
              <w:right w:val="single" w:color="000000" w:sz="4" w:space="0"/>
            </w:tcBorders>
            <w:vAlign w:val="center"/>
          </w:tcPr>
          <w:p w14:paraId="2EAA29F8">
            <w:pPr>
              <w:snapToGrid w:val="0"/>
              <w:spacing w:line="400" w:lineRule="exact"/>
              <w:jc w:val="center"/>
              <w:rPr>
                <w:rFonts w:hint="eastAsia" w:ascii="宋体" w:hAnsi="宋体"/>
                <w:sz w:val="24"/>
              </w:rPr>
            </w:pPr>
          </w:p>
        </w:tc>
        <w:tc>
          <w:tcPr>
            <w:tcW w:w="989" w:type="dxa"/>
            <w:tcBorders>
              <w:top w:val="single" w:color="000000" w:sz="4" w:space="0"/>
              <w:left w:val="single" w:color="000000" w:sz="4" w:space="0"/>
              <w:bottom w:val="single" w:color="000000" w:sz="4" w:space="0"/>
              <w:right w:val="single" w:color="000000" w:sz="4" w:space="0"/>
            </w:tcBorders>
            <w:vAlign w:val="center"/>
          </w:tcPr>
          <w:p w14:paraId="1789C593">
            <w:pPr>
              <w:snapToGrid w:val="0"/>
              <w:spacing w:line="400" w:lineRule="exact"/>
              <w:jc w:val="center"/>
              <w:rPr>
                <w:rFonts w:hint="eastAsia" w:ascii="宋体" w:hAnsi="宋体"/>
                <w:sz w:val="24"/>
              </w:rPr>
            </w:pPr>
          </w:p>
        </w:tc>
        <w:tc>
          <w:tcPr>
            <w:tcW w:w="639" w:type="dxa"/>
            <w:tcBorders>
              <w:top w:val="single" w:color="000000" w:sz="4" w:space="0"/>
              <w:left w:val="single" w:color="000000" w:sz="4" w:space="0"/>
              <w:bottom w:val="single" w:color="000000" w:sz="4" w:space="0"/>
              <w:right w:val="single" w:color="000000" w:sz="4" w:space="0"/>
            </w:tcBorders>
            <w:vAlign w:val="center"/>
          </w:tcPr>
          <w:p w14:paraId="16E0CEE1">
            <w:pPr>
              <w:spacing w:line="400" w:lineRule="exact"/>
              <w:jc w:val="center"/>
              <w:rPr>
                <w:rFonts w:hint="eastAsia" w:ascii="宋体" w:hAnsi="宋体"/>
                <w:sz w:val="24"/>
              </w:rPr>
            </w:pPr>
            <w:r>
              <w:rPr>
                <w:rFonts w:hint="eastAsia" w:ascii="宋体" w:hAnsi="宋体"/>
                <w:sz w:val="24"/>
              </w:rPr>
              <w:t>√</w:t>
            </w:r>
          </w:p>
        </w:tc>
        <w:tc>
          <w:tcPr>
            <w:tcW w:w="1128" w:type="dxa"/>
            <w:tcBorders>
              <w:top w:val="single" w:color="000000" w:sz="4" w:space="0"/>
              <w:left w:val="single" w:color="000000" w:sz="4" w:space="0"/>
              <w:bottom w:val="single" w:color="000000" w:sz="4" w:space="0"/>
              <w:right w:val="single" w:color="000000" w:sz="4" w:space="0"/>
            </w:tcBorders>
            <w:vAlign w:val="center"/>
          </w:tcPr>
          <w:p w14:paraId="1971E3C5">
            <w:pPr>
              <w:snapToGrid w:val="0"/>
              <w:spacing w:line="400" w:lineRule="exact"/>
              <w:jc w:val="center"/>
              <w:rPr>
                <w:rFonts w:hint="eastAsia" w:ascii="宋体" w:hAnsi="宋体"/>
                <w:sz w:val="24"/>
              </w:rPr>
            </w:pPr>
          </w:p>
        </w:tc>
        <w:tc>
          <w:tcPr>
            <w:tcW w:w="954" w:type="dxa"/>
            <w:tcBorders>
              <w:top w:val="single" w:color="000000" w:sz="4" w:space="0"/>
              <w:left w:val="single" w:color="000000" w:sz="4" w:space="0"/>
              <w:bottom w:val="single" w:color="000000" w:sz="4" w:space="0"/>
              <w:right w:val="single" w:color="000000" w:sz="4" w:space="0"/>
            </w:tcBorders>
            <w:vAlign w:val="center"/>
          </w:tcPr>
          <w:p w14:paraId="37D1B935">
            <w:pPr>
              <w:snapToGrid w:val="0"/>
              <w:spacing w:line="400" w:lineRule="exact"/>
              <w:jc w:val="center"/>
              <w:rPr>
                <w:rFonts w:hint="eastAsia" w:ascii="宋体" w:hAnsi="宋体"/>
                <w:sz w:val="24"/>
              </w:rPr>
            </w:pPr>
          </w:p>
        </w:tc>
        <w:tc>
          <w:tcPr>
            <w:tcW w:w="1875" w:type="dxa"/>
            <w:tcBorders>
              <w:top w:val="single" w:color="000000" w:sz="4" w:space="0"/>
              <w:left w:val="single" w:color="000000" w:sz="4" w:space="0"/>
              <w:bottom w:val="single" w:color="000000" w:sz="4" w:space="0"/>
              <w:right w:val="single" w:color="000000" w:sz="4" w:space="0"/>
            </w:tcBorders>
            <w:vAlign w:val="center"/>
          </w:tcPr>
          <w:p w14:paraId="0F6614CC">
            <w:pPr>
              <w:snapToGrid w:val="0"/>
              <w:spacing w:line="400" w:lineRule="exact"/>
              <w:jc w:val="center"/>
              <w:rPr>
                <w:rFonts w:hint="eastAsia" w:ascii="宋体" w:hAnsi="宋体"/>
                <w:sz w:val="24"/>
              </w:rPr>
            </w:pPr>
          </w:p>
        </w:tc>
      </w:tr>
      <w:tr w14:paraId="3D720C46">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39E6A2B9">
            <w:pPr>
              <w:spacing w:line="400" w:lineRule="exact"/>
              <w:jc w:val="center"/>
              <w:rPr>
                <w:rFonts w:hint="eastAsia" w:ascii="宋体" w:hAnsi="宋体"/>
                <w:sz w:val="24"/>
              </w:rPr>
            </w:pPr>
            <w:r>
              <w:rPr>
                <w:rFonts w:hint="eastAsia" w:ascii="宋体" w:hAnsi="宋体"/>
                <w:sz w:val="24"/>
              </w:rPr>
              <w:t>题 目</w:t>
            </w:r>
          </w:p>
          <w:p w14:paraId="2BDA04C7">
            <w:pPr>
              <w:spacing w:line="400" w:lineRule="exact"/>
              <w:jc w:val="center"/>
              <w:rPr>
                <w:rFonts w:hint="eastAsia" w:ascii="宋体" w:hAnsi="宋体"/>
                <w:sz w:val="24"/>
              </w:rPr>
            </w:pPr>
            <w:r>
              <w:rPr>
                <w:rFonts w:hint="eastAsia" w:ascii="宋体" w:hAnsi="宋体"/>
                <w:sz w:val="24"/>
              </w:rPr>
              <w:t>类 型</w:t>
            </w:r>
          </w:p>
        </w:tc>
        <w:tc>
          <w:tcPr>
            <w:tcW w:w="731" w:type="dxa"/>
            <w:tcBorders>
              <w:top w:val="single" w:color="000000" w:sz="4" w:space="0"/>
              <w:left w:val="single" w:color="000000" w:sz="4" w:space="0"/>
              <w:bottom w:val="single" w:color="000000" w:sz="4" w:space="0"/>
              <w:right w:val="single" w:color="000000" w:sz="4" w:space="0"/>
            </w:tcBorders>
            <w:vAlign w:val="center"/>
          </w:tcPr>
          <w:p w14:paraId="42F08AD8">
            <w:pPr>
              <w:spacing w:line="400" w:lineRule="exact"/>
              <w:jc w:val="center"/>
              <w:rPr>
                <w:rFonts w:hint="eastAsia" w:ascii="宋体" w:hAnsi="宋体"/>
              </w:rPr>
            </w:pPr>
            <w:r>
              <w:rPr>
                <w:rFonts w:hint="eastAsia" w:ascii="宋体" w:hAnsi="宋体"/>
              </w:rPr>
              <w:t>理论</w:t>
            </w:r>
          </w:p>
          <w:p w14:paraId="52DEBC64">
            <w:pPr>
              <w:spacing w:line="400" w:lineRule="exact"/>
              <w:jc w:val="center"/>
              <w:rPr>
                <w:rFonts w:hint="eastAsia" w:ascii="宋体" w:hAnsi="宋体"/>
              </w:rPr>
            </w:pPr>
            <w:r>
              <w:rPr>
                <w:rFonts w:hint="eastAsia" w:ascii="宋体" w:hAnsi="宋体"/>
              </w:rPr>
              <w:t>研究</w:t>
            </w:r>
          </w:p>
        </w:tc>
        <w:tc>
          <w:tcPr>
            <w:tcW w:w="730" w:type="dxa"/>
            <w:tcBorders>
              <w:top w:val="single" w:color="000000" w:sz="4" w:space="0"/>
              <w:left w:val="single" w:color="000000" w:sz="4" w:space="0"/>
              <w:bottom w:val="single" w:color="000000" w:sz="4" w:space="0"/>
              <w:right w:val="single" w:color="000000" w:sz="4" w:space="0"/>
            </w:tcBorders>
            <w:vAlign w:val="center"/>
          </w:tcPr>
          <w:p w14:paraId="54EA4934">
            <w:pPr>
              <w:spacing w:line="400" w:lineRule="exact"/>
              <w:jc w:val="center"/>
              <w:rPr>
                <w:rFonts w:hint="eastAsia" w:ascii="宋体" w:hAnsi="宋体"/>
              </w:rPr>
            </w:pPr>
            <w:r>
              <w:rPr>
                <w:rFonts w:hint="eastAsia" w:ascii="宋体" w:hAnsi="宋体"/>
              </w:rPr>
              <w:t>应用</w:t>
            </w:r>
          </w:p>
          <w:p w14:paraId="0993242C">
            <w:pPr>
              <w:spacing w:line="400" w:lineRule="exact"/>
              <w:jc w:val="center"/>
              <w:rPr>
                <w:rFonts w:hint="eastAsia" w:ascii="宋体" w:hAnsi="宋体"/>
              </w:rPr>
            </w:pPr>
            <w:r>
              <w:rPr>
                <w:rFonts w:hint="eastAsia" w:ascii="宋体" w:hAnsi="宋体"/>
              </w:rPr>
              <w:t>研究</w:t>
            </w:r>
          </w:p>
        </w:tc>
        <w:tc>
          <w:tcPr>
            <w:tcW w:w="550" w:type="dxa"/>
            <w:tcBorders>
              <w:top w:val="single" w:color="000000" w:sz="4" w:space="0"/>
              <w:left w:val="single" w:color="000000" w:sz="4" w:space="0"/>
              <w:bottom w:val="single" w:color="000000" w:sz="4" w:space="0"/>
              <w:right w:val="single" w:color="000000" w:sz="4" w:space="0"/>
            </w:tcBorders>
            <w:vAlign w:val="center"/>
          </w:tcPr>
          <w:p w14:paraId="676812DC">
            <w:pPr>
              <w:spacing w:line="400" w:lineRule="exact"/>
              <w:jc w:val="center"/>
              <w:rPr>
                <w:rFonts w:hint="eastAsia" w:ascii="宋体" w:hAnsi="宋体"/>
              </w:rPr>
            </w:pPr>
            <w:r>
              <w:rPr>
                <w:rFonts w:hint="eastAsia" w:ascii="宋体" w:hAnsi="宋体"/>
              </w:rPr>
              <w:t>工程</w:t>
            </w:r>
          </w:p>
          <w:p w14:paraId="0813EB5F">
            <w:pPr>
              <w:spacing w:line="400" w:lineRule="exact"/>
              <w:jc w:val="center"/>
              <w:rPr>
                <w:rFonts w:hint="eastAsia" w:ascii="宋体" w:hAnsi="宋体"/>
              </w:rPr>
            </w:pPr>
            <w:r>
              <w:rPr>
                <w:rFonts w:hint="eastAsia" w:ascii="宋体" w:hAnsi="宋体"/>
              </w:rPr>
              <w:t>技术</w:t>
            </w:r>
          </w:p>
        </w:tc>
        <w:tc>
          <w:tcPr>
            <w:tcW w:w="827" w:type="dxa"/>
            <w:tcBorders>
              <w:top w:val="single" w:color="000000" w:sz="4" w:space="0"/>
              <w:left w:val="single" w:color="000000" w:sz="4" w:space="0"/>
              <w:bottom w:val="single" w:color="000000" w:sz="4" w:space="0"/>
              <w:right w:val="single" w:color="000000" w:sz="4" w:space="0"/>
            </w:tcBorders>
            <w:vAlign w:val="center"/>
          </w:tcPr>
          <w:p w14:paraId="500D105B">
            <w:pPr>
              <w:spacing w:line="400" w:lineRule="exact"/>
              <w:jc w:val="center"/>
              <w:rPr>
                <w:rFonts w:hint="eastAsia" w:ascii="宋体" w:hAnsi="宋体"/>
              </w:rPr>
            </w:pPr>
            <w:r>
              <w:rPr>
                <w:rFonts w:hint="eastAsia" w:ascii="宋体" w:hAnsi="宋体"/>
              </w:rPr>
              <w:t>跨学科</w:t>
            </w:r>
          </w:p>
          <w:p w14:paraId="6B8A2A8A">
            <w:pPr>
              <w:spacing w:line="400" w:lineRule="exact"/>
              <w:jc w:val="center"/>
              <w:rPr>
                <w:rFonts w:hint="eastAsia" w:ascii="宋体" w:hAnsi="宋体"/>
              </w:rPr>
            </w:pPr>
            <w:r>
              <w:rPr>
                <w:rFonts w:hint="eastAsia" w:ascii="宋体" w:hAnsi="宋体"/>
              </w:rPr>
              <w:t>研 究</w:t>
            </w:r>
          </w:p>
        </w:tc>
        <w:tc>
          <w:tcPr>
            <w:tcW w:w="989" w:type="dxa"/>
            <w:tcBorders>
              <w:top w:val="single" w:color="000000" w:sz="4" w:space="0"/>
              <w:left w:val="single" w:color="000000" w:sz="4" w:space="0"/>
              <w:bottom w:val="single" w:color="000000" w:sz="4" w:space="0"/>
              <w:right w:val="single" w:color="000000" w:sz="4" w:space="0"/>
            </w:tcBorders>
            <w:vAlign w:val="center"/>
          </w:tcPr>
          <w:p w14:paraId="5F0EA446">
            <w:pPr>
              <w:spacing w:line="400" w:lineRule="exact"/>
              <w:jc w:val="center"/>
              <w:rPr>
                <w:rFonts w:hint="eastAsia" w:ascii="宋体" w:hAnsi="宋体"/>
                <w:sz w:val="24"/>
              </w:rPr>
            </w:pPr>
            <w:r>
              <w:rPr>
                <w:rFonts w:hint="eastAsia" w:ascii="宋体" w:hAnsi="宋体"/>
                <w:sz w:val="24"/>
              </w:rPr>
              <w:t>其他</w:t>
            </w:r>
          </w:p>
        </w:tc>
        <w:tc>
          <w:tcPr>
            <w:tcW w:w="4596" w:type="dxa"/>
            <w:gridSpan w:val="4"/>
            <w:tcBorders>
              <w:top w:val="single" w:color="000000" w:sz="4" w:space="0"/>
              <w:left w:val="single" w:color="000000" w:sz="4" w:space="0"/>
              <w:bottom w:val="single" w:color="000000" w:sz="4" w:space="0"/>
              <w:right w:val="single" w:color="000000" w:sz="4" w:space="0"/>
            </w:tcBorders>
            <w:vAlign w:val="center"/>
          </w:tcPr>
          <w:p w14:paraId="3A4B43EC">
            <w:pPr>
              <w:snapToGrid w:val="0"/>
              <w:spacing w:line="400" w:lineRule="exact"/>
              <w:jc w:val="center"/>
              <w:rPr>
                <w:rFonts w:hint="eastAsia" w:ascii="宋体" w:hAnsi="宋体"/>
                <w:sz w:val="24"/>
              </w:rPr>
            </w:pPr>
          </w:p>
        </w:tc>
      </w:tr>
      <w:tr w14:paraId="299CB904">
        <w:tblPrEx>
          <w:tblCellMar>
            <w:top w:w="0" w:type="dxa"/>
            <w:left w:w="56" w:type="dxa"/>
            <w:bottom w:w="0" w:type="dxa"/>
            <w:right w:w="56" w:type="dxa"/>
          </w:tblCellMar>
        </w:tblPrEx>
        <w:trPr>
          <w:jc w:val="center"/>
        </w:trPr>
        <w:tc>
          <w:tcPr>
            <w:tcW w:w="9638" w:type="dxa"/>
            <w:gridSpan w:val="10"/>
            <w:tcBorders>
              <w:top w:val="single" w:color="000000" w:sz="4" w:space="0"/>
              <w:left w:val="single" w:color="000000" w:sz="4" w:space="0"/>
              <w:bottom w:val="single" w:color="000000" w:sz="4" w:space="0"/>
              <w:right w:val="single" w:color="000000" w:sz="4" w:space="0"/>
            </w:tcBorders>
          </w:tcPr>
          <w:p w14:paraId="64EA47D8">
            <w:pPr>
              <w:spacing w:line="400" w:lineRule="exact"/>
              <w:ind w:left="0" w:leftChars="0" w:right="0" w:rightChars="0" w:firstLineChars="100"/>
              <w:rPr>
                <w:rFonts w:ascii="宋体" w:hAnsi="宋体"/>
                <w:spacing w:val="-6"/>
                <w:sz w:val="24"/>
              </w:rPr>
            </w:pPr>
            <w:r>
              <w:rPr>
                <w:rFonts w:hint="eastAsia" w:ascii="黑体" w:hAnsi="黑体" w:eastAsia="黑体"/>
                <w:spacing w:val="-6"/>
                <w:sz w:val="24"/>
              </w:rPr>
              <w:t>开题报告内容</w:t>
            </w:r>
            <w:r>
              <w:rPr>
                <w:rFonts w:hint="eastAsia" w:ascii="宋体" w:hAnsi="宋体"/>
                <w:spacing w:val="-6"/>
                <w:sz w:val="24"/>
              </w:rPr>
              <w:t>（具体要求见《东南大学研究生论文选题和开题报告的原则和要求》）</w:t>
            </w:r>
          </w:p>
          <w:p>
            <w:pPr>
              <w:pStyle w:val="Normal"/>
              <w:widowControl/>
              <w:jc w:val="start"/>
              <w:rPr>
                <w:b/>
                <w:bCs/>
                <w:kern w:val="0"/>
                <w:sz w:val="24"/>
              </w:rPr>
            </w:pPr>
            <w:r>
              <w:rPr>
                <w:b/>
                <w:bCs/>
                <w:kern w:val="0"/>
                <w:sz w:val="24"/>
              </w:rPr>
              <w:t>一、研究背景</w:t>
            </w:r>
          </w:p>
          <w:p>
            <w:pPr>
              <w:pStyle w:val="Normal"/>
              <w:spacing w:lineRule="auto" w:line="360"/>
              <w:ind w:firstLineChars="200" w:startChars="0" w:start="0" w:endChars="0" w:end="0"/>
              <w:rPr>
                <w:kern w:val="0"/>
                <w:sz w:val="24"/>
              </w:rPr>
            </w:pPr>
            <w:r>
              <w:rPr>
                <w:kern w:val="0"/>
                <w:sz w:val="24"/>
              </w:rPr>
              <w:t xml:space="preserve">CVE-2023-4039 暴露了 GCC 在 AArch64 上栈保护机制的一处长期失效。当函数使用变长数组（VLA）或 alloca 时，编译器把栈金丝雀放在 VLA 之上、保存的返回地址却落在 VLA 之下，越界写入可以先于金丝雀检查改写返回地址，-fstack-protector 因此形同虚设——这种 buggy 状态下的栈帧布局可参见图 1。编译过程不报错，二进制能通过功能测试，缺陷只在攻击者构造特定输入时才显现。该漏洞自 GCC 早期版本即已存在，直到 2023 年才由外部研究者系统分析并修复。问题的共性也由此显现：编译器侧的防御机制依赖前端识别、中端 pass 与后端代码生成共同维护一组安全不变量，其中任何一处与具体 ISA 的栈布局、寄存器分配或指令编码假设不一致，防御机制就会悄然失效——对外仍然"存在"，对攻击者不再有效。</w:t>
            </w:r>
          </w:p>
          <w:p>
            <w:pPr>
              <w:pStyle w:val="Normal"/>
              <w:spacing w:lineRule="auto" w:line="360"/>
              <w:jc w:val="center"/>
            </w:pPr>
            <w:r>
              <w:rPr/>
              <w:drawing>
                <wp:inline xmlns:wp="http://schemas.openxmlformats.org/drawingml/2006/wordprocessingDrawing" distT="0" distB="0" distL="0" distR="0">
                  <wp:extent cx="4284090" cy="5326553"/>
                  <wp:effectExtent l="0" t="0" r="0" b="0"/>
                  <wp:docPr id="21" name="Figur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tack-layout.png"/>
                          <pic:cNvPicPr/>
                        </pic:nvPicPr>
                        <pic:blipFill>
                          <a:blip xmlns:r="http://schemas.openxmlformats.org/officeDocument/2006/relationships" r:embed="rId21"/>
                          <a:stretch>
                            <a:fillRect/>
                          </a:stretch>
                        </pic:blipFill>
                        <pic:spPr>
                          <a:xfrm>
                            <a:off x="0" y="0"/>
                            <a:ext cx="4284090" cy="5326553"/>
                          </a:xfrm>
                          <a:prstGeom prst="rect">
                            <a:avLst/>
                          </a:prstGeom>
                        </pic:spPr>
                      </pic:pic>
                    </a:graphicData>
                  </a:graphic>
                </wp:inline>
              </w:drawing>
            </w:r>
          </w:p>
          <w:p>
            <w:pPr>
              <w:pStyle w:val="Normal"/>
              <w:spacing w:lineRule="auto" w:line="300"/>
              <w:jc w:val="center"/>
              <w:rPr>
                <w:rFonts w:ascii="宋体" w:hAnsi="宋体" w:eastAsia="宋体"/>
                <w:i/>
                <w:sz w:val="20"/>
              </w:rPr>
            </w:pPr>
            <w:r>
              <w:rPr>
                <w:rFonts w:ascii="宋体" w:hAnsi="宋体" w:eastAsia="宋体"/>
                <w:i/>
                <w:sz w:val="20"/>
              </w:rPr>
              <w:t>图 1  CVE-2023-4039 buggy 栈帧布局</w:t>
            </w:r>
          </w:p>
          <w:p>
            <w:pPr>
              <w:pStyle w:val="Normal"/>
              <w:spacing w:lineRule="auto" w:line="360"/>
              <w:rPr>
                <w:sz w:val="24"/>
              </w:rPr>
            </w:pPr>
          </w:p>
          <w:p>
            <w:pPr>
              <w:pStyle w:val="Normal"/>
              <w:spacing w:lineRule="auto" w:line="360"/>
              <w:ind w:firstLineChars="200" w:startChars="0" w:start="0" w:endChars="0" w:end="0"/>
              <w:rPr>
                <w:kern w:val="0"/>
                <w:sz w:val="24"/>
              </w:rPr>
            </w:pPr>
            <w:r>
              <w:rPr>
                <w:kern w:val="0"/>
                <w:sz w:val="24"/>
              </w:rPr>
              <w:t xml:space="preserve">编译器所承载的防御机制数量本身已相当庞大：栈金丝雀、_FORTIFY_SOURCE、Intel CET 中的 IBT、AArch64 的 BTI 与 PAC、Shadow Stack、SafeStack、KCFI、CFI、HCFR 等，分别保护栈完整性、控制流、对象边界，且仍在扩展。目标 ISA 方面，x86-64、AArch64、RISC-V、LoongArch、MIPS、PowerPC 等架构在调用约定、寄存器分配与指令编码上差异显著，每种机制在各 ISA 上对应若干份独立的后端模板与中端 pass 实现。二者构成"防御机制 × ISA"的二维研究空间（见图 2），每一格对应一组需联合维护的安全不变量，目前已被覆盖的格点仍只是其中很小一部分。</w:t>
            </w:r>
          </w:p>
          <w:p>
            <w:pPr>
              <w:pStyle w:val="Normal"/>
              <w:spacing w:lineRule="auto" w:line="360"/>
              <w:jc w:val="center"/>
            </w:pPr>
            <w:r>
              <w:rPr/>
              <w:drawing>
                <wp:inline xmlns:wp="http://schemas.openxmlformats.org/drawingml/2006/wordprocessingDrawing" distT="0" distB="0" distL="0" distR="0">
                  <wp:extent cx="5385714" cy="2709687"/>
                  <wp:effectExtent l="0" t="0" r="0" b="0"/>
                  <wp:docPr id="22" name="Figur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efense-matrix.png"/>
                          <pic:cNvPicPr/>
                        </pic:nvPicPr>
                        <pic:blipFill>
                          <a:blip xmlns:r="http://schemas.openxmlformats.org/officeDocument/2006/relationships" r:embed="rId22"/>
                          <a:stretch>
                            <a:fillRect/>
                          </a:stretch>
                        </pic:blipFill>
                        <pic:spPr>
                          <a:xfrm>
                            <a:off x="0" y="0"/>
                            <a:ext cx="5385714" cy="2709687"/>
                          </a:xfrm>
                          <a:prstGeom prst="rect">
                            <a:avLst/>
                          </a:prstGeom>
                        </pic:spPr>
                      </pic:pic>
                    </a:graphicData>
                  </a:graphic>
                </wp:inline>
              </w:drawing>
            </w:r>
          </w:p>
          <w:p>
            <w:pPr>
              <w:pStyle w:val="Normal"/>
              <w:spacing w:lineRule="auto" w:line="300"/>
              <w:jc w:val="center"/>
              <w:rPr>
                <w:rFonts w:ascii="宋体" w:hAnsi="宋体" w:eastAsia="宋体"/>
                <w:i/>
                <w:sz w:val="20"/>
              </w:rPr>
            </w:pPr>
            <w:r>
              <w:rPr>
                <w:rFonts w:ascii="宋体" w:hAnsi="宋体" w:eastAsia="宋体"/>
                <w:i/>
                <w:sz w:val="20"/>
              </w:rPr>
              <w:t>图 2  防御机制 × ISA 二维研究空间</w:t>
            </w:r>
          </w:p>
          <w:p>
            <w:pPr>
              <w:pStyle w:val="Normal"/>
              <w:spacing w:lineRule="auto" w:line="360"/>
              <w:rPr>
                <w:sz w:val="24"/>
              </w:rPr>
            </w:pPr>
          </w:p>
          <w:p>
            <w:pPr>
              <w:pStyle w:val="Normal"/>
              <w:spacing w:lineRule="auto" w:line="360"/>
              <w:ind w:firstLineChars="200" w:startChars="0" w:start="0" w:endChars="0" w:end="0"/>
              <w:rPr>
                <w:kern w:val="0"/>
                <w:sz w:val="24"/>
              </w:rPr>
            </w:pPr>
            <w:r>
              <w:rPr>
                <w:kern w:val="0"/>
                <w:sz w:val="24"/>
              </w:rPr>
              <w:t xml:space="preserve">这个矩阵的规模使人工审计难以全面覆盖。与 CVE-2023-4039[16] 同源的 PR-96191[7]（AArch64 / ARM 上栈金丝雀寄存器残留）2020 年修复时，就未涉及 MIPS、LoongArch、Xtensa、CSKY 等 fallback 后端；单点防御机制上的实现疏忽，往往同时存在于矩阵中其他格点而长期不被发现。本课题初步实验阶段已对若干格点做了试探性验证，向 GCC 上游报告并确认了多例同类形态的真实漏洞[17-20]，第五章将给出具体案例。</w:t>
            </w:r>
          </w:p>
          <w:p>
            <w:pPr>
              <w:pStyle w:val="Normal"/>
              <w:spacing w:lineRule="auto" w:line="360"/>
              <w:ind w:firstLineChars="200" w:startChars="0" w:start="0" w:endChars="0" w:end="0"/>
              <w:rPr>
                <w:kern w:val="0"/>
                <w:sz w:val="24"/>
              </w:rPr>
            </w:pPr>
            <w:r>
              <w:rPr>
                <w:kern w:val="0"/>
                <w:sz w:val="24"/>
              </w:rPr>
              <w:t xml:space="preserve">上述失效有一个共同特征：编译过程不出错、二进制正常运行，缺陷仅在特定输入下显现——即"静默失效（silent failure）"。Csmith、YARPGen 等以差分输出或编译器崩溃为信号的工具对此类缺陷几乎不敏感；覆盖率引导的模糊测试虽然可以把执行推进到相关代码路径，但缺少判断该路径是否仍满足安全契约的预言机。问题由此浮现：编译器是绝大多数软件防御机制的实际载体，矩阵中的静默失效直接削弱整个软件生态的运行时安全保障，而现有自动化测试方法尚未把"防御机制的安全契约"纳入判定体系。如果能把矩阵格点上的不变量翻译为可测断言，并主动引导编译器走到对应代码路径，就既可覆盖既有缺陷家族的同类变种，也有望在后续优化引入同类回归时及早暴露。本研究以此为出发点，结合大语言模型的代码理解能力与覆盖率反馈，构建一条针对编译器防御机制静默失效的模糊测试方法。</w:t>
            </w:r>
          </w:p>
          <w:p>
            <w:pPr>
              <w:pStyle w:val="Normal"/>
              <w:spacing w:lineRule="auto" w:line="360"/>
              <w:rPr>
                <w:sz w:val="24"/>
              </w:rPr>
            </w:pPr>
          </w:p>
          <w:p>
            <w:pPr>
              <w:pStyle w:val="Normal"/>
              <w:widowControl/>
              <w:jc w:val="start"/>
              <w:rPr>
                <w:b/>
                <w:bCs/>
                <w:kern w:val="0"/>
                <w:sz w:val="24"/>
              </w:rPr>
            </w:pPr>
            <w:r>
              <w:rPr>
                <w:b/>
                <w:bCs/>
                <w:kern w:val="0"/>
                <w:sz w:val="24"/>
              </w:rPr>
              <w:t>二、研究现状</w:t>
            </w:r>
          </w:p>
          <w:p>
            <w:pPr>
              <w:pStyle w:val="Normal"/>
              <w:spacing w:lineRule="auto" w:line="360"/>
              <w:ind w:firstLineChars="200" w:startChars="0" w:start="0" w:endChars="0" w:end="0"/>
              <w:rPr>
                <w:kern w:val="0"/>
                <w:sz w:val="24"/>
              </w:rPr>
            </w:pPr>
            <w:r>
              <w:rPr>
                <w:kern w:val="0"/>
                <w:sz w:val="24"/>
              </w:rPr>
              <w:t xml:space="preserve">编译器模糊测试的研究可以从两个角度来看：一是预言机（oracle），决定什么算缺陷；二是种子变异方法，决定测试输入怎么产生。早期工作以崩溃或输出差异为信号、以随机或文法规则生成种子；覆盖率引导与大语言模型的引入分别使二者向目标导向和语义理解方向演进。下文沿这两个维度梳理现状。</w:t>
            </w:r>
          </w:p>
          <w:p>
            <w:pPr>
              <w:pStyle w:val="Normal"/>
              <w:spacing w:lineRule="auto" w:line="360"/>
              <w:rPr>
                <w:b/>
                <w:bCs/>
                <w:kern w:val="0"/>
                <w:sz w:val="24"/>
              </w:rPr>
            </w:pPr>
            <w:r>
              <w:rPr>
                <w:b/>
                <w:bCs/>
                <w:kern w:val="0"/>
                <w:sz w:val="24"/>
              </w:rPr>
              <w:t>2.1 编译器模糊测试预言机</w:t>
            </w:r>
          </w:p>
          <w:p>
            <w:pPr>
              <w:pStyle w:val="Normal"/>
              <w:spacing w:lineRule="auto" w:line="360"/>
              <w:ind w:firstLineChars="200" w:startChars="0" w:start="0" w:endChars="0" w:end="0"/>
              <w:rPr>
                <w:kern w:val="0"/>
                <w:sz w:val="24"/>
              </w:rPr>
            </w:pPr>
            <w:r>
              <w:rPr>
                <w:kern w:val="0"/>
                <w:sz w:val="24"/>
              </w:rPr>
              <w:t xml:space="preserve">预言机回答"什么样的执行结果算缺陷"，现有工作大致可分五类。</w:t>
            </w:r>
          </w:p>
          <w:p>
            <w:pPr>
              <w:pStyle w:val="Normal"/>
              <w:spacing w:lineRule="auto" w:line="360"/>
              <w:ind w:firstLineChars="200" w:startChars="0" w:start="0" w:endChars="0" w:end="0"/>
              <w:rPr>
                <w:kern w:val="0"/>
                <w:sz w:val="24"/>
              </w:rPr>
            </w:pPr>
            <w:r>
              <w:rPr>
                <w:kern w:val="0"/>
                <w:sz w:val="24"/>
              </w:rPr>
              <w:t xml:space="preserve">崩溃预言机[1,3,4]以编译期或运行期的崩溃（ICE、断言、segfault、超时）为信号，实现简单，是 AFL、libFuzzer 迁移到编译器后的默认选择。差分预言机[1,2]对若干编译器（或同一编译器不同优化等级）就同一程序的运行结果做交叉比对，差异即为 mis-compile；Csmith、YARPGen 围绕"避免未定义行为"这一前提大规模生成 C 程序来驱动差分。变形测试预言机以 Le 等提出的 EMI[11] 为代表：对同一输入下未执行的代码做删改，新程序应产生相同结果，差异即为 mis-compile，后续工作继续在 live region 等价变换上探索。Sanitizer 预言机借助 ASan、UBSan、MSan 把内存破坏与未定义行为转为显式信号；UBfuzz[12] 进一步用 crash-site mapping 反向定位 sanitizer 自身实现缺陷。还有面向子领域的复合预言机，如 HirGen[13] 在 IR 层同时使用差分与变形来提高对深度学习编译器深层优化错误的敏感度。</w:t>
            </w:r>
          </w:p>
          <w:p>
            <w:pPr>
              <w:pStyle w:val="Normal"/>
              <w:spacing w:lineRule="auto" w:line="360"/>
              <w:ind w:firstLineChars="200" w:startChars="0" w:start="0" w:endChars="0" w:end="0"/>
              <w:rPr>
                <w:kern w:val="0"/>
                <w:sz w:val="24"/>
              </w:rPr>
            </w:pPr>
            <w:r>
              <w:rPr>
                <w:kern w:val="0"/>
                <w:sz w:val="24"/>
              </w:rPr>
              <w:t xml:space="preserve">这些预言机的判据都建立在"崩溃"或"可观察的输出差异"之上。当缺陷的形态是"代码正常编译运行，但运行时保护已被静默削弱"时，它们无法触发。</w:t>
            </w:r>
          </w:p>
          <w:p>
            <w:pPr>
              <w:pStyle w:val="Normal"/>
              <w:spacing w:lineRule="auto" w:line="360"/>
              <w:rPr>
                <w:b/>
                <w:bCs/>
                <w:kern w:val="0"/>
                <w:sz w:val="24"/>
              </w:rPr>
            </w:pPr>
            <w:r>
              <w:rPr>
                <w:b/>
                <w:bCs/>
                <w:kern w:val="0"/>
                <w:sz w:val="24"/>
              </w:rPr>
              <w:t>2.2 传统种子变异方法</w:t>
            </w:r>
          </w:p>
          <w:p>
            <w:pPr>
              <w:pStyle w:val="Normal"/>
              <w:spacing w:lineRule="auto" w:line="360"/>
              <w:ind w:firstLineChars="200" w:startChars="0" w:start="0" w:endChars="0" w:end="0"/>
              <w:rPr>
                <w:kern w:val="0"/>
                <w:sz w:val="24"/>
              </w:rPr>
            </w:pPr>
            <w:r>
              <w:rPr>
                <w:kern w:val="0"/>
                <w:sz w:val="24"/>
              </w:rPr>
              <w:t xml:space="preserve">传统路线上，覆盖率作为推进信号已是主流。Csmith[1] 与 YARPGen[2] 基于概率文法从空白合成不含未定义行为的 C 程序，再靠差分预言机发现 mis-compile。LangFuzz 类工作记录种子语法树后做子树替换式的 grammar-aware 变异，多用于 JavaScript 引擎。AFL、libFuzzer[3,4] 以字节级覆盖率反馈为导向，被广泛用于编译器的解析与优化组件，但难以保证生成程序的语法和语义合法性。GrayC[14] 把覆盖率引导与一组保持语义合法性的源码级变异（表达式替换、控制结构改写）相结合，专门面向 C 编译器与分析器，覆盖率和缺陷发现率均优于纯生成式工具。EMI 系列[11]在已有种子的未执行区域做语义保持变换，可视作变异与变形预言机的组合。这条路线的局限在于：变异规则由人工先验定义，覆盖率只提供"是否走入新代码"的近似进度信号，变异本身缺乏对目标代码语义的理解。</w:t>
            </w:r>
          </w:p>
          <w:p>
            <w:pPr>
              <w:pStyle w:val="Normal"/>
              <w:spacing w:lineRule="auto" w:line="360"/>
              <w:rPr>
                <w:b/>
                <w:bCs/>
                <w:kern w:val="0"/>
                <w:sz w:val="24"/>
              </w:rPr>
            </w:pPr>
            <w:r>
              <w:rPr>
                <w:b/>
                <w:bCs/>
                <w:kern w:val="0"/>
                <w:sz w:val="24"/>
              </w:rPr>
              <w:t>2.3 大模型驱动的种子变异方法</w:t>
            </w:r>
          </w:p>
          <w:p>
            <w:pPr>
              <w:pStyle w:val="Normal"/>
              <w:spacing w:lineRule="auto" w:line="360"/>
              <w:ind w:firstLineChars="200" w:startChars="0" w:start="0" w:endChars="0" w:end="0"/>
              <w:rPr>
                <w:kern w:val="0"/>
                <w:sz w:val="24"/>
              </w:rPr>
            </w:pPr>
            <w:r>
              <w:rPr>
                <w:kern w:val="0"/>
                <w:sz w:val="24"/>
              </w:rPr>
              <w:t xml:space="preserve">大模型在代码理解与生成上的能力近年被引入以缓解传统变异在质量上的瓶颈。WhiteFox[5] 从编译器优化 pass 源码出发，先用大模型归纳触发该优化的输入模式（requirement summarization），再据此生成测试用例，使种子生成具备对编译器内部逻辑的感知；该方法在 PyTorch、TVM 等深度学习编译器上发现了若干优化路径深处的 bug。HLPFuzz[15] 进一步把大模型与覆盖率反馈耦合：在灰盒主循环之外引入白盒求解器，按"未覆盖且后继最多"的策略选取目标基本块，把单基本块翻译为约束求解任务交由大模型完成，并通过渐进式上下文构建缓解注意力衰减。这些工作表明大模型可以充当语义感知的变异引擎，但它们的目标设定仍是常规可达性——"让程序走到某个未覆盖位置"，并不关心目标路径所承担的安全契约。</w:t>
            </w:r>
          </w:p>
          <w:p>
            <w:pPr>
              <w:pStyle w:val="Normal"/>
              <w:spacing w:lineRule="auto" w:line="360"/>
              <w:ind w:firstLineChars="200" w:startChars="0" w:start="0" w:endChars="0" w:end="0"/>
              <w:rPr>
                <w:kern w:val="0"/>
                <w:sz w:val="24"/>
              </w:rPr>
            </w:pPr>
            <w:r>
              <w:rPr>
                <w:kern w:val="0"/>
                <w:sz w:val="24"/>
              </w:rPr>
              <w:t xml:space="preserve">综合来看，针对编译器自身防御机制的自动化测试在公开文献中仍然稀少：少数工作面向单一机制做差分测试（如扫描 IBT landing pad 存在性），另一些工作从二进制层面做事后审计，但难以反向定位到引入缺陷的编译器代码路径。本课题在变异方法上沿用大模型与覆盖率联合驱动的思路，但把推进目标限定在"防御机制相关代码"；在预言机上把机制不变量翻译为 fuzz 框架可直接使用的判定接口，使方法对静默失效保持敏感。</w:t>
            </w:r>
          </w:p>
          <w:p>
            <w:pPr>
              <w:pStyle w:val="Normal"/>
              <w:spacing w:lineRule="auto" w:line="360"/>
              <w:rPr>
                <w:sz w:val="24"/>
              </w:rPr>
            </w:pPr>
          </w:p>
          <w:p>
            <w:pPr>
              <w:pStyle w:val="Normal"/>
              <w:widowControl/>
              <w:jc w:val="start"/>
              <w:rPr>
                <w:b/>
                <w:bCs/>
                <w:kern w:val="0"/>
                <w:sz w:val="24"/>
              </w:rPr>
            </w:pPr>
            <w:r>
              <w:rPr>
                <w:b/>
                <w:bCs/>
                <w:kern w:val="0"/>
                <w:sz w:val="24"/>
              </w:rPr>
              <w:t>三、研究目标及研究内容</w:t>
            </w:r>
          </w:p>
          <w:p>
            <w:pPr>
              <w:pStyle w:val="Normal"/>
              <w:spacing w:lineRule="auto" w:line="360"/>
              <w:rPr>
                <w:b/>
                <w:bCs/>
                <w:kern w:val="0"/>
                <w:sz w:val="24"/>
              </w:rPr>
            </w:pPr>
            <w:r>
              <w:rPr>
                <w:b/>
                <w:bCs/>
                <w:kern w:val="0"/>
                <w:sz w:val="24"/>
              </w:rPr>
              <w:t>3.1 研究目标</w:t>
            </w:r>
          </w:p>
          <w:p>
            <w:pPr>
              <w:pStyle w:val="Normal"/>
              <w:spacing w:lineRule="auto" w:line="360"/>
              <w:ind w:firstLineChars="200" w:startChars="0" w:start="0" w:endChars="0" w:end="0"/>
              <w:rPr>
                <w:kern w:val="0"/>
                <w:sz w:val="24"/>
              </w:rPr>
            </w:pPr>
            <w:r>
              <w:rPr>
                <w:kern w:val="0"/>
                <w:sz w:val="24"/>
              </w:rPr>
              <w:t xml:space="preserve">本课题要构建一种面向编译器自身防御机制的模糊测试方法，并在 GCC 与 LLVM 上完成端到端验证。与以崩溃或差分输出为信号的传统编译器 fuzzer 不同，本方法以"防御机制是否仍满足其安全契约"为判据，自动暴露编译器仍能正常生成代码、但运行时保护已被静默削弱的失效。具体目标如下：(a) 形成一套覆盖主流防御机制的不变量集合，每条不变量具备可由二进制或运行行为判定的证据形式，在 GCC 与 LLVM 上保持一致的描述结构；(b) 构建一个可同时面向 GCC 与 LLVM、跨架构运行的 fuzzer 原型，以防御机制相关代码的源代码覆盖率为推进信号，用大模型完成种子精细变异；(c) 通过该原型在 GCC 与 LLVM 上发现可被上游确认的真实缺陷，验证方法有效性与跨编译器迁移性。三个目标依次推进，其依赖关系与对应的工作内容在 3.2 节中呈现（见图 3）。</w:t>
            </w:r>
          </w:p>
          <w:p>
            <w:pPr>
              <w:pStyle w:val="Normal"/>
              <w:spacing w:lineRule="auto" w:line="360"/>
              <w:rPr>
                <w:b/>
                <w:bCs/>
                <w:kern w:val="0"/>
                <w:sz w:val="24"/>
              </w:rPr>
            </w:pPr>
            <w:r>
              <w:rPr>
                <w:b/>
                <w:bCs/>
                <w:kern w:val="0"/>
                <w:sz w:val="24"/>
              </w:rPr>
              <w:t>3.2 研究内容</w:t>
            </w:r>
          </w:p>
          <w:p>
            <w:pPr>
              <w:pStyle w:val="Normal"/>
              <w:spacing w:lineRule="auto" w:line="360"/>
              <w:ind w:firstLineChars="200" w:startChars="0" w:start="0" w:endChars="0" w:end="0"/>
              <w:rPr>
                <w:kern w:val="0"/>
                <w:sz w:val="24"/>
              </w:rPr>
            </w:pPr>
            <w:r>
              <w:rPr>
                <w:kern w:val="0"/>
                <w:sz w:val="24"/>
              </w:rPr>
              <w:t xml:space="preserve">本课题分为以下三部分（见图 3），彼此存在依赖关系：不变量形式化是预言机与种子目标选择的事实基础；预言机为 fuzz 主循环提供安全判定接口；覆盖率驱动的种子生成则负责把 fuzzing 推进到能触发不变量的代码路径上。</w:t>
            </w:r>
          </w:p>
          <w:p>
            <w:pPr>
              <w:pStyle w:val="Normal"/>
              <w:spacing w:lineRule="auto" w:line="360"/>
              <w:jc w:val="center"/>
            </w:pPr>
            <w:r>
              <w:rPr/>
              <w:drawing>
                <wp:inline xmlns:wp="http://schemas.openxmlformats.org/drawingml/2006/wordprocessingDrawing" distT="0" distB="0" distL="0" distR="0">
                  <wp:extent cx="5385714" cy="1236021"/>
                  <wp:effectExtent l="0" t="0" r="0" b="0"/>
                  <wp:docPr id="23" name="Figur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peline.png"/>
                          <pic:cNvPicPr/>
                        </pic:nvPicPr>
                        <pic:blipFill>
                          <a:blip xmlns:r="http://schemas.openxmlformats.org/officeDocument/2006/relationships" r:embed="rId23"/>
                          <a:stretch>
                            <a:fillRect/>
                          </a:stretch>
                        </pic:blipFill>
                        <pic:spPr>
                          <a:xfrm>
                            <a:off x="0" y="0"/>
                            <a:ext cx="5385714" cy="1236021"/>
                          </a:xfrm>
                          <a:prstGeom prst="rect">
                            <a:avLst/>
                          </a:prstGeom>
                        </pic:spPr>
                      </pic:pic>
                    </a:graphicData>
                  </a:graphic>
                </wp:inline>
              </w:drawing>
            </w:r>
          </w:p>
          <w:p>
            <w:pPr>
              <w:pStyle w:val="Normal"/>
              <w:spacing w:lineRule="auto" w:line="300"/>
              <w:jc w:val="center"/>
              <w:rPr>
                <w:rFonts w:ascii="宋体" w:hAnsi="宋体" w:eastAsia="宋体"/>
                <w:i/>
                <w:sz w:val="20"/>
              </w:rPr>
            </w:pPr>
            <w:r>
              <w:rPr>
                <w:rFonts w:ascii="宋体" w:hAnsi="宋体" w:eastAsia="宋体"/>
                <w:i/>
                <w:sz w:val="20"/>
              </w:rPr>
              <w:t>图 3  研究内容工作链条</w:t>
            </w:r>
          </w:p>
          <w:p>
            <w:pPr>
              <w:pStyle w:val="Normal"/>
              <w:spacing w:lineRule="auto" w:line="360"/>
              <w:rPr>
                <w:sz w:val="24"/>
              </w:rPr>
            </w:pPr>
          </w:p>
          <w:p>
            <w:pPr>
              <w:pStyle w:val="Normal"/>
              <w:spacing w:lineRule="auto" w:line="360"/>
              <w:ind w:firstLineChars="200" w:startChars="0" w:start="0" w:endChars="0" w:end="0"/>
              <w:rPr>
                <w:kern w:val="0"/>
                <w:sz w:val="24"/>
              </w:rPr>
            </w:pPr>
            <w:r>
              <w:rPr>
                <w:kern w:val="0"/>
                <w:sz w:val="24"/>
              </w:rPr>
              <w:t xml:space="preserve">(1) 防御机制不变量的调研与形式化。针对 stack canary、_FORTIFY_SOURCE、IBT 等机制，从三类来源提炼其安全不变量：一是编译器源码中的注释与断言，如 GCC 中 AArch64 后端关于 canary 槽位置关系的安全注释、ix86 关于 ENDBR 立即数禁止的谓词，以及 LLVM 中 lib/CodeGen/StackProtector 与 X86InstrInfo 等模块的对应实现；二是 GCC、LLVM 自身文档（Clang Command Line Reference、Attribute Reference、CFI Design 等）以及 glibc 与 ABI 文档对开关 flag、_chk 接口、CET ELF property 等的规定；三是已确认的历史 bug 与对应 patch——从修补点反推被违反的不变量。每条不变量按统一字段记录陈述、所属编译器与版本、证据片段、信息源及版本敏感性，便于机械检索与跨版本回归。</w:t>
            </w:r>
          </w:p>
          <w:p>
            <w:pPr>
              <w:pStyle w:val="Normal"/>
              <w:spacing w:lineRule="auto" w:line="360"/>
              <w:ind w:firstLineChars="200" w:startChars="0" w:start="0" w:endChars="0" w:end="0"/>
              <w:rPr>
                <w:kern w:val="0"/>
                <w:sz w:val="24"/>
              </w:rPr>
            </w:pPr>
            <w:r>
              <w:rPr>
                <w:kern w:val="0"/>
                <w:sz w:val="24"/>
              </w:rPr>
              <w:t xml:space="preserve">(2) 不变量到预言机的工程化落地。把 (1) 中的不变量翻译为可在二进制层面或运行行为上判定的检查器。框架将检查器分为静态与动态两类：静态检查通过 ELF 符号、指令流模式、属性 note 做断言式判定；动态检查通过受控执行（如对 buffer 填充长度做二分搜索）观察运行时行为。预言机判据完全建立在二进制和运行行为之上，与产生该二进制的具体编译器解耦，GCC 与 LLVM 产物共用同一套检查器。每个机制配置一个聚合器，任一检查器返回 Fail 即记机制级违例并附带证据；同时为每个机制记录开机制 / 关机制两套 flag profile，框架据此对同一颗种子做对照判定，避免与编译器自身缺省行为混淆。</w:t>
            </w:r>
          </w:p>
          <w:p>
            <w:pPr>
              <w:pStyle w:val="Normal"/>
              <w:spacing w:lineRule="auto" w:line="360"/>
              <w:ind w:firstLineChars="200" w:startChars="0" w:start="0" w:endChars="0" w:end="0"/>
              <w:rPr>
                <w:kern w:val="0"/>
                <w:sz w:val="24"/>
              </w:rPr>
            </w:pPr>
            <w:r>
              <w:rPr>
                <w:kern w:val="0"/>
                <w:sz w:val="24"/>
              </w:rPr>
              <w:t xml:space="preserve">(3) 大模型与覆盖率联合驱动的种子生成。以 GCC 与 LLVM 中防御机制相关代码的源代码覆盖率为目标信号（GCC 侧 gcov，LLVM 侧 SanitizerCoverage / source-based coverage），结合控制流图按"未覆盖且与防御机制相关性高"的策略选取基本块作为约束求解目标，相关性由 CFG 后继分支数与所在代码区域的防御机制权重共同决定。每轮求解的流程：构造目标上下文（目标函数源码、目标基本块标注、覆盖前驱的种子作为示例），调用大模型生成新 C 种子，编译产物再经覆盖率与预言机检查；结果分析阶段同时看覆盖增量、是否命中目标、是否触发 bug 三个信号，任一为真即把种子纳入语料库。种子未命中目标时，通过轻量级调用追踪定位与基线种子的发散点，把发散函数源码作为额外上下文反馈给大模型进入下一轮变异。整个过程把覆盖率推进与安全契约判定统一在同一条主循环中，大模型的生成始终被防御机制相关代码路径所牵引。</w:t>
            </w:r>
          </w:p>
          <w:p>
            <w:pPr>
              <w:pStyle w:val="Normal"/>
              <w:spacing w:lineRule="auto" w:line="360"/>
              <w:rPr>
                <w:sz w:val="24"/>
              </w:rPr>
            </w:pPr>
          </w:p>
          <w:p>
            <w:pPr>
              <w:pStyle w:val="Normal"/>
              <w:widowControl/>
              <w:jc w:val="start"/>
              <w:rPr>
                <w:b/>
                <w:bCs/>
                <w:kern w:val="0"/>
                <w:sz w:val="24"/>
              </w:rPr>
            </w:pPr>
            <w:r>
              <w:rPr>
                <w:b/>
                <w:bCs/>
                <w:kern w:val="0"/>
                <w:sz w:val="24"/>
              </w:rPr>
              <w:t>四、技术路线</w:t>
            </w:r>
          </w:p>
          <w:p>
            <w:pPr>
              <w:pStyle w:val="Normal"/>
              <w:spacing w:lineRule="auto" w:line="360"/>
              <w:ind w:firstLineChars="200" w:startChars="0" w:start="0" w:endChars="0" w:end="0"/>
              <w:rPr>
                <w:kern w:val="0"/>
                <w:sz w:val="24"/>
              </w:rPr>
            </w:pPr>
            <w:r>
              <w:rPr>
                <w:kern w:val="0"/>
                <w:sz w:val="24"/>
              </w:rPr>
              <w:t xml:space="preserve">技术路线分为总体架构、不变量预言机框架、大模型约束求解主循环、跨架构与编译选项调度四部分，对应研究内容 (1)–(3) 的工程实现。GCC 上的初步验证证据见第五章。</w:t>
            </w:r>
          </w:p>
          <w:p>
            <w:pPr>
              <w:pStyle w:val="Normal"/>
              <w:spacing w:lineRule="auto" w:line="360"/>
              <w:rPr>
                <w:b/>
                <w:bCs/>
                <w:kern w:val="0"/>
                <w:sz w:val="24"/>
              </w:rPr>
            </w:pPr>
            <w:r>
              <w:rPr>
                <w:b/>
                <w:bCs/>
                <w:kern w:val="0"/>
                <w:sz w:val="24"/>
              </w:rPr>
              <w:t>1. 总体架构</w:t>
            </w:r>
          </w:p>
          <w:p>
            <w:pPr>
              <w:pStyle w:val="Normal"/>
              <w:spacing w:lineRule="auto" w:line="360"/>
              <w:ind w:firstLineChars="200" w:startChars="0" w:start="0" w:endChars="0" w:end="0"/>
              <w:rPr>
                <w:kern w:val="0"/>
                <w:sz w:val="24"/>
              </w:rPr>
            </w:pPr>
            <w:r>
              <w:rPr>
                <w:kern w:val="0"/>
                <w:sz w:val="24"/>
              </w:rPr>
              <w:t xml:space="preserve">系统以一条 fuzz 主循环为骨架，由 LLM 变异、编译器、预言机三个子系统加种子语料库、配置模块共同支撑（总体结构见图 4）。Fuzz 引擎承担主循环调度与提示词组装两项职能，把当前覆盖率、目标基本块和已有种子拼装成提示词后交给 LLM 变异子系统调用远端模型，再把返回的新种子分发给后续环节。编译器子系统封装预先插桩的 GCC 与 LLVM 构建：GCC 侧通过 gcov 采集 .gcda 覆盖率数据，LLVM 侧通过 SanitizerCoverage 与 source-based coverage 采集 .profraw 数据，二者经统一接口归并为同构的"行级覆盖 → 种子 ID"映射，主循环对底层编译器无感知。预言机子系统按防御机制聚合不变量检查器，对每颗成功编译的种子做安全契约判定，判据建立在 ELF 二进制与运行行为之上，GCC 与 LLVM 产物共用同一套检查器。种子语料库持久化满足质量阈值的种子并维护家系信息。配置模块按"防御机制 · ISA · flag"三元组下发任务：把工具链选择（GCC / LLVM）与对应 flag 交给编译器子系统，把目标 ISA 对应的 QEMU 工具链交给预言机的执行层，使同一份种子能在不同后端上做对照实验。</w:t>
            </w:r>
          </w:p>
          <w:p>
            <w:pPr>
              <w:pStyle w:val="Normal"/>
              <w:spacing w:lineRule="auto" w:line="360"/>
              <w:jc w:val="center"/>
            </w:pPr>
            <w:r>
              <w:rPr/>
              <w:drawing>
                <wp:inline xmlns:wp="http://schemas.openxmlformats.org/drawingml/2006/wordprocessingDrawing" distT="0" distB="0" distL="0" distR="0">
                  <wp:extent cx="5385714" cy="2609079"/>
                  <wp:effectExtent l="0" t="0" r="0" b="0"/>
                  <wp:docPr id="24" name="Figur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rchitecture.png"/>
                          <pic:cNvPicPr/>
                        </pic:nvPicPr>
                        <pic:blipFill>
                          <a:blip xmlns:r="http://schemas.openxmlformats.org/officeDocument/2006/relationships" r:embed="rId24"/>
                          <a:stretch>
                            <a:fillRect/>
                          </a:stretch>
                        </pic:blipFill>
                        <pic:spPr>
                          <a:xfrm>
                            <a:off x="0" y="0"/>
                            <a:ext cx="5385714" cy="2609079"/>
                          </a:xfrm>
                          <a:prstGeom prst="rect">
                            <a:avLst/>
                          </a:prstGeom>
                        </pic:spPr>
                      </pic:pic>
                    </a:graphicData>
                  </a:graphic>
                </wp:inline>
              </w:drawing>
            </w:r>
          </w:p>
          <w:p>
            <w:pPr>
              <w:pStyle w:val="Normal"/>
              <w:spacing w:lineRule="auto" w:line="300"/>
              <w:jc w:val="center"/>
              <w:rPr>
                <w:rFonts w:ascii="宋体" w:hAnsi="宋体" w:eastAsia="宋体"/>
                <w:i/>
                <w:sz w:val="20"/>
              </w:rPr>
            </w:pPr>
            <w:r>
              <w:rPr>
                <w:rFonts w:ascii="宋体" w:hAnsi="宋体" w:eastAsia="宋体"/>
                <w:i/>
                <w:sz w:val="20"/>
              </w:rPr>
              <w:t>图 4  DeFuzz 总体架构</w:t>
            </w:r>
          </w:p>
          <w:p>
            <w:pPr>
              <w:pStyle w:val="Normal"/>
              <w:spacing w:lineRule="auto" w:line="360"/>
              <w:rPr>
                <w:sz w:val="24"/>
              </w:rPr>
            </w:pPr>
          </w:p>
          <w:p>
            <w:pPr>
              <w:pStyle w:val="Normal"/>
              <w:spacing w:lineRule="auto" w:line="360"/>
              <w:rPr>
                <w:b/>
                <w:bCs/>
                <w:kern w:val="0"/>
                <w:sz w:val="24"/>
              </w:rPr>
            </w:pPr>
            <w:r>
              <w:rPr>
                <w:b/>
                <w:bCs/>
                <w:kern w:val="0"/>
                <w:sz w:val="24"/>
              </w:rPr>
              <w:t>2. 防御机制不变量预言机框架</w:t>
            </w:r>
          </w:p>
          <w:p>
            <w:pPr>
              <w:pStyle w:val="Normal"/>
              <w:spacing w:lineRule="auto" w:line="360"/>
              <w:ind w:firstLineChars="200" w:startChars="0" w:start="0" w:endChars="0" w:end="0"/>
              <w:rPr>
                <w:kern w:val="0"/>
                <w:sz w:val="24"/>
              </w:rPr>
            </w:pPr>
            <w:r>
              <w:rPr>
                <w:kern w:val="0"/>
                <w:sz w:val="24"/>
              </w:rPr>
              <w:t xml:space="preserve">每个机制对应一个聚合器，下挂若干检查器，输入端把同一颗种子的源码、汇编与最终二进制一并交给检查器（判定流程见图 5）。检查器分为静态与动态两类：静态检查器走汇编分析与字节检查路径，读 ELF 符号表、指令字节模式与 .note 段做断言式判定，例如确认间接跳转目标处的 ENDBR 字节、_chk 接口被正确链接；动态检查器以插桩检测和二分搜索为主要手段，通过受控执行观察运行时行为，典型做法是对溢出 buffer 的填充长度做二分搜索，定位 canary 触发的实际边界。每个检查器返回 Pass、Fail、Error 三态，Error 仅用于隔离基础设施故障，不参与机制级判定；聚合时任一 Fail 即视为机制级违例，并把触发证据回写到种子记录。对易与编译器缺省行为混淆的检查器，框架同时跑开机制与关机制两套 flag profile，比对两次判定的差异，确保 Pass / Fail 反映的是机制本身。预言机维护一份元信息缓存，复用二分搜索结果与动态符号查询，避免同一颗二进制被多次解析或执行。</w:t>
            </w:r>
          </w:p>
          <w:p>
            <w:pPr>
              <w:pStyle w:val="Normal"/>
              <w:spacing w:lineRule="auto" w:line="360"/>
              <w:jc w:val="center"/>
            </w:pPr>
            <w:r>
              <w:rPr/>
              <w:drawing>
                <wp:inline xmlns:wp="http://schemas.openxmlformats.org/drawingml/2006/wordprocessingDrawing" distT="0" distB="0" distL="0" distR="0">
                  <wp:extent cx="4284090" cy="5612159"/>
                  <wp:effectExtent l="0" t="0" r="0" b="0"/>
                  <wp:docPr id="25" name="Figur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racle-flow.png"/>
                          <pic:cNvPicPr/>
                        </pic:nvPicPr>
                        <pic:blipFill>
                          <a:blip xmlns:r="http://schemas.openxmlformats.org/officeDocument/2006/relationships" r:embed="rId25"/>
                          <a:stretch>
                            <a:fillRect/>
                          </a:stretch>
                        </pic:blipFill>
                        <pic:spPr>
                          <a:xfrm>
                            <a:off x="0" y="0"/>
                            <a:ext cx="4284090" cy="5612159"/>
                          </a:xfrm>
                          <a:prstGeom prst="rect">
                            <a:avLst/>
                          </a:prstGeom>
                        </pic:spPr>
                      </pic:pic>
                    </a:graphicData>
                  </a:graphic>
                </wp:inline>
              </w:drawing>
            </w:r>
          </w:p>
          <w:p>
            <w:pPr>
              <w:pStyle w:val="Normal"/>
              <w:spacing w:lineRule="auto" w:line="300"/>
              <w:jc w:val="center"/>
              <w:rPr>
                <w:rFonts w:ascii="宋体" w:hAnsi="宋体" w:eastAsia="宋体"/>
                <w:i/>
                <w:sz w:val="20"/>
              </w:rPr>
            </w:pPr>
            <w:r>
              <w:rPr>
                <w:rFonts w:ascii="宋体" w:hAnsi="宋体" w:eastAsia="宋体"/>
                <w:i/>
                <w:sz w:val="20"/>
              </w:rPr>
              <w:t>图 5  防御机制不变量预言机判定流程</w:t>
            </w:r>
          </w:p>
          <w:p>
            <w:pPr>
              <w:pStyle w:val="Normal"/>
              <w:spacing w:lineRule="auto" w:line="360"/>
              <w:rPr>
                <w:sz w:val="24"/>
              </w:rPr>
            </w:pPr>
          </w:p>
          <w:p>
            <w:pPr>
              <w:pStyle w:val="Normal"/>
              <w:spacing w:lineRule="auto" w:line="360"/>
              <w:rPr>
                <w:b/>
                <w:bCs/>
                <w:kern w:val="0"/>
                <w:sz w:val="24"/>
              </w:rPr>
            </w:pPr>
            <w:r>
              <w:rPr>
                <w:b/>
                <w:bCs/>
                <w:kern w:val="0"/>
                <w:sz w:val="24"/>
              </w:rPr>
              <w:t>3. 大模型约束求解主循环</w:t>
            </w:r>
          </w:p>
          <w:p>
            <w:pPr>
              <w:pStyle w:val="Normal"/>
              <w:spacing w:lineRule="auto" w:line="360"/>
              <w:ind w:firstLineChars="200" w:startChars="0" w:start="0" w:endChars="0" w:end="0"/>
              <w:rPr>
                <w:kern w:val="0"/>
                <w:sz w:val="24"/>
              </w:rPr>
            </w:pPr>
            <w:r>
              <w:rPr>
                <w:kern w:val="0"/>
                <w:sz w:val="24"/>
              </w:rPr>
              <w:t xml:space="preserve">主循环输入为当前覆盖率映射与编译器源码控制流图（迭代过程见图 6）。每轮先在未覆盖基本块中按相关性挑出一个目标，相关性由该基本块在 CFG 上的后继分支数和所属代码区域对防御机制的关联程度共同决定，使搜索集中在尚未触达且与防御逻辑相关的代码上；随后构造目标上下文：目标函数源码片段（来自当前所测的 GCC 或 LLVM 版本）、逐行覆盖标注、目标基本块位置，以及覆盖目标前驱的若干种子作为示例。提示词组装层把上下文拼接到基础约束求解提示词与机制契约要求之后，提交给大模型生成新 C 种子。编译失败时把错误信息与上一版源码反馈进入下一轮；编译成功后覆盖率分析器判断是否命中目标，预言机给出安全判定。结果分析阶段同时看覆盖增量、是否命中目标、是否触发 bug 三个信号，任一为真即把该种子纳入语料库。种子未命中目标但带来新覆盖时，轻量级动态追踪定位它与基线种子在调用序列上的首个发散点，把发散函数源码作为额外上下文回喂提示词组装层，再次请求模型做精细变异。目标基本块全部覆盖后，主循环可切换到随机变异阶段，仅以预言机为持久化条件继续探索。</w:t>
            </w:r>
          </w:p>
          <w:p>
            <w:pPr>
              <w:pStyle w:val="Normal"/>
              <w:spacing w:lineRule="auto" w:line="360"/>
              <w:jc w:val="center"/>
            </w:pPr>
            <w:r>
              <w:rPr/>
              <w:drawing>
                <wp:inline xmlns:wp="http://schemas.openxmlformats.org/drawingml/2006/wordprocessingDrawing" distT="0" distB="0" distL="0" distR="0">
                  <wp:extent cx="3501559" cy="6725183"/>
                  <wp:effectExtent l="0" t="0" r="0" b="0"/>
                  <wp:docPr id="26" name="Figur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ain-loop.png"/>
                          <pic:cNvPicPr/>
                        </pic:nvPicPr>
                        <pic:blipFill>
                          <a:blip xmlns:r="http://schemas.openxmlformats.org/officeDocument/2006/relationships" r:embed="rId26"/>
                          <a:stretch>
                            <a:fillRect/>
                          </a:stretch>
                        </pic:blipFill>
                        <pic:spPr>
                          <a:xfrm>
                            <a:off x="0" y="0"/>
                            <a:ext cx="3501559" cy="6725183"/>
                          </a:xfrm>
                          <a:prstGeom prst="rect">
                            <a:avLst/>
                          </a:prstGeom>
                        </pic:spPr>
                      </pic:pic>
                    </a:graphicData>
                  </a:graphic>
                </wp:inline>
              </w:drawing>
            </w:r>
          </w:p>
          <w:p>
            <w:pPr>
              <w:pStyle w:val="Normal"/>
              <w:spacing w:lineRule="auto" w:line="300"/>
              <w:jc w:val="center"/>
              <w:rPr>
                <w:rFonts w:ascii="宋体" w:hAnsi="宋体" w:eastAsia="宋体"/>
                <w:i/>
                <w:sz w:val="20"/>
              </w:rPr>
            </w:pPr>
            <w:r>
              <w:rPr>
                <w:rFonts w:ascii="宋体" w:hAnsi="宋体" w:eastAsia="宋体"/>
                <w:i/>
                <w:sz w:val="20"/>
              </w:rPr>
              <w:t>图 6  大模型约束求解主循环</w:t>
            </w:r>
          </w:p>
          <w:p>
            <w:pPr>
              <w:pStyle w:val="Normal"/>
              <w:spacing w:lineRule="auto" w:line="360"/>
              <w:rPr>
                <w:sz w:val="24"/>
              </w:rPr>
            </w:pPr>
          </w:p>
          <w:p>
            <w:pPr>
              <w:pStyle w:val="Normal"/>
              <w:spacing w:lineRule="auto" w:line="360"/>
              <w:rPr>
                <w:b/>
                <w:bCs/>
                <w:kern w:val="0"/>
                <w:sz w:val="24"/>
              </w:rPr>
            </w:pPr>
            <w:r>
              <w:rPr>
                <w:b/>
                <w:bCs/>
                <w:kern w:val="0"/>
                <w:sz w:val="24"/>
              </w:rPr>
              <w:t>4. 跨架构与编译选项调度</w:t>
            </w:r>
          </w:p>
          <w:p>
            <w:pPr>
              <w:pStyle w:val="Normal"/>
              <w:spacing w:lineRule="auto" w:line="360"/>
              <w:ind w:firstLineChars="200" w:startChars="0" w:start="0" w:endChars="0" w:end="0"/>
              <w:rPr>
                <w:kern w:val="0"/>
                <w:sz w:val="24"/>
              </w:rPr>
            </w:pPr>
            <w:r>
              <w:rPr>
                <w:kern w:val="0"/>
                <w:sz w:val="24"/>
              </w:rPr>
              <w:t xml:space="preserve">配置模块把编译命令参数化为编译器（GCC / LLVM）、ISA、架构相关 flag、策略相关 flag profile 四元组，向编译器子系统下发工具链与 flag，向预言机执行层下发对应 ISA 的 QEMU 工具链，同一份种子据此分发给不同后端，目标二进制通过 QEMU 用户态执行。flag profile 同时包含开机制（如 -fstack-protector-strong）与关机制（如 -fno-stack-protector）两套，预言机据此对同一颗种子做对照判定；关机制产物仅用于交叉验证，不进入主语料库。GCC 与 LLVM 在防御机制 flag 拼写上的差异（如 -fcf-protection 对 -fsanitize=cfi）由 FlagScheduler 统一抽象为"机制级"配置，向上层屏蔽。BinaryInspector 屏蔽 ISA 差异：通过 Go 标准库读取 ELF 符号表与 .note 段，为检查器提供导入函数列表、ENDBR 字节模式扫描、栈布局采样等能力。</w:t>
            </w:r>
          </w:p>
          <w:p>
            <w:pPr>
              <w:pStyle w:val="Normal"/>
              <w:spacing w:lineRule="auto" w:line="360"/>
              <w:rPr>
                <w:sz w:val="24"/>
              </w:rPr>
            </w:pPr>
          </w:p>
          <w:p>
            <w:pPr>
              <w:pStyle w:val="Normal"/>
              <w:widowControl/>
              <w:jc w:val="start"/>
              <w:rPr>
                <w:b/>
                <w:bCs/>
                <w:kern w:val="0"/>
                <w:sz w:val="24"/>
              </w:rPr>
            </w:pPr>
            <w:r>
              <w:rPr>
                <w:b/>
                <w:bCs/>
                <w:kern w:val="0"/>
                <w:sz w:val="24"/>
              </w:rPr>
              <w:t>五、初步实验</w:t>
            </w:r>
          </w:p>
          <w:p>
            <w:pPr>
              <w:pStyle w:val="Normal"/>
              <w:spacing w:lineRule="auto" w:line="360"/>
              <w:ind w:firstLineChars="200" w:startChars="0" w:start="0" w:endChars="0" w:end="0"/>
              <w:rPr>
                <w:kern w:val="0"/>
                <w:sz w:val="24"/>
              </w:rPr>
            </w:pPr>
            <w:r>
              <w:rPr>
                <w:kern w:val="0"/>
                <w:sz w:val="24"/>
              </w:rPr>
              <w:t xml:space="preserve">目前已在 GCC 多个版本（若干稳定版与一个本地构建的 master 快照）上对栈金丝雀、_FORTIFY_SOURCE、IBT 等部分防御机制做了实验，LLVM 侧同类实验纳入下一阶段。已完成实验共发现 3 例可被上游确认的 silent failure[17-20]；下文展开其中两例，第三例（栈金丝雀在多个 ISA 的 fallback 后端上函数返回时寄存器未清零，与 PR-96191[7] 同源）篇幅较短，在 5.3 节简述。</w:t>
            </w:r>
          </w:p>
          <w:p>
            <w:pPr>
              <w:pStyle w:val="Normal"/>
              <w:spacing w:lineRule="auto" w:line="360"/>
              <w:rPr>
                <w:b/>
                <w:bCs/>
                <w:kern w:val="0"/>
                <w:sz w:val="24"/>
              </w:rPr>
            </w:pPr>
            <w:r>
              <w:rPr>
                <w:b/>
                <w:bCs/>
                <w:kern w:val="0"/>
                <w:sz w:val="24"/>
              </w:rPr>
              <w:t>5.1 案例一：_FORTIFY_SOURCE 优化改写后运行时上限被静默放宽</w:t>
            </w:r>
          </w:p>
          <w:p>
            <w:pPr>
              <w:pStyle w:val="Normal"/>
              <w:spacing w:lineRule="auto" w:line="360"/>
              <w:ind w:firstLineChars="200" w:startChars="0" w:start="0" w:endChars="0" w:end="0"/>
              <w:rPr>
                <w:kern w:val="0"/>
                <w:sz w:val="24"/>
              </w:rPr>
            </w:pPr>
            <w:r>
              <w:rPr>
                <w:kern w:val="0"/>
                <w:sz w:val="24"/>
              </w:rPr>
              <w:t xml:space="preserve">_FORTIFY_SOURCE 是 GCC 与 glibc 配合的源代码加固机制。开启后，glibc 头文件在预处理阶段把 strcat 等危险接口重写为带 size 参数的 __strcat_chk，运行时据此检查目的缓冲区上限。GCC 的 strlen pass 进一步识别已知前缀长度的目的指针，将 __strcat_chk 改写为性能更优的 __stpcpy_chk，并把目的指针前移 strlen(dst) 字节。这里的安全不变量是：目的指针前移后，传给 __stpcpy_chk 的 size 参数必须由原始 objsize 减去 strlen(dst)，否则运行时上限就被静默放宽 strlen(dst) 字节。</w:t>
            </w:r>
          </w:p>
          <w:p>
            <w:pPr>
              <w:pStyle w:val="Normal"/>
              <w:spacing w:lineRule="auto" w:line="360"/>
              <w:ind w:firstLineChars="200" w:startChars="0" w:start="0" w:endChars="0" w:end="0"/>
              <w:rPr>
                <w:kern w:val="0"/>
                <w:sz w:val="24"/>
              </w:rPr>
            </w:pPr>
            <w:r>
              <w:rPr>
                <w:kern w:val="0"/>
                <w:sz w:val="24"/>
              </w:rPr>
              <w:t xml:space="preserve">实测中，本方法构造的种子在该路径上稳定触发了 size 参数未相应减小的实例。反汇编层面 strcat → __strcat_chk → __stpcpy_chk 整条链条仍然出现，看似 FORTIFY 仍在生效，但"按 dst 剩余空间收紧上限"那一步已被丢弃。该缺陷自 GCC 4.7 起存在，跨越十余年未被发现；上报后已被确认（PR-125079[17]）并合入主分支，预计随 GCC 16.1 发布，开发团队同时计划向 GCC 13、14、15 回送补丁。这条路径与 2018 年的 PR-87672[6] 处于同一文件：当年的修复只覆盖了一个对称分支，另一支被遗漏至今——这本身就是第一章所述"矩阵同源遗漏"的又一例证。</w:t>
            </w:r>
          </w:p>
          <w:p>
            <w:pPr>
              <w:pStyle w:val="Normal"/>
              <w:spacing w:lineRule="auto" w:line="360"/>
              <w:ind w:firstLineChars="200" w:startChars="0" w:start="0" w:endChars="0" w:end="0"/>
              <w:rPr>
                <w:kern w:val="0"/>
                <w:sz w:val="24"/>
              </w:rPr>
            </w:pPr>
            <w:r>
              <w:rPr>
                <w:kern w:val="0"/>
                <w:sz w:val="24"/>
              </w:rPr>
              <w:t xml:space="preserve">预言机方面，本例命中"FORTIFY 调用点的 size 参数下界推断"不变量，证据为静态符号 + 反汇编，在静态阶段判定；该优化路径与 size 静默放宽的位置见图 7。</w:t>
            </w:r>
          </w:p>
          <w:p>
            <w:pPr>
              <w:pStyle w:val="Normal"/>
              <w:spacing w:lineRule="auto" w:line="360"/>
              <w:jc w:val="center"/>
            </w:pPr>
            <w:r>
              <w:rPr/>
              <w:drawing>
                <wp:inline xmlns:wp="http://schemas.openxmlformats.org/drawingml/2006/wordprocessingDrawing" distT="0" distB="0" distL="0" distR="0">
                  <wp:extent cx="4284090" cy="6361875"/>
                  <wp:effectExtent l="0" t="0" r="0" b="0"/>
                  <wp:docPr id="27" name="Figur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ortify-path.png"/>
                          <pic:cNvPicPr/>
                        </pic:nvPicPr>
                        <pic:blipFill>
                          <a:blip xmlns:r="http://schemas.openxmlformats.org/officeDocument/2006/relationships" r:embed="rId27"/>
                          <a:stretch>
                            <a:fillRect/>
                          </a:stretch>
                        </pic:blipFill>
                        <pic:spPr>
                          <a:xfrm>
                            <a:off x="0" y="0"/>
                            <a:ext cx="4284090" cy="6361875"/>
                          </a:xfrm>
                          <a:prstGeom prst="rect">
                            <a:avLst/>
                          </a:prstGeom>
                        </pic:spPr>
                      </pic:pic>
                    </a:graphicData>
                  </a:graphic>
                </wp:inline>
              </w:drawing>
            </w:r>
          </w:p>
          <w:p>
            <w:pPr>
              <w:pStyle w:val="Normal"/>
              <w:spacing w:lineRule="auto" w:line="300"/>
              <w:jc w:val="center"/>
              <w:rPr>
                <w:rFonts w:ascii="宋体" w:hAnsi="宋体" w:eastAsia="宋体"/>
                <w:i/>
                <w:sz w:val="20"/>
              </w:rPr>
            </w:pPr>
            <w:r>
              <w:rPr>
                <w:rFonts w:ascii="宋体" w:hAnsi="宋体" w:eastAsia="宋体"/>
                <w:i/>
                <w:sz w:val="20"/>
              </w:rPr>
              <w:t>图 7  _FORTIFY_SOURCE 优化路径与 size 静默放宽</w:t>
            </w:r>
          </w:p>
          <w:p>
            <w:pPr>
              <w:pStyle w:val="Normal"/>
              <w:spacing w:lineRule="auto" w:line="360"/>
              <w:rPr>
                <w:sz w:val="24"/>
              </w:rPr>
            </w:pPr>
          </w:p>
          <w:p>
            <w:pPr>
              <w:pStyle w:val="Normal"/>
              <w:spacing w:lineRule="auto" w:line="360"/>
              <w:rPr>
                <w:b/>
                <w:bCs/>
                <w:kern w:val="0"/>
                <w:sz w:val="24"/>
              </w:rPr>
            </w:pPr>
            <w:r>
              <w:rPr>
                <w:b/>
                <w:bCs/>
                <w:kern w:val="0"/>
                <w:sz w:val="24"/>
              </w:rPr>
              <w:t>5.2 案例二：IBT 检查漏过 endbr 字节模式导致间接跳转保护被绕过</w:t>
            </w:r>
          </w:p>
          <w:p>
            <w:pPr>
              <w:pStyle w:val="Normal"/>
              <w:spacing w:lineRule="auto" w:line="360"/>
              <w:ind w:firstLineChars="200" w:startChars="0" w:start="0" w:endChars="0" w:end="0"/>
              <w:rPr>
                <w:kern w:val="0"/>
                <w:sz w:val="24"/>
              </w:rPr>
            </w:pPr>
            <w:r>
              <w:rPr>
                <w:kern w:val="0"/>
                <w:sz w:val="24"/>
              </w:rPr>
              <w:t xml:space="preserve">IBT（Indirect Branch Tracking）是 Intel CET 中针对间接跳转的保护机制：硬件要求间接跳转或调用的目标地址必须以 endbr 指令开头，否则触发异常。endbr 在二进制中是固定的四字节值（endbr64 = F3 0F 1E FA、endbr32 = F3 0F 1E FB），按设计只应作为合法间接跳转入口出现在代码段。如果这四个字节以其他形式出现——比如作为 movabsq 指令的 64 位立即数的一部分嵌入 .text——攻击者就可以把控制流劫持到该处，硬件会将其识别为合法 landing pad，IBT 语义被绕过。</w:t>
            </w:r>
          </w:p>
          <w:p>
            <w:pPr>
              <w:pStyle w:val="Normal"/>
              <w:spacing w:lineRule="auto" w:line="360"/>
              <w:ind w:firstLineChars="200" w:startChars="0" w:start="0" w:endChars="0" w:end="0"/>
              <w:rPr>
                <w:kern w:val="0"/>
                <w:sz w:val="24"/>
              </w:rPr>
            </w:pPr>
            <w:r>
              <w:rPr>
                <w:kern w:val="0"/>
                <w:sz w:val="24"/>
              </w:rPr>
              <w:t xml:space="preserve">GCC 在 x86 后端用 ix86_endbr_immediate_operand 谓词做字节级检测：当目标启用 IBT 时，谓词扫描立即数中是否存在 endbr 模式，含该模式的立即数会被拒绝（同源历史修复参见 PR-96350[8]）。本方法在该谓词实现中发现一个逻辑漏洞：扫描循环对"高位非零"的 64 位立即数提前退出，只要 endbr 字节排布在立即数高位，扫描就走不到对应位置。这类立即数被错误接受，进而在 .text 中嵌入了不受控的伪 landing pad。该缺陷已上报上游（PR-125084[18]），等待维护者回复。</w:t>
            </w:r>
          </w:p>
          <w:p>
            <w:pPr>
              <w:pStyle w:val="Normal"/>
              <w:spacing w:lineRule="auto" w:line="360"/>
              <w:ind w:firstLineChars="200" w:startChars="0" w:start="0" w:endChars="0" w:end="0"/>
              <w:rPr>
                <w:kern w:val="0"/>
                <w:sz w:val="24"/>
              </w:rPr>
            </w:pPr>
            <w:r>
              <w:rPr>
                <w:kern w:val="0"/>
                <w:sz w:val="24"/>
              </w:rPr>
              <w:t xml:space="preserve">预言机方面，本例命中"endbr 字节模式不应出现在非跳转目标的指令中"不变量，证据为代码段内 endbr 模式扫描，属静态指令流检查。</w:t>
            </w:r>
          </w:p>
          <w:p>
            <w:pPr>
              <w:pStyle w:val="Normal"/>
              <w:spacing w:lineRule="auto" w:line="360"/>
              <w:rPr>
                <w:b/>
                <w:bCs/>
                <w:kern w:val="0"/>
                <w:sz w:val="24"/>
              </w:rPr>
            </w:pPr>
            <w:r>
              <w:rPr>
                <w:b/>
                <w:bCs/>
                <w:kern w:val="0"/>
                <w:sz w:val="24"/>
              </w:rPr>
              <w:t>5.3 案例三：多 ISA 下 canary 寄存器返回时未清零</w:t>
            </w:r>
          </w:p>
          <w:p>
            <w:pPr>
              <w:pStyle w:val="Normal"/>
              <w:spacing w:lineRule="auto" w:line="360"/>
              <w:ind w:firstLineChars="200" w:startChars="0" w:start="0" w:endChars="0" w:end="0"/>
              <w:rPr>
                <w:kern w:val="0"/>
                <w:sz w:val="24"/>
              </w:rPr>
            </w:pPr>
            <w:r>
              <w:rPr>
                <w:kern w:val="0"/>
                <w:sz w:val="24"/>
              </w:rPr>
              <w:t xml:space="preserve">本方法在 GCC 通用栈保护后端的 fallback 路径上还找到一例同类失效：MIPS、LoongArch、Xtensa、CSKY 等 ISA 的 fallback 后端未提供专用 epilogue 模板，函数返回时金丝雀寄存器未显式清零，进程级 __stack_chk_guard 值在调用者的可见寄存器中残留。该问题与 2020 年针对 AArch64 / ARM 的 PR-96191[7] 同源，当年修复未覆盖上述后端。本课题以 meta-bug PR-125045[19] 统一跟踪该家族在多 ISA 上的实例，其中 LoongArch 子例（PR-125049[20]）已被维护者确认并合入修复，其余 ISA 子例正在依次上报。</w:t>
            </w:r>
          </w:p>
          <w:p>
            <w:pPr>
              <w:pStyle w:val="Normal"/>
              <w:spacing w:lineRule="auto" w:line="360"/>
              <w:rPr>
                <w:b/>
                <w:bCs/>
                <w:kern w:val="0"/>
                <w:sz w:val="24"/>
              </w:rPr>
            </w:pPr>
            <w:r>
              <w:rPr>
                <w:b/>
                <w:bCs/>
                <w:kern w:val="0"/>
                <w:sz w:val="24"/>
              </w:rPr>
              <w:t>5.4 小结</w:t>
            </w:r>
          </w:p>
          <w:p>
            <w:pPr>
              <w:pStyle w:val="Normal"/>
              <w:spacing w:lineRule="auto" w:line="360"/>
              <w:ind w:firstLineChars="200" w:startChars="0" w:start="0" w:endChars="0" w:end="0"/>
              <w:rPr>
                <w:kern w:val="0"/>
                <w:sz w:val="24"/>
              </w:rPr>
            </w:pPr>
            <w:r>
              <w:rPr>
                <w:kern w:val="0"/>
                <w:sz w:val="24"/>
              </w:rPr>
              <w:t xml:space="preserve">三例分别覆盖静态符号、动态行为、指令流字节模式三类不变量形态，共同特征是：二进制看起来带有保护，但编译器代码路径某一处的安全不变量已失去维护。方法在不修改编译器的前提下，通过约束求解与不变量预言机组合把这类差异在自动化流程中暴露出来。LLVM 侧实验预计在后续阶段以同一预言机框架补全。</w:t>
            </w:r>
          </w:p>
          <w:p>
            <w:pPr>
              <w:pStyle w:val="Normal"/>
              <w:spacing w:lineRule="auto" w:line="360"/>
              <w:rPr>
                <w:sz w:val="24"/>
              </w:rPr>
            </w:pPr>
          </w:p>
          <w:p>
            <w:pPr>
              <w:pStyle w:val="Normal"/>
              <w:widowControl/>
              <w:jc w:val="start"/>
              <w:rPr>
                <w:b/>
                <w:bCs/>
                <w:kern w:val="0"/>
                <w:sz w:val="24"/>
              </w:rPr>
            </w:pPr>
            <w:r>
              <w:rPr>
                <w:b/>
                <w:bCs/>
                <w:kern w:val="0"/>
                <w:sz w:val="24"/>
              </w:rPr>
              <w:t>参考文献</w:t>
            </w:r>
          </w:p>
          <w:p>
            <w:pPr>
              <w:pStyle w:val="Normal"/>
              <w:keepLines/>
              <w:spacing w:lineRule="auto" w:line="360"/>
              <w:jc w:val="start"/>
              <w:rPr>
                <w:kern w:val="0"/>
                <w:sz w:val="24"/>
              </w:rPr>
            </w:pPr>
            <w:r>
              <w:rPr>
                <w:kern w:val="0"/>
                <w:sz w:val="24"/>
              </w:rPr>
              <w:t xml:space="preserve">[1] Yang X, Chen Y, Eide E, et al. Finding and understanding bugs in C compilers[C]//Proceedings of the 32nd ACM SIGPLAN Conference on Programming Language Design and Implementation (PLDI). 2011: 283-294.</w:t>
            </w:r>
          </w:p>
          <w:p>
            <w:pPr>
              <w:pStyle w:val="Normal"/>
              <w:keepLines/>
              <w:spacing w:lineRule="auto" w:line="360"/>
              <w:jc w:val="start"/>
              <w:rPr>
                <w:kern w:val="0"/>
                <w:sz w:val="24"/>
              </w:rPr>
            </w:pPr>
            <w:r>
              <w:rPr>
                <w:kern w:val="0"/>
                <w:sz w:val="24"/>
              </w:rPr>
              <w:t xml:space="preserve">[2] Livinskii V, Babokin D, Regehr J. Random testing for C and C++ compilers with YARPGen[C]//Proceedings of the ACM on Programming Languages (OOPSLA). 2020, 4: 1-25.</w:t>
            </w:r>
          </w:p>
          <w:p>
            <w:pPr>
              <w:pStyle w:val="Normal"/>
              <w:keepLines/>
              <w:spacing w:lineRule="auto" w:line="360"/>
              <w:jc w:val="start"/>
              <w:rPr>
                <w:kern w:val="0"/>
                <w:sz w:val="24"/>
              </w:rPr>
            </w:pPr>
            <w:r>
              <w:rPr>
                <w:kern w:val="0"/>
                <w:sz w:val="24"/>
              </w:rPr>
              <w:t xml:space="preserve">[3] Zalewski M. American Fuzzy Lop (AFL)[EB/OL]. (2014)[2026-02-15]. https://lcamtuf.coredump.cx/afl/.</w:t>
            </w:r>
          </w:p>
          <w:p>
            <w:pPr>
              <w:pStyle w:val="Normal"/>
              <w:keepLines/>
              <w:spacing w:lineRule="auto" w:line="360"/>
              <w:jc w:val="start"/>
              <w:rPr>
                <w:kern w:val="0"/>
                <w:sz w:val="24"/>
              </w:rPr>
            </w:pPr>
            <w:r>
              <w:rPr>
                <w:kern w:val="0"/>
                <w:sz w:val="24"/>
              </w:rPr>
              <w:t xml:space="preserve">[4] Serebryany K. Continuous fuzzing with libFuzzer and AddressSanitizer[C]//IEEE Cybersecurity Development (SecDev). 2016: 157.</w:t>
            </w:r>
          </w:p>
          <w:p>
            <w:pPr>
              <w:pStyle w:val="Normal"/>
              <w:keepLines/>
              <w:spacing w:lineRule="auto" w:line="360"/>
              <w:jc w:val="start"/>
              <w:rPr>
                <w:kern w:val="0"/>
                <w:sz w:val="24"/>
              </w:rPr>
            </w:pPr>
            <w:r>
              <w:rPr>
                <w:kern w:val="0"/>
                <w:sz w:val="24"/>
              </w:rPr>
              <w:t xml:space="preserve">[5] Yang C, Deng Y, Lu R, et al. WhiteFox: White-box compiler fuzzing empowered by large language models[C]//Proceedings of the ACM on Programming Languages (OOPSLA). 2024.</w:t>
            </w:r>
          </w:p>
          <w:p>
            <w:pPr>
              <w:pStyle w:val="Normal"/>
              <w:keepLines/>
              <w:spacing w:lineRule="auto" w:line="360"/>
              <w:jc w:val="start"/>
              <w:rPr>
                <w:kern w:val="0"/>
                <w:sz w:val="24"/>
              </w:rPr>
            </w:pPr>
            <w:r>
              <w:rPr>
                <w:kern w:val="0"/>
                <w:sz w:val="24"/>
              </w:rPr>
              <w:t xml:space="preserve">[6] GNU Project. GCC Bugzilla PR 87672 — [9 regression] 81512c36 causes ICE in bootstrap stage 3 using "-D_FORTIFY_SOURCE=2"[EB/OL]. (2018)[2026-05-11]. https://gcc.gnu.org/bugzilla/show_bug.cgi?id=87672.</w:t>
            </w:r>
          </w:p>
          <w:p>
            <w:pPr>
              <w:pStyle w:val="Normal"/>
              <w:keepLines/>
              <w:spacing w:lineRule="auto" w:line="360"/>
              <w:jc w:val="start"/>
              <w:rPr>
                <w:kern w:val="0"/>
                <w:sz w:val="24"/>
              </w:rPr>
            </w:pPr>
            <w:r>
              <w:rPr>
                <w:kern w:val="0"/>
                <w:sz w:val="24"/>
              </w:rPr>
              <w:t xml:space="preserve">[7] GNU Project. GCC Bugzilla PR 96191 — aarch64 stack_protect_test canary leak[EB/OL]. (2020)[2026-05-11]. https://gcc.gnu.org/bugzilla/show_bug.cgi?id=96191.</w:t>
            </w:r>
          </w:p>
          <w:p>
            <w:pPr>
              <w:pStyle w:val="Normal"/>
              <w:keepLines/>
              <w:spacing w:lineRule="auto" w:line="360"/>
              <w:jc w:val="start"/>
              <w:rPr>
                <w:kern w:val="0"/>
                <w:sz w:val="24"/>
              </w:rPr>
            </w:pPr>
            <w:r>
              <w:rPr>
                <w:kern w:val="0"/>
                <w:sz w:val="24"/>
              </w:rPr>
              <w:t xml:space="preserve">[8] GNU Project. GCC Bugzilla PR 96350 — [cet] For ENDBR immediate, the binary would include a gadget that starts with a fake ENDBR64 opcode[EB/OL]. (2020)[2026-05-11]. https://gcc.gnu.org/bugzilla/show_bug.cgi?id=96350.</w:t>
            </w:r>
          </w:p>
          <w:p>
            <w:pPr>
              <w:pStyle w:val="Normal"/>
              <w:keepLines/>
              <w:spacing w:lineRule="auto" w:line="360"/>
              <w:jc w:val="start"/>
              <w:rPr>
                <w:kern w:val="0"/>
                <w:sz w:val="24"/>
              </w:rPr>
            </w:pPr>
            <w:r>
              <w:rPr>
                <w:kern w:val="0"/>
                <w:sz w:val="24"/>
              </w:rPr>
              <w:t xml:space="preserve">[9] Intel Corporation. Control-flow Enforcement Technology Specification[R/OL]. (2019)[2026-02-15]. https://www.intel.com/content/www/us/en/developer/articles/technical/technical-look-control-flow-enforcement-technology.html.</w:t>
            </w:r>
          </w:p>
          <w:p>
            <w:pPr>
              <w:pStyle w:val="Normal"/>
              <w:keepLines/>
              <w:spacing w:lineRule="auto" w:line="360"/>
              <w:jc w:val="start"/>
              <w:rPr>
                <w:kern w:val="0"/>
                <w:sz w:val="24"/>
              </w:rPr>
            </w:pPr>
            <w:r>
              <w:rPr>
                <w:kern w:val="0"/>
                <w:sz w:val="24"/>
              </w:rPr>
              <w:t xml:space="preserve">[10] Free Software Foundation. The GNU C Library Reference Manual: Source Fortification[EB/OL]. (2024)[2026-02-15]. https://sourceware.org/glibc/manual/latest/html_node/Source-Fortification.html.</w:t>
            </w:r>
          </w:p>
          <w:p>
            <w:pPr>
              <w:pStyle w:val="Normal"/>
              <w:keepLines/>
              <w:spacing w:lineRule="auto" w:line="360"/>
              <w:jc w:val="start"/>
              <w:rPr>
                <w:kern w:val="0"/>
                <w:sz w:val="24"/>
              </w:rPr>
            </w:pPr>
            <w:r>
              <w:rPr>
                <w:kern w:val="0"/>
                <w:sz w:val="24"/>
              </w:rPr>
              <w:t xml:space="preserve">[11] Le V, Afshari M, Su Z. Compiler validation via equivalence modulo inputs[C]//Proceedings of the 35th ACM SIGPLAN Conference on Programming Language Design and Implementation (PLDI). 2014: 216-226.</w:t>
            </w:r>
          </w:p>
          <w:p>
            <w:pPr>
              <w:pStyle w:val="Normal"/>
              <w:keepLines/>
              <w:spacing w:lineRule="auto" w:line="360"/>
              <w:jc w:val="start"/>
              <w:rPr>
                <w:kern w:val="0"/>
                <w:sz w:val="24"/>
              </w:rPr>
            </w:pPr>
            <w:r>
              <w:rPr>
                <w:kern w:val="0"/>
                <w:sz w:val="24"/>
              </w:rPr>
              <w:t xml:space="preserve">[12] Li S, Su Z. UBfuzz: Finding bugs in sanitizer implementations[C]//Proceedings of the 29th ACM International Conference on Architectural Support for Programming Languages and Operating Systems (ASPLOS). 2024.</w:t>
            </w:r>
          </w:p>
          <w:p>
            <w:pPr>
              <w:pStyle w:val="Normal"/>
              <w:keepLines/>
              <w:spacing w:lineRule="auto" w:line="360"/>
              <w:jc w:val="start"/>
              <w:rPr>
                <w:kern w:val="0"/>
                <w:sz w:val="24"/>
              </w:rPr>
            </w:pPr>
            <w:r>
              <w:rPr>
                <w:kern w:val="0"/>
                <w:sz w:val="24"/>
              </w:rPr>
              <w:t xml:space="preserve">[13] Ma H, Shen Q, Tian Y, et al. Fuzzing deep learning compilers with HirGen[C]//Proceedings of the 32nd ACM SIGSOFT International Symposium on Software Testing and Analysis (ISSTA). 2023.</w:t>
            </w:r>
          </w:p>
          <w:p>
            <w:pPr>
              <w:pStyle w:val="Normal"/>
              <w:keepLines/>
              <w:spacing w:lineRule="auto" w:line="360"/>
              <w:jc w:val="start"/>
              <w:rPr>
                <w:kern w:val="0"/>
                <w:sz w:val="24"/>
              </w:rPr>
            </w:pPr>
            <w:r>
              <w:rPr>
                <w:kern w:val="0"/>
                <w:sz w:val="24"/>
              </w:rPr>
              <w:t xml:space="preserve">[14] Even-Mendoza K, Sharma A, Donaldson A F, et al. GrayC: Greybox fuzzing of compilers and analysers for C[C]//Proceedings of the 32nd ACM SIGSOFT International Symposium on Software Testing and Analysis (ISSTA). 2023: 1219-1231.</w:t>
            </w:r>
          </w:p>
          <w:p>
            <w:pPr>
              <w:pStyle w:val="Normal"/>
              <w:keepLines/>
              <w:spacing w:lineRule="auto" w:line="360"/>
              <w:jc w:val="start"/>
              <w:rPr>
                <w:kern w:val="0"/>
                <w:sz w:val="24"/>
              </w:rPr>
            </w:pPr>
            <w:r>
              <w:rPr>
                <w:kern w:val="0"/>
                <w:sz w:val="24"/>
              </w:rPr>
              <w:t xml:space="preserve">[15] Yang Y, Zhang H, Ren Z, et al. Hybrid language processor fuzzing via LLM-based constraint solving[C]//Proceedings of the 34th USENIX Security Symposium (USENIX Security). 2025.</w:t>
            </w:r>
          </w:p>
          <w:p>
            <w:pPr>
              <w:pStyle w:val="Normal"/>
              <w:keepLines/>
              <w:spacing w:lineRule="auto" w:line="360"/>
              <w:jc w:val="start"/>
              <w:rPr>
                <w:kern w:val="0"/>
                <w:sz w:val="24"/>
              </w:rPr>
            </w:pPr>
            <w:r>
              <w:rPr>
                <w:kern w:val="0"/>
                <w:sz w:val="24"/>
              </w:rPr>
              <w:t xml:space="preserve">[16] Meta Security. CVE-2023-4039: GCC's -fstack-protector fails to guard dynamic stack allocations on AArch64[EB/OL]. (2023)[2026-02-15]. https://rtx.meta.security/mitigation/2023/09/12/CVE-2023-4039.html.</w:t>
            </w:r>
          </w:p>
          <w:p>
            <w:pPr>
              <w:pStyle w:val="Normal"/>
              <w:keepLines/>
              <w:spacing w:lineRule="auto" w:line="360"/>
              <w:jc w:val="start"/>
              <w:rPr>
                <w:kern w:val="0"/>
                <w:sz w:val="24"/>
              </w:rPr>
            </w:pPr>
            <w:r>
              <w:rPr>
                <w:kern w:val="0"/>
                <w:sz w:val="24"/>
              </w:rPr>
              <w:t xml:space="preserve">[17] GNU Project. GCC Bugzilla PR 125079 — [13/14/15 Regression] tree-ssa-strlen get_string_length: __strcat_chk -&gt; __stpcpy_chk drops bound subtract[EB/OL]. (2026)[2026-05-11]. https://gcc.gnu.org/bugzilla/show_bug.cgi?id=125079.</w:t>
            </w:r>
          </w:p>
          <w:p>
            <w:pPr>
              <w:pStyle w:val="Normal"/>
              <w:keepLines/>
              <w:spacing w:lineRule="auto" w:line="360"/>
              <w:jc w:val="start"/>
              <w:rPr>
                <w:kern w:val="0"/>
                <w:sz w:val="24"/>
              </w:rPr>
            </w:pPr>
            <w:r>
              <w:rPr>
                <w:kern w:val="0"/>
                <w:sz w:val="24"/>
              </w:rPr>
              <w:t xml:space="preserve">[18] GNU Project. GCC Bugzilla PR 125084 — [target/i386] ix86_endbr_immediate_operand misses ENDBR pattern when upper bytes nonzero[EB/OL]. (2026)[2026-05-11]. https://gcc.gnu.org/bugzilla/show_bug.cgi?id=125084.</w:t>
            </w:r>
          </w:p>
          <w:p>
            <w:pPr>
              <w:pStyle w:val="Normal"/>
              <w:keepLines/>
              <w:spacing w:lineRule="auto" w:line="360"/>
              <w:jc w:val="start"/>
              <w:rPr>
                <w:kern w:val="0"/>
                <w:sz w:val="24"/>
              </w:rPr>
            </w:pPr>
            <w:r>
              <w:rPr>
                <w:kern w:val="0"/>
                <w:sz w:val="24"/>
              </w:rPr>
              <w:t xml:space="preserve">[19] GNU Project. GCC Bugzilla PR 125045 — [meta-bug] SSP fallback leaves canary in live GPR on many targets[EB/OL]. (2026)[2026-05-11]. https://gcc.gnu.org/bugzilla/show_bug.cgi?id=125045.</w:t>
            </w:r>
          </w:p>
          <w:p>
            <w:pPr>
              <w:pStyle w:val="Normal"/>
              <w:keepLines/>
              <w:spacing w:lineRule="auto" w:line="360"/>
              <w:jc w:val="start"/>
              <w:rPr>
                <w:kern w:val="0"/>
                <w:sz w:val="24"/>
              </w:rPr>
            </w:pPr>
            <w:r>
              <w:rPr>
                <w:kern w:val="0"/>
                <w:sz w:val="24"/>
              </w:rPr>
              <w:t xml:space="preserve">[20] GNU Project. GCC Bugzilla PR 125049 — [loongarch] SSP fallback leaves __stack_chk_guard live in $r12 at `jr $r1`[EB/OL]. (2026)[2026-05-11]. https://gcc.gnu.org/bugzilla/show_bug.cgi?id=125049.</w:t>
            </w:r>
          </w:p>
        </w:tc>
      </w:tr>
    </w:tbl>
    <w:p w14:paraId="0FEA05F5">
      <w:pPr>
        <w:spacing w:line="400" w:lineRule="exact"/>
        <w:jc w:val="center"/>
        <w:rPr>
          <w:rFonts w:hint="eastAsia" w:ascii="宋体" w:hAnsi="宋体"/>
          <w:sz w:val="24"/>
        </w:rPr>
      </w:pPr>
    </w:p>
    <w:p w14:paraId="4BAD5132">
      <w:pPr>
        <w:spacing w:before="0" w:after="120" w:line="400" w:lineRule="exact"/>
        <w:rPr>
          <w:rFonts w:hint="eastAsia" w:ascii="黑体" w:hAnsi="黑体" w:eastAsia="黑体"/>
          <w:sz w:val="32"/>
        </w:rPr>
      </w:pPr>
    </w:p>
    <w:p w14:paraId="780AEF3C">
      <w:pPr>
        <w:spacing w:before="0" w:after="120" w:line="400" w:lineRule="exact"/>
        <w:rPr>
          <w:rFonts w:hint="eastAsia" w:ascii="黑体" w:hAnsi="黑体" w:eastAsia="黑体"/>
          <w:sz w:val="32"/>
        </w:rPr>
      </w:pPr>
      <w:r>
        <w:rPr>
          <w:rFonts w:hint="eastAsia" w:ascii="黑体" w:hAnsi="黑体" w:eastAsia="黑体"/>
          <w:sz w:val="32"/>
        </w:rPr>
        <w:t>二、学位论文工作实施计划</w:t>
      </w:r>
    </w:p>
    <w:p w14:paraId="1B58974E">
      <w:pPr>
        <w:spacing w:line="440" w:lineRule="exact"/>
        <w:rPr>
          <w:rFonts w:hint="eastAsia" w:ascii="宋体" w:hAnsi="宋体"/>
          <w:sz w:val="24"/>
        </w:rPr>
      </w:pPr>
      <w:r>
        <w:rPr>
          <w:rFonts w:hint="eastAsia" w:ascii="宋体" w:hAnsi="宋体"/>
          <w:sz w:val="24"/>
        </w:rPr>
        <w:t>（一）论文的理论分析与硬件要求及其预期达到的水平与结果</w:t>
      </w:r>
    </w:p>
    <w:tbl>
      <w:tblPr>
        <w:tblStyle w:val="9"/>
        <w:tblW w:w="5000" w:type="pct"/>
        <w:jc w:val="center"/>
        <w:tblLayout w:type="fixed"/>
        <w:tblCellMar>
          <w:top w:w="0" w:type="dxa"/>
          <w:left w:w="108" w:type="dxa"/>
          <w:bottom w:w="0" w:type="dxa"/>
          <w:right w:w="108" w:type="dxa"/>
        </w:tblCellMar>
      </w:tblPr>
      <w:tblGrid>
        <w:gridCol w:w="9854"/>
      </w:tblGrid>
      <w:tr w14:paraId="0FD23F4E">
        <w:tblPrEx>
          <w:tblCellMar>
            <w:top w:w="0" w:type="dxa"/>
            <w:left w:w="108" w:type="dxa"/>
            <w:bottom w:w="0" w:type="dxa"/>
            <w:right w:w="108" w:type="dxa"/>
          </w:tblCellMar>
        </w:tblPrEx>
        <w:trPr>
          <w:trHeight w:val="3385" w:hRule="atLeast"/>
          <w:jc w:val="center"/>
        </w:trPr>
        <w:tc>
          <w:tcPr>
            <w:tcW w:w="9638" w:type="dxa"/>
            <w:tcBorders>
              <w:top w:val="single" w:color="000000" w:sz="4" w:space="0"/>
              <w:left w:val="single" w:color="000000" w:sz="4" w:space="0"/>
              <w:bottom w:val="single" w:color="000000" w:sz="4" w:space="0"/>
              <w:right w:val="single" w:color="000000" w:sz="4" w:space="0"/>
            </w:tcBorders>
          </w:tcPr>
          <w:p>
            <w:pPr>
              <w:pStyle w:val="Normal"/>
              <w:spacing w:lineRule="auto" w:line="360"/>
              <w:ind w:firstLineChars="200" w:startChars="0" w:start="0" w:endChars="0" w:end="0"/>
              <w:rPr>
                <w:kern w:val="0"/>
                <w:sz w:val="24"/>
              </w:rPr>
            </w:pPr>
            <w:r>
              <w:rPr>
                <w:kern w:val="0"/>
                <w:sz w:val="24"/>
              </w:rPr>
              <w:t xml:space="preserve">理论分析涉及三方面：编译器主流防御机制的安全不变量及其证据形式、覆盖率与控制流图引导的目标基本块选择策略、大模型生成能力与预言机判定的耦合方式。预期产出包括：一套覆盖至少三种主流防御机制的不变量集合、一套可扩展的预言机框架、一个可面向 GCC 与 LLVM 跨架构运行的 fuzzer 原型；通过在 GCC 与 LLVM 主流版本上发现真实 silent failure 来验证有效性。硬件方面，开发与实验依托一台 64 位 Linux 工作站（不少于 32 GB 内存、百 GB 级 SSD），用于 GCC / LLVM 多版本本地构建、覆盖率数据缓存与跨架构 QEMU 用户态执行；大模型推理通过远程 API 完成，本机不需要独立 GPU。</w:t>
            </w:r>
          </w:p>
        </w:tc>
      </w:tr>
    </w:tbl>
    <w:p w14:paraId="738BD619">
      <w:pPr>
        <w:spacing w:line="440" w:lineRule="exact"/>
        <w:rPr>
          <w:rFonts w:hint="eastAsia" w:ascii="宋体" w:hAnsi="宋体"/>
          <w:sz w:val="24"/>
        </w:rPr>
      </w:pPr>
      <w:r>
        <w:rPr>
          <w:rFonts w:hint="eastAsia" w:ascii="宋体" w:hAnsi="宋体"/>
          <w:sz w:val="24"/>
        </w:rPr>
        <w:t>（二）论文工作进度与安排</w:t>
      </w:r>
    </w:p>
    <w:tbl>
      <w:tblPr>
        <w:tblStyle w:val="9"/>
        <w:tblW w:w="4950" w:type="pct"/>
        <w:jc w:val="center"/>
        <w:tblLayout w:type="fixed"/>
        <w:tblCellMar>
          <w:top w:w="0" w:type="dxa"/>
          <w:left w:w="108" w:type="dxa"/>
          <w:bottom w:w="0" w:type="dxa"/>
          <w:right w:w="108" w:type="dxa"/>
        </w:tblCellMar>
      </w:tblPr>
      <w:tblGrid>
        <w:gridCol w:w="2124"/>
        <w:gridCol w:w="5283"/>
        <w:gridCol w:w="2349"/>
      </w:tblGrid>
      <w:tr w14:paraId="41E95257">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7611C79">
            <w:pPr>
              <w:spacing w:line="240" w:lineRule="exact"/>
              <w:jc w:val="center"/>
              <w:rPr>
                <w:rFonts w:hint="eastAsia" w:ascii="宋体" w:hAnsi="宋体"/>
                <w:sz w:val="24"/>
              </w:rPr>
            </w:pPr>
            <w:r>
              <w:rPr>
                <w:rFonts w:hint="eastAsia" w:ascii="宋体" w:hAnsi="宋体"/>
                <w:sz w:val="24"/>
              </w:rPr>
              <w:t>起讫日期</w:t>
            </w:r>
          </w:p>
        </w:tc>
        <w:tc>
          <w:tcPr>
            <w:tcW w:w="5167" w:type="dxa"/>
            <w:tcBorders>
              <w:top w:val="single" w:color="000000" w:sz="4" w:space="0"/>
              <w:left w:val="single" w:color="000000" w:sz="4" w:space="0"/>
              <w:bottom w:val="single" w:color="000000" w:sz="4" w:space="0"/>
              <w:right w:val="single" w:color="000000" w:sz="4" w:space="0"/>
            </w:tcBorders>
            <w:vAlign w:val="center"/>
          </w:tcPr>
          <w:p w14:paraId="0E4D37E3">
            <w:pPr>
              <w:spacing w:line="240" w:lineRule="exact"/>
              <w:jc w:val="center"/>
              <w:rPr>
                <w:rFonts w:hint="eastAsia" w:ascii="宋体" w:hAnsi="宋体"/>
                <w:sz w:val="24"/>
              </w:rPr>
            </w:pPr>
            <w:r>
              <w:rPr>
                <w:rFonts w:hint="eastAsia" w:ascii="宋体" w:hAnsi="宋体"/>
                <w:sz w:val="24"/>
              </w:rPr>
              <w:t>工  作  内  容  和  要  求</w:t>
            </w:r>
          </w:p>
        </w:tc>
        <w:tc>
          <w:tcPr>
            <w:tcW w:w="2297" w:type="dxa"/>
            <w:tcBorders>
              <w:top w:val="single" w:color="000000" w:sz="4" w:space="0"/>
              <w:left w:val="single" w:color="000000" w:sz="4" w:space="0"/>
              <w:bottom w:val="single" w:color="000000" w:sz="4" w:space="0"/>
              <w:right w:val="single" w:color="000000" w:sz="4" w:space="0"/>
            </w:tcBorders>
            <w:vAlign w:val="center"/>
          </w:tcPr>
          <w:p w14:paraId="09837F06">
            <w:pPr>
              <w:spacing w:line="240" w:lineRule="exact"/>
              <w:jc w:val="center"/>
              <w:rPr>
                <w:rFonts w:hint="eastAsia" w:ascii="宋体" w:hAnsi="宋体"/>
                <w:sz w:val="24"/>
              </w:rPr>
            </w:pPr>
            <w:r>
              <w:rPr>
                <w:rFonts w:hint="eastAsia" w:ascii="宋体" w:hAnsi="宋体"/>
                <w:sz w:val="24"/>
              </w:rPr>
              <w:t>备  注</w:t>
            </w:r>
          </w:p>
        </w:tc>
      </w:tr>
      <w:tr>
        <w:trPr>
          <w:trHeight w:val="480" w:hRule="atLeast"/>
        </w:trPr>
        <w:tc>
          <w:tcPr>
            <w:tcW w:w="20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2026.05-2026.07</w:t>
            </w:r>
          </w:p>
        </w:tc>
        <w:tc>
          <w:tcPr>
            <w:tcW w:w="516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扩展不变量集合到 BTI / PAC、Shadow Stack、CFI 等机制，丰富预言机框架的静态与动态检查器</w:t>
            </w:r>
          </w:p>
        </w:tc>
        <w:tc>
          <w:tcPr>
            <w:tcW w:w="22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
            </w:r>
          </w:p>
        </w:tc>
      </w:tr>
      <w:tr>
        <w:trPr>
          <w:trHeight w:val="480" w:hRule="atLeast"/>
        </w:trPr>
        <w:tc>
          <w:tcPr>
            <w:tcW w:w="20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2026.07-2026.09</w:t>
            </w:r>
          </w:p>
        </w:tc>
        <w:tc>
          <w:tcPr>
            <w:tcW w:w="516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把编译器子系统、覆盖率适配层、flag profile 扩展到 LLVM 工具链，对齐跨架构 / 跨编译器实验框架</w:t>
            </w:r>
          </w:p>
        </w:tc>
        <w:tc>
          <w:tcPr>
            <w:tcW w:w="22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
            </w:r>
          </w:p>
        </w:tc>
      </w:tr>
      <w:tr>
        <w:trPr>
          <w:trHeight w:val="480" w:hRule="atLeast"/>
        </w:trPr>
        <w:tc>
          <w:tcPr>
            <w:tcW w:w="20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2026.09-2026.12</w:t>
            </w:r>
          </w:p>
        </w:tc>
        <w:tc>
          <w:tcPr>
            <w:tcW w:w="516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在 GCC 与 LLVM 多版本、多 ISA 上完成全机制端到端实验，持续推进上游缺陷上报闭环</w:t>
            </w:r>
          </w:p>
        </w:tc>
        <w:tc>
          <w:tcPr>
            <w:tcW w:w="22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
            </w:r>
          </w:p>
        </w:tc>
      </w:tr>
      <w:tr>
        <w:trPr>
          <w:trHeight w:val="480" w:hRule="atLeast"/>
        </w:trPr>
        <w:tc>
          <w:tcPr>
            <w:tcW w:w="20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2026.12-2027.02</w:t>
            </w:r>
          </w:p>
        </w:tc>
        <w:tc>
          <w:tcPr>
            <w:tcW w:w="516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与 Csmith、YARPGen、GrayC、HLPFuzz 等基线方法做对照评测，量化覆盖率推进与缺陷发现上的相对优势</w:t>
            </w:r>
          </w:p>
        </w:tc>
        <w:tc>
          <w:tcPr>
            <w:tcW w:w="22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
            </w:r>
          </w:p>
        </w:tc>
      </w:tr>
      <w:tr>
        <w:trPr>
          <w:trHeight w:val="480" w:hRule="atLeast"/>
        </w:trPr>
        <w:tc>
          <w:tcPr>
            <w:tcW w:w="20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2027.02-2027.04</w:t>
            </w:r>
          </w:p>
        </w:tc>
        <w:tc>
          <w:tcPr>
            <w:tcW w:w="516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整理实验数据与图表，完成学位论文初稿，准备会议 / 期刊投稿</w:t>
            </w:r>
          </w:p>
        </w:tc>
        <w:tc>
          <w:tcPr>
            <w:tcW w:w="22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
            </w:r>
          </w:p>
        </w:tc>
      </w:tr>
      <w:tr>
        <w:trPr>
          <w:trHeight w:val="480" w:hRule="atLeast"/>
        </w:trPr>
        <w:tc>
          <w:tcPr>
            <w:tcW w:w="20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2027.04-2027.06</w:t>
            </w:r>
          </w:p>
        </w:tc>
        <w:tc>
          <w:tcPr>
            <w:tcW w:w="516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学位论文修订、外审反馈处理、答辩材料准备</w:t>
            </w:r>
          </w:p>
        </w:tc>
        <w:tc>
          <w:tcPr>
            <w:tcW w:w="22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
            </w:r>
          </w:p>
        </w:tc>
      </w:tr>
      <w:tr>
        <w:trPr>
          <w:trHeight w:val="480" w:hRule="atLeast"/>
        </w:trPr>
        <w:tc>
          <w:tcPr>
            <w:tcW w:w="20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2027.06</w:t>
            </w:r>
          </w:p>
        </w:tc>
        <w:tc>
          <w:tcPr>
            <w:tcW w:w="516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学位论文答辩</w:t>
            </w:r>
          </w:p>
        </w:tc>
        <w:tc>
          <w:tcPr>
            <w:tcW w:w="22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
            </w:r>
          </w:p>
        </w:tc>
      </w:tr>
      <w:tr w14:paraId="783C008F">
        <w:tblPrEx>
          <w:tblCellMar>
            <w:top w:w="0" w:type="dxa"/>
            <w:left w:w="108" w:type="dxa"/>
            <w:bottom w:w="0" w:type="dxa"/>
            <w:right w:w="108" w:type="dxa"/>
          </w:tblCellMar>
        </w:tblPrEx>
        <w:trPr>
          <w:trHeight w:val="286"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3F57A094">
            <w:pPr>
              <w:snapToGrid w:val="0"/>
              <w:spacing w:line="240" w:lineRule="exact"/>
              <w:jc w:val="center"/>
              <w:rPr>
                <w:rFonts w:hint="eastAsia" w:ascii="宋体" w:hAnsi="宋体"/>
                <w:sz w:val="24"/>
              </w:rPr>
            </w:pPr>
          </w:p>
          <w:p w14:paraId="5A924583">
            <w:pPr>
              <w:spacing w:line="240" w:lineRule="exact"/>
              <w:jc w:val="center"/>
              <w:rPr>
                <w:rFonts w:hint="eastAsia" w:ascii="宋体" w:hAnsi="宋体"/>
                <w:sz w:val="24"/>
              </w:rPr>
            </w:pPr>
          </w:p>
          <w:p w14:paraId="588B881A">
            <w:pPr>
              <w:spacing w:line="240" w:lineRule="exact"/>
              <w:jc w:val="center"/>
              <w:rPr>
                <w:rFonts w:hint="eastAsia" w:ascii="宋体" w:hAnsi="宋体"/>
                <w:sz w:val="24"/>
              </w:rPr>
            </w:pPr>
          </w:p>
          <w:p w14:paraId="6FD28F2D">
            <w:pPr>
              <w:spacing w:line="240" w:lineRule="exact"/>
              <w:jc w:val="center"/>
              <w:rPr>
                <w:rFonts w:hint="eastAsia" w:ascii="宋体" w:hAnsi="宋体"/>
                <w:sz w:val="24"/>
              </w:rPr>
            </w:pPr>
          </w:p>
          <w:p w14:paraId="5D239C99">
            <w:pPr>
              <w:spacing w:line="240" w:lineRule="exact"/>
              <w:jc w:val="center"/>
              <w:rPr>
                <w:rFonts w:hint="eastAsia" w:ascii="宋体" w:hAnsi="宋体"/>
                <w:sz w:val="24"/>
              </w:rPr>
            </w:pPr>
            <w:r>
              <w:rPr>
                <w:rFonts w:hint="eastAsia" w:ascii="宋体" w:hAnsi="宋体"/>
                <w:sz w:val="24"/>
              </w:rPr>
              <w:t>学校指导教师对开题报告的综合意见</w:t>
            </w:r>
          </w:p>
        </w:tc>
        <w:tc>
          <w:tcPr>
            <w:tcW w:w="5167" w:type="dxa"/>
            <w:tcBorders>
              <w:top w:val="single" w:color="000000" w:sz="4" w:space="0"/>
              <w:left w:val="single" w:color="000000" w:sz="4" w:space="0"/>
              <w:bottom w:val="single" w:color="000000" w:sz="4" w:space="0"/>
              <w:right w:val="single" w:color="000000" w:sz="4" w:space="0"/>
            </w:tcBorders>
          </w:tcPr>
          <w:p w14:paraId="471B1B60">
            <w:pPr>
              <w:snapToGrid w:val="0"/>
              <w:spacing w:line="440" w:lineRule="exact"/>
              <w:jc w:val="left"/>
              <w:rPr>
                <w:rFonts w:hint="eastAsia" w:ascii="宋体" w:hAnsi="宋体"/>
                <w:sz w:val="24"/>
              </w:rPr>
            </w:pPr>
          </w:p>
          <w:p w14:paraId="374BD64D">
            <w:pPr>
              <w:spacing w:line="440" w:lineRule="exact"/>
              <w:jc w:val="left"/>
              <w:rPr>
                <w:rFonts w:hint="eastAsia" w:ascii="宋体" w:hAnsi="宋体"/>
                <w:sz w:val="24"/>
              </w:rPr>
            </w:pPr>
          </w:p>
          <w:p w14:paraId="43C3819F">
            <w:pPr>
              <w:spacing w:line="440" w:lineRule="exact"/>
              <w:jc w:val="left"/>
              <w:rPr>
                <w:rFonts w:hint="eastAsia" w:ascii="宋体" w:hAnsi="宋体"/>
                <w:sz w:val="24"/>
              </w:rPr>
            </w:pPr>
          </w:p>
          <w:p w14:paraId="0E27971B">
            <w:pPr>
              <w:spacing w:line="440" w:lineRule="exact"/>
              <w:jc w:val="left"/>
              <w:rPr>
                <w:rFonts w:hint="eastAsia" w:ascii="宋体" w:hAnsi="宋体"/>
                <w:sz w:val="24"/>
              </w:rPr>
            </w:pPr>
          </w:p>
          <w:p w14:paraId="157A1088">
            <w:pPr>
              <w:spacing w:line="440" w:lineRule="exact"/>
              <w:jc w:val="left"/>
              <w:rPr>
                <w:rFonts w:hint="eastAsia" w:ascii="宋体" w:hAnsi="宋体"/>
                <w:sz w:val="24"/>
              </w:rPr>
            </w:pPr>
          </w:p>
          <w:p w14:paraId="4FFB3D51">
            <w:pPr>
              <w:spacing w:line="440" w:lineRule="exact"/>
              <w:jc w:val="left"/>
              <w:rPr>
                <w:rFonts w:hint="eastAsia" w:ascii="宋体" w:hAnsi="宋体"/>
                <w:sz w:val="24"/>
              </w:rPr>
            </w:pPr>
          </w:p>
          <w:p w14:paraId="0F8385E4">
            <w:pPr>
              <w:spacing w:line="440" w:lineRule="exact"/>
              <w:jc w:val="left"/>
              <w:rPr>
                <w:rFonts w:hint="eastAsia" w:ascii="宋体" w:hAnsi="宋体"/>
                <w:sz w:val="24"/>
              </w:rPr>
            </w:pPr>
          </w:p>
          <w:p w14:paraId="4C84B492">
            <w:pPr>
              <w:spacing w:line="440" w:lineRule="exact"/>
              <w:jc w:val="left"/>
              <w:rPr>
                <w:rFonts w:hint="eastAsia" w:ascii="宋体" w:hAnsi="宋体"/>
                <w:sz w:val="24"/>
              </w:rPr>
            </w:pPr>
          </w:p>
          <w:p w14:paraId="3467E000">
            <w:pPr>
              <w:spacing w:line="440" w:lineRule="exact"/>
              <w:jc w:val="left"/>
              <w:rPr>
                <w:rFonts w:hint="eastAsia" w:ascii="宋体" w:hAnsi="宋体"/>
                <w:sz w:val="24"/>
              </w:rPr>
            </w:pPr>
          </w:p>
          <w:p w14:paraId="24047AB1">
            <w:pPr>
              <w:spacing w:line="440" w:lineRule="exact"/>
              <w:jc w:val="left"/>
              <w:rPr>
                <w:rFonts w:hint="eastAsia" w:ascii="宋体" w:hAnsi="宋体"/>
                <w:sz w:val="24"/>
              </w:rPr>
            </w:pPr>
          </w:p>
          <w:p w14:paraId="5F0FB83A">
            <w:pPr>
              <w:spacing w:line="440" w:lineRule="exact"/>
              <w:ind w:right="0" w:firstLine="3720"/>
              <w:jc w:val="left"/>
              <w:rPr>
                <w:rFonts w:hint="eastAsia" w:ascii="宋体" w:hAnsi="宋体"/>
                <w:sz w:val="24"/>
              </w:rPr>
            </w:pPr>
            <w:r>
              <w:rPr>
                <w:rFonts w:hint="eastAsia" w:ascii="宋体" w:hAnsi="宋体"/>
                <w:sz w:val="24"/>
              </w:rPr>
              <w:t>指导教师（签字）</w:t>
            </w:r>
          </w:p>
          <w:p w14:paraId="13F94ED9">
            <w:pPr>
              <w:spacing w:line="240" w:lineRule="exact"/>
              <w:jc w:val="center"/>
              <w:rPr>
                <w:rFonts w:hint="eastAsia" w:ascii="宋体" w:hAnsi="宋体"/>
                <w:sz w:val="24"/>
              </w:rPr>
            </w:pPr>
            <w:r>
              <w:rPr>
                <w:rFonts w:hint="eastAsia" w:ascii="宋体" w:hAnsi="宋体"/>
                <w:sz w:val="24"/>
              </w:rPr>
              <w:t xml:space="preserve">                       年    月    日</w:t>
            </w:r>
          </w:p>
        </w:tc>
        <w:tc>
          <w:tcPr>
            <w:tcW w:w="2297" w:type="dxa"/>
            <w:tcBorders>
              <w:top w:val="single" w:color="000000" w:sz="4" w:space="0"/>
              <w:left w:val="single" w:color="000000" w:sz="4" w:space="0"/>
              <w:bottom w:val="single" w:color="000000" w:sz="4" w:space="0"/>
              <w:right w:val="single" w:color="000000" w:sz="4" w:space="0"/>
            </w:tcBorders>
          </w:tcPr>
          <w:p w14:paraId="698051E0">
            <w:pPr>
              <w:snapToGrid w:val="0"/>
              <w:spacing w:line="240" w:lineRule="exact"/>
              <w:jc w:val="center"/>
              <w:rPr>
                <w:rFonts w:hint="eastAsia" w:ascii="宋体" w:hAnsi="宋体"/>
                <w:sz w:val="24"/>
              </w:rPr>
            </w:pPr>
          </w:p>
        </w:tc>
      </w:tr>
      <w:tr w14:paraId="7D4E3A66">
        <w:tblPrEx>
          <w:tblCellMar>
            <w:top w:w="0" w:type="dxa"/>
            <w:left w:w="108" w:type="dxa"/>
            <w:bottom w:w="0" w:type="dxa"/>
            <w:right w:w="108" w:type="dxa"/>
          </w:tblCellMar>
        </w:tblPrEx>
        <w:trPr>
          <w:trHeight w:val="286"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31DBF4AC">
            <w:pPr>
              <w:snapToGrid w:val="0"/>
              <w:spacing w:line="260" w:lineRule="exact"/>
              <w:jc w:val="center"/>
              <w:rPr>
                <w:rFonts w:hint="eastAsia" w:ascii="宋体" w:hAnsi="宋体"/>
                <w:sz w:val="24"/>
              </w:rPr>
            </w:pPr>
          </w:p>
          <w:p w14:paraId="0C9D7921">
            <w:pPr>
              <w:spacing w:line="260" w:lineRule="exact"/>
              <w:jc w:val="center"/>
              <w:rPr>
                <w:rFonts w:hint="eastAsia" w:ascii="宋体" w:hAnsi="宋体"/>
                <w:sz w:val="24"/>
              </w:rPr>
            </w:pPr>
          </w:p>
          <w:p w14:paraId="5D970564">
            <w:pPr>
              <w:spacing w:line="260" w:lineRule="exact"/>
              <w:jc w:val="center"/>
              <w:rPr>
                <w:rFonts w:hint="eastAsia" w:ascii="宋体" w:hAnsi="宋体"/>
                <w:sz w:val="24"/>
              </w:rPr>
            </w:pPr>
          </w:p>
          <w:p w14:paraId="036467F8">
            <w:pPr>
              <w:spacing w:line="260" w:lineRule="exact"/>
              <w:jc w:val="center"/>
              <w:rPr>
                <w:rFonts w:hint="eastAsia" w:ascii="宋体" w:hAnsi="宋体"/>
                <w:sz w:val="24"/>
              </w:rPr>
            </w:pPr>
          </w:p>
          <w:p w14:paraId="3F88E936">
            <w:pPr>
              <w:spacing w:line="260" w:lineRule="exact"/>
              <w:jc w:val="center"/>
              <w:rPr>
                <w:rFonts w:hint="eastAsia" w:ascii="宋体" w:hAnsi="宋体"/>
                <w:sz w:val="24"/>
              </w:rPr>
            </w:pPr>
          </w:p>
          <w:p w14:paraId="3190E1EB">
            <w:pPr>
              <w:spacing w:line="360" w:lineRule="auto"/>
              <w:ind w:leftChars="-96" w:rightChars="-51" w:firstLine="0" w:firstLineChars="0"/>
              <w:jc w:val="center"/>
              <w:rPr>
                <w:rFonts w:hint="eastAsia" w:ascii="宋体" w:hAnsi="宋体"/>
                <w:sz w:val="24"/>
              </w:rPr>
            </w:pPr>
            <w:r>
              <w:rPr>
                <w:rFonts w:hint="eastAsia" w:ascii="宋体" w:hAnsi="宋体"/>
                <w:sz w:val="24"/>
              </w:rPr>
              <w:t>校外指导</w:t>
            </w:r>
          </w:p>
          <w:p w14:paraId="1ACB37BB">
            <w:pPr>
              <w:spacing w:line="240" w:lineRule="exact"/>
              <w:jc w:val="center"/>
              <w:rPr>
                <w:rFonts w:hint="eastAsia" w:ascii="宋体" w:hAnsi="宋体"/>
                <w:sz w:val="24"/>
              </w:rPr>
            </w:pPr>
            <w:r>
              <w:rPr>
                <w:rFonts w:hint="eastAsia" w:ascii="宋体" w:hAnsi="宋体"/>
                <w:sz w:val="24"/>
              </w:rPr>
              <w:t>教师对开题报告的综合意见</w:t>
            </w:r>
          </w:p>
        </w:tc>
        <w:tc>
          <w:tcPr>
            <w:tcW w:w="5167" w:type="dxa"/>
            <w:tcBorders>
              <w:top w:val="single" w:color="000000" w:sz="4" w:space="0"/>
              <w:left w:val="single" w:color="000000" w:sz="4" w:space="0"/>
              <w:bottom w:val="single" w:color="000000" w:sz="4" w:space="0"/>
              <w:right w:val="single" w:color="000000" w:sz="4" w:space="0"/>
            </w:tcBorders>
          </w:tcPr>
          <w:p w14:paraId="372022CE">
            <w:pPr>
              <w:snapToGrid w:val="0"/>
              <w:spacing w:line="440" w:lineRule="exact"/>
              <w:jc w:val="left"/>
              <w:rPr>
                <w:rFonts w:hint="eastAsia" w:ascii="宋体" w:hAnsi="宋体"/>
                <w:sz w:val="24"/>
              </w:rPr>
            </w:pPr>
          </w:p>
          <w:p w14:paraId="60ABF93A">
            <w:pPr>
              <w:spacing w:line="440" w:lineRule="exact"/>
              <w:jc w:val="left"/>
              <w:rPr>
                <w:rFonts w:hint="eastAsia" w:ascii="宋体" w:hAnsi="宋体"/>
                <w:sz w:val="24"/>
              </w:rPr>
            </w:pPr>
          </w:p>
          <w:p w14:paraId="552114F3">
            <w:pPr>
              <w:spacing w:line="440" w:lineRule="exact"/>
              <w:jc w:val="left"/>
              <w:rPr>
                <w:rFonts w:hint="eastAsia" w:ascii="宋体" w:hAnsi="宋体"/>
                <w:sz w:val="24"/>
              </w:rPr>
            </w:pPr>
          </w:p>
          <w:p w14:paraId="3BDBFCF3">
            <w:pPr>
              <w:spacing w:line="440" w:lineRule="exact"/>
              <w:jc w:val="left"/>
              <w:rPr>
                <w:rFonts w:hint="eastAsia" w:ascii="宋体" w:hAnsi="宋体"/>
                <w:sz w:val="24"/>
              </w:rPr>
            </w:pPr>
          </w:p>
          <w:p w14:paraId="5FEBFB61">
            <w:pPr>
              <w:spacing w:line="440" w:lineRule="exact"/>
              <w:jc w:val="left"/>
              <w:rPr>
                <w:rFonts w:hint="eastAsia" w:ascii="宋体" w:hAnsi="宋体"/>
                <w:sz w:val="24"/>
              </w:rPr>
            </w:pPr>
          </w:p>
          <w:p w14:paraId="4BC48CC6">
            <w:pPr>
              <w:spacing w:line="440" w:lineRule="exact"/>
              <w:jc w:val="left"/>
              <w:rPr>
                <w:rFonts w:hint="eastAsia" w:ascii="宋体" w:hAnsi="宋体"/>
                <w:sz w:val="24"/>
              </w:rPr>
            </w:pPr>
          </w:p>
          <w:p w14:paraId="3349D8D0">
            <w:pPr>
              <w:spacing w:line="440" w:lineRule="exact"/>
              <w:jc w:val="left"/>
              <w:rPr>
                <w:rFonts w:hint="eastAsia" w:ascii="宋体" w:hAnsi="宋体"/>
                <w:sz w:val="24"/>
              </w:rPr>
            </w:pPr>
          </w:p>
          <w:p w14:paraId="3D5CC7AF">
            <w:pPr>
              <w:spacing w:line="440" w:lineRule="exact"/>
              <w:ind w:left="0" w:leftChars="0" w:right="0" w:rightChars="0" w:firstLineChars="1500"/>
              <w:jc w:val="left"/>
              <w:rPr>
                <w:rFonts w:hint="eastAsia" w:ascii="宋体" w:hAnsi="宋体"/>
                <w:sz w:val="24"/>
              </w:rPr>
            </w:pPr>
            <w:r>
              <w:rPr>
                <w:rFonts w:hint="eastAsia" w:ascii="宋体" w:hAnsi="宋体"/>
                <w:sz w:val="24"/>
              </w:rPr>
              <w:t xml:space="preserve"> 指导教师（签字）</w:t>
            </w:r>
          </w:p>
          <w:p w14:paraId="20C72C94">
            <w:pPr>
              <w:spacing w:line="240" w:lineRule="exact"/>
              <w:jc w:val="center"/>
              <w:rPr>
                <w:rFonts w:hint="eastAsia" w:ascii="宋体" w:hAnsi="宋体"/>
                <w:sz w:val="24"/>
              </w:rPr>
            </w:pPr>
            <w:r>
              <w:rPr>
                <w:rFonts w:hint="eastAsia" w:ascii="宋体" w:hAnsi="宋体"/>
                <w:sz w:val="24"/>
              </w:rPr>
              <w:t xml:space="preserve">                                                      年    月    日</w:t>
            </w:r>
          </w:p>
        </w:tc>
        <w:tc>
          <w:tcPr>
            <w:tcW w:w="2297" w:type="dxa"/>
            <w:tcBorders>
              <w:top w:val="single" w:color="000000" w:sz="4" w:space="0"/>
              <w:left w:val="single" w:color="000000" w:sz="4" w:space="0"/>
              <w:bottom w:val="single" w:color="000000" w:sz="4" w:space="0"/>
              <w:right w:val="single" w:color="000000" w:sz="4" w:space="0"/>
            </w:tcBorders>
          </w:tcPr>
          <w:p w14:paraId="408BB37E">
            <w:pPr>
              <w:snapToGrid w:val="0"/>
              <w:spacing w:line="240" w:lineRule="exact"/>
              <w:jc w:val="center"/>
              <w:rPr>
                <w:rFonts w:hint="eastAsia" w:ascii="宋体" w:hAnsi="宋体"/>
                <w:sz w:val="24"/>
              </w:rPr>
            </w:pPr>
          </w:p>
        </w:tc>
      </w:tr>
      <w:tr w14:paraId="5DEE07CC">
        <w:tblPrEx>
          <w:tblCellMar>
            <w:top w:w="0" w:type="dxa"/>
            <w:left w:w="108" w:type="dxa"/>
            <w:bottom w:w="0" w:type="dxa"/>
            <w:right w:w="108" w:type="dxa"/>
          </w:tblCellMar>
        </w:tblPrEx>
        <w:trPr>
          <w:trHeight w:val="4688"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7ED754D9">
            <w:pPr>
              <w:jc w:val="center"/>
              <w:rPr>
                <w:rFonts w:hint="eastAsia" w:ascii="宋体" w:hAnsi="宋体"/>
                <w:sz w:val="24"/>
              </w:rPr>
            </w:pPr>
            <w:r>
              <w:rPr>
                <w:rFonts w:hint="eastAsia" w:ascii="宋体" w:hAnsi="宋体"/>
                <w:sz w:val="24"/>
              </w:rPr>
              <w:t>开</w:t>
            </w:r>
          </w:p>
          <w:p w14:paraId="26A6AD68">
            <w:pPr>
              <w:jc w:val="center"/>
              <w:rPr>
                <w:rFonts w:hint="eastAsia" w:ascii="宋体" w:hAnsi="宋体"/>
                <w:sz w:val="24"/>
              </w:rPr>
            </w:pPr>
            <w:r>
              <w:rPr>
                <w:rFonts w:hint="eastAsia" w:ascii="宋体" w:hAnsi="宋体"/>
                <w:sz w:val="24"/>
              </w:rPr>
              <w:t>题</w:t>
            </w:r>
          </w:p>
          <w:p w14:paraId="496CF6E5">
            <w:pPr>
              <w:jc w:val="center"/>
              <w:rPr>
                <w:rFonts w:hint="eastAsia" w:ascii="宋体" w:hAnsi="宋体"/>
                <w:sz w:val="24"/>
              </w:rPr>
            </w:pPr>
            <w:r>
              <w:rPr>
                <w:rFonts w:hint="eastAsia" w:ascii="宋体" w:hAnsi="宋体"/>
                <w:sz w:val="24"/>
              </w:rPr>
              <w:t>报</w:t>
            </w:r>
          </w:p>
          <w:p w14:paraId="6C6A98B1">
            <w:pPr>
              <w:jc w:val="center"/>
              <w:rPr>
                <w:rFonts w:hint="eastAsia" w:ascii="宋体" w:hAnsi="宋体"/>
                <w:sz w:val="24"/>
              </w:rPr>
            </w:pPr>
            <w:r>
              <w:rPr>
                <w:rFonts w:hint="eastAsia" w:ascii="宋体" w:hAnsi="宋体"/>
                <w:sz w:val="24"/>
              </w:rPr>
              <w:t>告</w:t>
            </w:r>
          </w:p>
          <w:p w14:paraId="30F7B05A">
            <w:pPr>
              <w:jc w:val="center"/>
              <w:rPr>
                <w:rFonts w:hint="eastAsia" w:ascii="宋体" w:hAnsi="宋体"/>
                <w:sz w:val="24"/>
              </w:rPr>
            </w:pPr>
            <w:r>
              <w:rPr>
                <w:rFonts w:hint="eastAsia" w:ascii="宋体" w:hAnsi="宋体"/>
                <w:sz w:val="24"/>
              </w:rPr>
              <w:t>审</w:t>
            </w:r>
          </w:p>
          <w:p w14:paraId="12A68C1B">
            <w:pPr>
              <w:jc w:val="center"/>
              <w:rPr>
                <w:rFonts w:hint="eastAsia" w:ascii="宋体" w:hAnsi="宋体"/>
                <w:sz w:val="24"/>
              </w:rPr>
            </w:pPr>
            <w:r>
              <w:rPr>
                <w:rFonts w:hint="eastAsia" w:ascii="宋体" w:hAnsi="宋体"/>
                <w:sz w:val="24"/>
              </w:rPr>
              <w:t>议</w:t>
            </w:r>
          </w:p>
          <w:p w14:paraId="67A7FE79">
            <w:pPr>
              <w:jc w:val="center"/>
              <w:rPr>
                <w:rFonts w:hint="eastAsia" w:ascii="宋体" w:hAnsi="宋体"/>
                <w:sz w:val="24"/>
              </w:rPr>
            </w:pPr>
            <w:r>
              <w:rPr>
                <w:rFonts w:hint="eastAsia" w:ascii="宋体" w:hAnsi="宋体"/>
                <w:sz w:val="24"/>
              </w:rPr>
              <w:t>情</w:t>
            </w:r>
          </w:p>
          <w:p w14:paraId="64418B4C">
            <w:pPr>
              <w:jc w:val="center"/>
              <w:rPr>
                <w:rFonts w:hint="eastAsia" w:ascii="宋体" w:hAnsi="宋体"/>
                <w:sz w:val="24"/>
              </w:rPr>
            </w:pPr>
            <w:r>
              <w:rPr>
                <w:rFonts w:hint="eastAsia" w:ascii="宋体" w:hAnsi="宋体"/>
                <w:sz w:val="24"/>
              </w:rPr>
              <w:t>况</w:t>
            </w:r>
          </w:p>
          <w:p w14:paraId="4BF7C062">
            <w:pPr>
              <w:jc w:val="center"/>
              <w:rPr>
                <w:rFonts w:hint="eastAsia" w:ascii="宋体" w:hAnsi="宋体"/>
                <w:sz w:val="24"/>
              </w:rPr>
            </w:pPr>
            <w:r>
              <w:rPr>
                <w:rFonts w:hint="eastAsia" w:ascii="宋体" w:hAnsi="宋体"/>
                <w:sz w:val="24"/>
              </w:rPr>
              <w:t>记</w:t>
            </w:r>
          </w:p>
          <w:p w14:paraId="38D2D755">
            <w:pPr>
              <w:spacing w:line="260" w:lineRule="exact"/>
              <w:jc w:val="center"/>
              <w:rPr>
                <w:rFonts w:hint="eastAsia" w:ascii="宋体" w:hAnsi="宋体"/>
                <w:sz w:val="24"/>
              </w:rPr>
            </w:pPr>
            <w:r>
              <w:rPr>
                <w:rFonts w:hint="eastAsia" w:ascii="宋体" w:hAnsi="宋体"/>
                <w:sz w:val="24"/>
              </w:rPr>
              <w:t>录</w:t>
            </w:r>
          </w:p>
        </w:tc>
        <w:tc>
          <w:tcPr>
            <w:tcW w:w="7464" w:type="dxa"/>
            <w:gridSpan w:val="2"/>
            <w:tcBorders>
              <w:top w:val="single" w:color="000000" w:sz="4" w:space="0"/>
              <w:bottom w:val="single" w:color="000000" w:sz="4" w:space="0"/>
              <w:right w:val="single" w:color="000000" w:sz="4" w:space="0"/>
            </w:tcBorders>
            <w:vAlign w:val="bottom"/>
          </w:tcPr>
          <w:p w14:paraId="52CF5056">
            <w:pPr>
              <w:spacing w:line="440" w:lineRule="exact"/>
              <w:jc w:val="left"/>
              <w:rPr>
                <w:rFonts w:hint="eastAsia" w:ascii="宋体" w:hAnsi="宋体"/>
                <w:sz w:val="24"/>
              </w:rPr>
            </w:pPr>
            <w:r>
              <w:rPr>
                <w:rFonts w:hint="eastAsia" w:ascii="宋体" w:hAnsi="宋体"/>
                <w:sz w:val="24"/>
              </w:rPr>
              <w:t>１、审议小组成员（硕士至少5人，博士5－7人，其中1人须为校外导师）：</w:t>
            </w:r>
          </w:p>
          <w:p w14:paraId="283AFC17">
            <w:pPr>
              <w:spacing w:line="440" w:lineRule="exact"/>
              <w:ind w:left="0" w:leftChars="0" w:right="0" w:rightChars="0" w:firstLineChars="200"/>
              <w:rPr>
                <w:rFonts w:hint="eastAsia" w:ascii="宋体" w:hAnsi="宋体"/>
                <w:sz w:val="24"/>
              </w:rPr>
            </w:pPr>
            <w:r>
              <w:rPr>
                <w:rFonts w:hint="eastAsia" w:ascii="宋体" w:hAnsi="宋体"/>
                <w:sz w:val="24"/>
              </w:rPr>
              <w:t>组长：</w:t>
            </w:r>
          </w:p>
          <w:p w14:paraId="606B01CB">
            <w:pPr>
              <w:spacing w:line="440" w:lineRule="exact"/>
              <w:ind w:left="0" w:leftChars="0" w:right="0" w:rightChars="0" w:firstLineChars="200"/>
              <w:rPr>
                <w:rFonts w:hint="eastAsia" w:ascii="宋体" w:hAnsi="宋体"/>
                <w:sz w:val="24"/>
              </w:rPr>
            </w:pPr>
            <w:r>
              <w:rPr>
                <w:rFonts w:hint="eastAsia" w:ascii="宋体" w:hAnsi="宋体"/>
                <w:sz w:val="24"/>
              </w:rPr>
              <w:t>成员：</w:t>
            </w:r>
          </w:p>
          <w:p w14:paraId="535CFACB">
            <w:pPr>
              <w:spacing w:line="440" w:lineRule="exact"/>
              <w:rPr>
                <w:rFonts w:hint="eastAsia" w:ascii="宋体" w:hAnsi="宋体"/>
                <w:sz w:val="24"/>
              </w:rPr>
            </w:pPr>
            <w:r>
              <w:rPr>
                <w:rFonts w:hint="eastAsia" w:ascii="宋体" w:hAnsi="宋体"/>
                <w:sz w:val="24"/>
              </w:rPr>
              <w:t>２、审议小组意见</w:t>
            </w:r>
          </w:p>
          <w:p w14:paraId="0E0CC170">
            <w:pPr>
              <w:spacing w:line="440" w:lineRule="exact"/>
              <w:rPr>
                <w:rFonts w:hint="eastAsia" w:ascii="宋体" w:hAnsi="宋体"/>
                <w:sz w:val="24"/>
              </w:rPr>
            </w:pPr>
          </w:p>
          <w:p w14:paraId="58AE921A">
            <w:pPr>
              <w:spacing w:line="440" w:lineRule="exact"/>
              <w:rPr>
                <w:rFonts w:hint="eastAsia" w:ascii="宋体" w:hAnsi="宋体"/>
                <w:sz w:val="24"/>
              </w:rPr>
            </w:pPr>
            <w:r>
              <w:rPr>
                <w:rFonts w:hint="eastAsia" w:ascii="宋体" w:hAnsi="宋体"/>
                <w:sz w:val="24"/>
              </w:rPr>
              <w:t>３、投票表决结果</w:t>
            </w:r>
          </w:p>
          <w:p w14:paraId="420C0597">
            <w:pPr>
              <w:spacing w:line="440" w:lineRule="exact"/>
              <w:ind w:left="0" w:leftChars="0" w:right="0" w:rightChars="0" w:firstLineChars="206"/>
              <w:rPr>
                <w:rFonts w:hint="eastAsia" w:ascii="宋体" w:hAnsi="宋体"/>
                <w:sz w:val="24"/>
              </w:rPr>
            </w:pPr>
            <w:r>
              <w:rPr>
                <w:rFonts w:hint="eastAsia" w:ascii="宋体" w:hAnsi="宋体"/>
                <w:sz w:val="24"/>
              </w:rPr>
              <w:t xml:space="preserve">审议小组出席 </w:t>
            </w:r>
            <w:r>
              <w:rPr>
                <w:rFonts w:hint="eastAsia" w:ascii="宋体" w:hAnsi="宋体"/>
                <w:sz w:val="24"/>
                <w:u w:val="single"/>
              </w:rPr>
              <w:t xml:space="preserve">       </w:t>
            </w:r>
            <w:r>
              <w:rPr>
                <w:rFonts w:hint="eastAsia" w:ascii="宋体" w:hAnsi="宋体"/>
                <w:sz w:val="24"/>
              </w:rPr>
              <w:t xml:space="preserve"> 人；通过 </w:t>
            </w:r>
            <w:r>
              <w:rPr>
                <w:rFonts w:hint="eastAsia" w:ascii="宋体" w:hAnsi="宋体"/>
                <w:sz w:val="24"/>
                <w:u w:val="single"/>
              </w:rPr>
              <w:t xml:space="preserve">      </w:t>
            </w:r>
            <w:r>
              <w:rPr>
                <w:rFonts w:hint="eastAsia" w:ascii="宋体" w:hAnsi="宋体"/>
                <w:sz w:val="24"/>
              </w:rPr>
              <w:t xml:space="preserve"> 人；不通过 </w:t>
            </w:r>
            <w:r>
              <w:rPr>
                <w:rFonts w:hint="eastAsia" w:ascii="宋体" w:hAnsi="宋体"/>
                <w:sz w:val="24"/>
                <w:u w:val="single"/>
              </w:rPr>
              <w:t xml:space="preserve">      </w:t>
            </w:r>
            <w:r>
              <w:rPr>
                <w:rFonts w:hint="eastAsia" w:ascii="宋体" w:hAnsi="宋体"/>
                <w:sz w:val="24"/>
              </w:rPr>
              <w:t xml:space="preserve"> 人。</w:t>
            </w:r>
          </w:p>
          <w:p w14:paraId="5943E204">
            <w:pPr>
              <w:spacing w:line="440" w:lineRule="exact"/>
              <w:ind w:left="0" w:leftChars="0" w:right="0" w:rightChars="0" w:firstLineChars="206"/>
              <w:rPr>
                <w:rFonts w:hint="eastAsia" w:ascii="宋体" w:hAnsi="宋体"/>
                <w:sz w:val="24"/>
              </w:rPr>
            </w:pPr>
            <w:r>
              <w:rPr>
                <w:rFonts w:hint="eastAsia" w:ascii="宋体" w:hAnsi="宋体"/>
                <w:sz w:val="24"/>
              </w:rPr>
              <w:t>开题报告质量</w:t>
            </w:r>
            <w:r>
              <w:rPr>
                <w:rFonts w:hint="eastAsia" w:ascii="宋体" w:hAnsi="宋体"/>
                <w:sz w:val="24"/>
                <w:u w:val="single"/>
              </w:rPr>
              <w:t xml:space="preserve">            （优、良、中、通过）</w:t>
            </w:r>
          </w:p>
          <w:p w14:paraId="01B7AF45">
            <w:pPr>
              <w:spacing w:line="440" w:lineRule="exact"/>
              <w:rPr>
                <w:rFonts w:hint="eastAsia" w:ascii="宋体" w:hAnsi="宋体"/>
                <w:sz w:val="24"/>
              </w:rPr>
            </w:pPr>
            <w:r>
              <w:rPr>
                <w:rFonts w:hint="eastAsia" w:ascii="宋体" w:hAnsi="宋体"/>
                <w:sz w:val="24"/>
              </w:rPr>
              <w:t>４、审议小组组长（签名）</w:t>
            </w:r>
          </w:p>
          <w:p w14:paraId="4BB662C6">
            <w:pPr>
              <w:spacing w:line="440" w:lineRule="exact"/>
              <w:ind w:left="0" w:leftChars="0" w:right="0" w:rightChars="0" w:firstLineChars="200"/>
              <w:rPr>
                <w:rFonts w:hint="eastAsia" w:ascii="宋体" w:hAnsi="宋体"/>
                <w:sz w:val="24"/>
                <w:u w:val="single"/>
              </w:rPr>
            </w:pPr>
            <w:r>
              <w:rPr>
                <w:rFonts w:hint="eastAsia" w:ascii="宋体" w:hAnsi="宋体"/>
                <w:sz w:val="24"/>
              </w:rPr>
              <w:t>审议小组成员（签名）</w:t>
            </w:r>
          </w:p>
          <w:p w14:paraId="5DAD6AFF">
            <w:pPr>
              <w:spacing w:line="440" w:lineRule="exact"/>
              <w:ind w:right="0" w:firstLine="3720"/>
              <w:jc w:val="left"/>
              <w:rPr>
                <w:rFonts w:hint="eastAsia" w:ascii="宋体" w:hAnsi="宋体"/>
                <w:sz w:val="24"/>
              </w:rPr>
            </w:pPr>
            <w:r>
              <w:rPr>
                <w:rFonts w:hint="eastAsia" w:ascii="宋体" w:hAnsi="宋体"/>
                <w:sz w:val="24"/>
              </w:rPr>
              <w:t>年   月   日</w:t>
            </w:r>
          </w:p>
        </w:tc>
      </w:tr>
      <w:tr w14:paraId="06E8EC72">
        <w:tblPrEx>
          <w:tblCellMar>
            <w:top w:w="0" w:type="dxa"/>
            <w:left w:w="108" w:type="dxa"/>
            <w:bottom w:w="0" w:type="dxa"/>
            <w:right w:w="108" w:type="dxa"/>
          </w:tblCellMar>
        </w:tblPrEx>
        <w:trPr>
          <w:trHeight w:val="4687"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2D3181A5">
            <w:pPr>
              <w:spacing w:line="440" w:lineRule="exact"/>
              <w:ind w:right="0" w:firstLine="480"/>
              <w:rPr>
                <w:rFonts w:hint="eastAsia" w:ascii="宋体" w:hAnsi="宋体"/>
                <w:sz w:val="24"/>
              </w:rPr>
            </w:pPr>
            <w:r>
              <w:rPr>
                <w:rFonts w:hint="eastAsia" w:ascii="宋体" w:hAnsi="宋体"/>
                <w:sz w:val="24"/>
              </w:rPr>
              <w:t>院（系、所）意见：</w:t>
            </w:r>
          </w:p>
          <w:p w14:paraId="121D032E">
            <w:pPr>
              <w:spacing w:line="440" w:lineRule="exact"/>
              <w:ind w:right="0" w:firstLine="480"/>
              <w:rPr>
                <w:rFonts w:hint="eastAsia" w:ascii="宋体" w:hAnsi="宋体"/>
                <w:sz w:val="24"/>
              </w:rPr>
            </w:pPr>
          </w:p>
          <w:p w14:paraId="27E74CFF">
            <w:pPr>
              <w:spacing w:line="440" w:lineRule="exact"/>
              <w:jc w:val="center"/>
              <w:rPr>
                <w:rFonts w:hint="eastAsia" w:ascii="宋体" w:hAnsi="宋体"/>
                <w:sz w:val="24"/>
              </w:rPr>
            </w:pPr>
          </w:p>
          <w:p w14:paraId="7CC15B50">
            <w:pPr>
              <w:spacing w:line="440" w:lineRule="exact"/>
              <w:ind w:left="0" w:leftChars="0" w:right="0" w:rightChars="0" w:firstLineChars="800"/>
              <w:rPr>
                <w:rFonts w:hint="eastAsia" w:ascii="宋体" w:hAnsi="宋体"/>
                <w:sz w:val="24"/>
              </w:rPr>
            </w:pPr>
            <w:r>
              <w:rPr>
                <w:rFonts w:hint="eastAsia" w:ascii="宋体" w:hAnsi="宋体"/>
                <w:sz w:val="24"/>
              </w:rPr>
              <w:t>院（系、所）负责人签名（或印章）</w:t>
            </w:r>
          </w:p>
          <w:p w14:paraId="43193251">
            <w:pPr>
              <w:spacing w:line="360" w:lineRule="auto"/>
              <w:jc w:val="center"/>
              <w:rPr>
                <w:rFonts w:hint="eastAsia" w:ascii="宋体" w:hAnsi="宋体"/>
                <w:sz w:val="24"/>
              </w:rPr>
            </w:pPr>
            <w:r>
              <w:rPr>
                <w:rFonts w:hint="eastAsia" w:ascii="宋体" w:hAnsi="宋体"/>
                <w:sz w:val="24"/>
              </w:rPr>
              <w:t xml:space="preserve">                                                           年    月    日</w:t>
            </w:r>
          </w:p>
        </w:tc>
        <w:tc>
          <w:tcPr>
            <w:tcW w:w="7464" w:type="dxa"/>
            <w:gridSpan w:val="2"/>
            <w:tcBorders>
              <w:top w:val="single" w:color="000000" w:sz="4" w:space="0"/>
              <w:left w:val="single" w:color="000000" w:sz="4" w:space="0"/>
              <w:bottom w:val="single" w:color="000000" w:sz="4" w:space="0"/>
              <w:right w:val="single" w:color="000000" w:sz="4" w:space="0"/>
            </w:tcBorders>
          </w:tcPr>
          <w:p w14:paraId="3DE4193F">
            <w:pPr>
              <w:snapToGrid w:val="0"/>
              <w:spacing w:line="440" w:lineRule="exact"/>
              <w:jc w:val="left"/>
              <w:rPr>
                <w:rFonts w:hint="eastAsia" w:ascii="宋体" w:hAnsi="宋体"/>
                <w:sz w:val="24"/>
              </w:rPr>
            </w:pPr>
          </w:p>
        </w:tc>
      </w:tr>
      <w:tr w14:paraId="37733E55">
        <w:tblPrEx>
          <w:tblCellMar>
            <w:top w:w="0" w:type="dxa"/>
            <w:left w:w="108" w:type="dxa"/>
            <w:bottom w:w="0" w:type="dxa"/>
            <w:right w:w="108" w:type="dxa"/>
          </w:tblCellMar>
        </w:tblPrEx>
        <w:trPr>
          <w:cantSplit/>
          <w:trHeight w:val="4947"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733CCB85">
            <w:pPr>
              <w:jc w:val="center"/>
              <w:rPr>
                <w:rFonts w:hint="eastAsia" w:ascii="宋体" w:hAnsi="宋体"/>
                <w:sz w:val="24"/>
              </w:rPr>
            </w:pPr>
            <w:r>
              <w:rPr>
                <w:rFonts w:hint="eastAsia" w:ascii="宋体" w:hAnsi="宋体"/>
                <w:sz w:val="24"/>
              </w:rPr>
              <w:t>备注：</w:t>
            </w:r>
          </w:p>
        </w:tc>
        <w:tc>
          <w:tcPr>
            <w:tcW w:w="7464" w:type="dxa"/>
            <w:gridSpan w:val="2"/>
            <w:tcBorders>
              <w:top w:val="single" w:color="000000" w:sz="4" w:space="0"/>
              <w:left w:val="single" w:color="000000" w:sz="4" w:space="0"/>
              <w:bottom w:val="single" w:color="000000" w:sz="4" w:space="0"/>
              <w:right w:val="single" w:color="000000" w:sz="4" w:space="0"/>
            </w:tcBorders>
          </w:tcPr>
          <w:p w14:paraId="1273B2C4">
            <w:pPr>
              <w:snapToGrid w:val="0"/>
              <w:spacing w:line="440" w:lineRule="exact"/>
              <w:ind w:leftChars="2249" w:right="0" w:rightChars="0" w:firstLineChars="800"/>
              <w:rPr>
                <w:rFonts w:hint="eastAsia" w:ascii="宋体" w:hAnsi="宋体"/>
                <w:sz w:val="24"/>
              </w:rPr>
            </w:pPr>
          </w:p>
        </w:tc>
      </w:tr>
      <w:tr w14:paraId="667C7547">
        <w:tblPrEx>
          <w:tblCellMar>
            <w:top w:w="0" w:type="dxa"/>
            <w:left w:w="108" w:type="dxa"/>
            <w:bottom w:w="0" w:type="dxa"/>
            <w:right w:w="108" w:type="dxa"/>
          </w:tblCellMar>
        </w:tblPrEx>
        <w:trPr>
          <w:trHeight w:val="2014" w:hRule="atLeast"/>
          <w:jc w:val="center"/>
        </w:trPr>
        <w:tc>
          <w:tcPr>
            <w:tcW w:w="9541" w:type="dxa"/>
            <w:gridSpan w:val="3"/>
            <w:tcBorders>
              <w:top w:val="single" w:color="000000" w:sz="4" w:space="0"/>
              <w:left w:val="single" w:color="000000" w:sz="4" w:space="0"/>
              <w:bottom w:val="single" w:color="000000" w:sz="4" w:space="0"/>
              <w:right w:val="single" w:color="000000" w:sz="4" w:space="0"/>
            </w:tcBorders>
          </w:tcPr>
          <w:p w14:paraId="600EF821">
            <w:pPr>
              <w:snapToGrid w:val="0"/>
              <w:spacing w:line="440" w:lineRule="exact"/>
              <w:jc w:val="center"/>
              <w:rPr>
                <w:rFonts w:hint="eastAsia" w:ascii="宋体" w:hAnsi="宋体"/>
                <w:sz w:val="24"/>
              </w:rPr>
            </w:pPr>
          </w:p>
        </w:tc>
      </w:tr>
      <w:tr w14:paraId="4A947A38">
        <w:tblPrEx>
          <w:tblCellMar>
            <w:top w:w="0" w:type="dxa"/>
            <w:left w:w="108" w:type="dxa"/>
            <w:bottom w:w="0" w:type="dxa"/>
            <w:right w:w="108" w:type="dxa"/>
          </w:tblCellMar>
        </w:tblPrEx>
        <w:trPr>
          <w:trHeight w:val="2014" w:hRule="atLeast"/>
          <w:jc w:val="center"/>
        </w:trPr>
        <w:tc>
          <w:tcPr>
            <w:tcW w:w="9541" w:type="dxa"/>
            <w:gridSpan w:val="3"/>
            <w:tcBorders>
              <w:top w:val="single" w:color="000000" w:sz="4" w:space="0"/>
              <w:left w:val="single" w:color="000000" w:sz="4" w:space="0"/>
              <w:bottom w:val="single" w:color="000000" w:sz="4" w:space="0"/>
              <w:right w:val="single" w:color="000000" w:sz="4" w:space="0"/>
            </w:tcBorders>
          </w:tcPr>
          <w:p w14:paraId="386DB658">
            <w:pPr>
              <w:snapToGrid w:val="0"/>
              <w:spacing w:line="440" w:lineRule="exact"/>
              <w:ind w:right="0" w:firstLine="480"/>
              <w:rPr>
                <w:rFonts w:hint="eastAsia" w:ascii="宋体" w:hAnsi="宋体"/>
                <w:sz w:val="24"/>
              </w:rPr>
            </w:pPr>
          </w:p>
        </w:tc>
      </w:tr>
    </w:tbl>
    <w:p w14:paraId="5EAA76CB"/>
    <w:sectPr>
      <w:footerReference r:id="rId4" w:type="first"/>
      <w:footerReference r:id="rId3" w:type="default"/>
      <w:pgSz w:w="11906" w:h="16838"/>
      <w:pgMar w:top="1134" w:right="1134" w:bottom="1134" w:left="1134" w:header="0" w:footer="992" w:gutter="0"/>
      <w:pgNumType w:fmt="decimal" w:start="0"/>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 Sans Devanagari">
    <w:panose1 w:val="020B0502040504020204"/>
    <w:charset w:val="00"/>
    <w:family w:val="auto"/>
    <w:pitch w:val="default"/>
    <w:sig w:usb0="80008023" w:usb1="00002046" w:usb2="00000000" w:usb3="00000000" w:csb0="00000001" w:csb1="00000000"/>
  </w:font>
  <w:font w:name="Liberation Serif">
    <w:panose1 w:val="02020603050405020304"/>
    <w:charset w:val="01"/>
    <w:family w:val="roman"/>
    <w:pitch w:val="default"/>
    <w:sig w:usb0="E0000AFF" w:usb1="500078FF" w:usb2="00000021" w:usb3="00000000" w:csb0="600001BF" w:csb1="DFF70000"/>
  </w:font>
  <w:font w:name="Source Han Serif CN">
    <w:panose1 w:val="02020400000000000000"/>
    <w:charset w:val="86"/>
    <w:family w:val="auto"/>
    <w:pitch w:val="default"/>
    <w:sig w:usb0="20000083" w:usb1="2ADF3C10" w:usb2="00000016" w:usb3="00000000" w:csb0="60060107" w:csb1="00000000"/>
  </w:font>
  <w:font w:name="Liberation Sans">
    <w:panose1 w:val="020B0604020202020204"/>
    <w:charset w:val="01"/>
    <w:family w:val="swiss"/>
    <w:pitch w:val="default"/>
    <w:sig w:usb0="E0000AFF" w:usb1="500078FF" w:usb2="00000021" w:usb3="00000000" w:csb0="600001BF" w:csb1="DFF70000"/>
  </w:font>
  <w:font w:name="Source Han Sans CN">
    <w:panose1 w:val="020B0500000000000000"/>
    <w:charset w:val="86"/>
    <w:family w:val="auto"/>
    <w:pitch w:val="default"/>
    <w:sig w:usb0="20000083" w:usb1="2ADF3C10" w:usb2="00000016" w:usb3="00000000" w:csb0="60060107" w:csb1="00000000"/>
  </w:font>
  <w:font w:name="方正小标宋简体;汉仪书宋二KW">
    <w:altName w:val="方正书宋_GBK"/>
    <w:panose1 w:val="00000000000000000000"/>
    <w:charset w:val="00"/>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3EAE8">
    <w:pPr>
      <w:pStyle w:val="5"/>
      <w:ind w:right="360" w:firstLine="360"/>
      <w:rPr>
        <w:rFonts w:hint="eastAsia"/>
      </w:rPr>
    </w:pPr>
    <w:r>
      <w:rPr>
        <w:rFonts w:hint="eastAsia"/>
      </w:rPr>
      <w:t xml:space="preserve">                                                                                                    </w:t>
    </w: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3" name="Frame1"/>
              <wp:cNvGraphicFramePr/>
              <a:graphic xmlns:a="http://schemas.openxmlformats.org/drawingml/2006/main">
                <a:graphicData uri="http://schemas.microsoft.com/office/word/2010/wordprocessingShape">
                  <wps:wsp>
                    <wps:cNvSpPr txBox="1"/>
                    <wps:spPr>
                      <a:xfrm>
                        <a:off x="0" y="0"/>
                        <a:ext cx="114935" cy="131445"/>
                      </a:xfrm>
                      <a:prstGeom prst="rect">
                        <a:avLst/>
                      </a:prstGeom>
                      <a:solidFill>
                        <a:srgbClr val="FFFFFF">
                          <a:alpha val="0"/>
                        </a:srgbClr>
                      </a:solidFill>
                    </wps:spPr>
                    <wps:txbx>
                      <w:txbxContent>
                        <w:p w14:paraId="3C99F4CE">
                          <w:pPr>
                            <w:pStyle w:val="5"/>
                            <w:rPr>
                              <w:rStyle w:val="12"/>
                            </w:rPr>
                          </w:pPr>
                          <w:r>
                            <w:rPr>
                              <w:rStyle w:val="12"/>
                            </w:rPr>
                            <w:fldChar w:fldCharType="begin"/>
                          </w:r>
                          <w:r>
                            <w:rPr>
                              <w:rStyle w:val="12"/>
                            </w:rPr>
                            <w:instrText xml:space="preserve"> PAGE </w:instrText>
                          </w:r>
                          <w:r>
                            <w:rPr>
                              <w:rStyle w:val="12"/>
                            </w:rPr>
                            <w:fldChar w:fldCharType="separate"/>
                          </w:r>
                          <w:r>
                            <w:rPr>
                              <w:rStyle w:val="12"/>
                            </w:rPr>
                            <w:t>18</w:t>
                          </w:r>
                          <w:r>
                            <w:rPr>
                              <w:rStyle w:val="12"/>
                            </w:rPr>
                            <w:fldChar w:fldCharType="end"/>
                          </w:r>
                        </w:p>
                      </w:txbxContent>
                    </wps:txbx>
                    <wps:bodyPr lIns="0" tIns="0" rIns="0" bIns="0" anchor="t">
                      <a:noAutofit/>
                    </wps:bodyPr>
                  </wps:wsp>
                </a:graphicData>
              </a:graphic>
            </wp:anchor>
          </w:drawing>
        </mc:Choice>
        <mc:Fallback>
          <w:pict>
            <v:shape id="Frame1" o:spid="_x0000_s1026" o:spt="202" type="#_x0000_t202" style="position:absolute;left:0pt;margin-top:0.05pt;height:10.35pt;width:9.0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OAcHNbRAAAAAwEAAA8AAAAAAAAAAQAgAAAAIgAAAGRycy9kb3ducmV2&#10;LnhtbFBLAQIUABQAAAAIAIdO4kC4PwPPygEAALMDAAAOAAAAAAAAAAEAIAAAACABAABkcnMvZTJv&#10;RG9jLnhtbFBLBQYAAAAABgAGAFkBAABcBQAAAAA=&#10;">
              <v:fill on="t" opacity="0f" focussize="0,0"/>
              <v:stroke on="f"/>
              <v:imagedata o:title=""/>
              <o:lock v:ext="edit" aspectratio="f"/>
              <v:textbox inset="0mm,0mm,0mm,0mm">
                <w:txbxContent>
                  <w:p w14:paraId="3C99F4CE">
                    <w:pPr>
                      <w:pStyle w:val="5"/>
                      <w:rPr>
                        <w:rStyle w:val="12"/>
                      </w:rPr>
                    </w:pPr>
                    <w:r>
                      <w:rPr>
                        <w:rStyle w:val="12"/>
                      </w:rPr>
                      <w:fldChar w:fldCharType="begin"/>
                    </w:r>
                    <w:r>
                      <w:rPr>
                        <w:rStyle w:val="12"/>
                      </w:rPr>
                      <w:instrText xml:space="preserve"> PAGE </w:instrText>
                    </w:r>
                    <w:r>
                      <w:rPr>
                        <w:rStyle w:val="12"/>
                      </w:rPr>
                      <w:fldChar w:fldCharType="separate"/>
                    </w:r>
                    <w:r>
                      <w:rPr>
                        <w:rStyle w:val="12"/>
                      </w:rPr>
                      <w:t>18</w:t>
                    </w:r>
                    <w:r>
                      <w:rPr>
                        <w:rStyle w:val="12"/>
                      </w:rPr>
                      <w:fldChar w:fldCharType="end"/>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6B612">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FFA2D4"/>
    <w:multiLevelType w:val="multilevel"/>
    <w:tmpl w:val="BCFFA2D4"/>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pStyle w:val="2"/>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1">
    <w:nsid w:val="DE9AB452"/>
    <w:multiLevelType w:val="multilevel"/>
    <w:tmpl w:val="DE9AB452"/>
    <w:lvl w:ilvl="0" w:tentative="0">
      <w:start w:val="1"/>
      <w:numFmt w:val="decimal"/>
      <w:lvlText w:val="%1、"/>
      <w:lvlJc w:val="left"/>
      <w:pPr>
        <w:tabs>
          <w:tab w:val="left" w:pos="0"/>
        </w:tabs>
        <w:ind w:left="780" w:hanging="360"/>
      </w:pPr>
      <w:rPr>
        <w:rFonts w:hint="eastAsia"/>
      </w:rPr>
    </w:lvl>
    <w:lvl w:ilvl="1" w:tentative="0">
      <w:start w:val="1"/>
      <w:numFmt w:val="lowerLetter"/>
      <w:lvlText w:val="%2)"/>
      <w:lvlJc w:val="left"/>
      <w:pPr>
        <w:tabs>
          <w:tab w:val="left" w:pos="0"/>
        </w:tabs>
        <w:ind w:left="1260" w:hanging="420"/>
      </w:pPr>
    </w:lvl>
    <w:lvl w:ilvl="2" w:tentative="0">
      <w:start w:val="1"/>
      <w:numFmt w:val="lowerRoman"/>
      <w:lvlText w:val="%3."/>
      <w:lvlJc w:val="right"/>
      <w:pPr>
        <w:tabs>
          <w:tab w:val="left" w:pos="0"/>
        </w:tabs>
        <w:ind w:left="1680" w:hanging="420"/>
      </w:pPr>
    </w:lvl>
    <w:lvl w:ilvl="3" w:tentative="0">
      <w:start w:val="1"/>
      <w:numFmt w:val="decimal"/>
      <w:lvlText w:val="%4."/>
      <w:lvlJc w:val="left"/>
      <w:pPr>
        <w:tabs>
          <w:tab w:val="left" w:pos="0"/>
        </w:tabs>
        <w:ind w:left="2100" w:hanging="420"/>
      </w:pPr>
    </w:lvl>
    <w:lvl w:ilvl="4" w:tentative="0">
      <w:start w:val="1"/>
      <w:numFmt w:val="lowerLetter"/>
      <w:lvlText w:val="%5)"/>
      <w:lvlJc w:val="left"/>
      <w:pPr>
        <w:tabs>
          <w:tab w:val="left" w:pos="0"/>
        </w:tabs>
        <w:ind w:left="2520" w:hanging="420"/>
      </w:pPr>
    </w:lvl>
    <w:lvl w:ilvl="5" w:tentative="0">
      <w:start w:val="1"/>
      <w:numFmt w:val="lowerRoman"/>
      <w:lvlText w:val="%6."/>
      <w:lvlJc w:val="right"/>
      <w:pPr>
        <w:tabs>
          <w:tab w:val="left" w:pos="0"/>
        </w:tabs>
        <w:ind w:left="2940" w:hanging="420"/>
      </w:pPr>
    </w:lvl>
    <w:lvl w:ilvl="6" w:tentative="0">
      <w:start w:val="1"/>
      <w:numFmt w:val="decimal"/>
      <w:lvlText w:val="%7."/>
      <w:lvlJc w:val="left"/>
      <w:pPr>
        <w:tabs>
          <w:tab w:val="left" w:pos="0"/>
        </w:tabs>
        <w:ind w:left="3360" w:hanging="420"/>
      </w:pPr>
    </w:lvl>
    <w:lvl w:ilvl="7" w:tentative="0">
      <w:start w:val="1"/>
      <w:numFmt w:val="lowerLetter"/>
      <w:lvlText w:val="%8)"/>
      <w:lvlJc w:val="left"/>
      <w:pPr>
        <w:tabs>
          <w:tab w:val="left" w:pos="0"/>
        </w:tabs>
        <w:ind w:left="3780" w:hanging="420"/>
      </w:pPr>
    </w:lvl>
    <w:lvl w:ilvl="8" w:tentative="0">
      <w:start w:val="1"/>
      <w:numFmt w:val="lowerRoman"/>
      <w:lvlText w:val="%9."/>
      <w:lvlJc w:val="right"/>
      <w:pPr>
        <w:tabs>
          <w:tab w:val="left" w:pos="0"/>
        </w:tabs>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autoHyphenation/>
  <w:hyphenationZone w:val="0"/>
  <w:compat>
    <w:doNotExpandShiftReturn/>
    <w:adjustLineHeightInTable/>
    <w:doNotBreakWrappedTables/>
    <w:useFELayout/>
    <w:compatSetting w:name="compatibilityMode" w:uri="http://schemas.microsoft.com/office/word" w:val="11"/>
  </w:compat>
  <w:rsids>
    <w:rsidRoot w:val="00000000"/>
    <w:rsid w:val="7DA28C82"/>
    <w:rsid w:val="B3DF6E07"/>
    <w:rsid w:val="F2FF90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Source Han Serif CN"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3"/>
    <w:basedOn w:val="1"/>
    <w:next w:val="3"/>
    <w:qFormat/>
    <w:uiPriority w:val="0"/>
    <w:pPr>
      <w:widowControl/>
      <w:numPr>
        <w:ilvl w:val="2"/>
        <w:numId w:val="1"/>
      </w:numPr>
      <w:spacing w:before="100" w:after="100"/>
      <w:jc w:val="left"/>
      <w:outlineLvl w:val="2"/>
    </w:pPr>
    <w:rPr>
      <w:rFonts w:ascii="宋体" w:hAnsi="宋体" w:cs="宋体"/>
      <w:b/>
      <w:bCs/>
      <w:kern w:val="0"/>
      <w:sz w:val="27"/>
      <w:szCs w:val="27"/>
    </w:rPr>
  </w:style>
  <w:style w:type="character" w:default="1" w:styleId="10">
    <w:name w:val="Default Paragraph Font"/>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Body Text"/>
    <w:basedOn w:val="1"/>
    <w:uiPriority w:val="0"/>
    <w:pPr>
      <w:spacing w:line="400" w:lineRule="exact"/>
      <w:jc w:val="center"/>
    </w:pPr>
    <w:rPr>
      <w:rFonts w:ascii="宋体" w:hAnsi="宋体"/>
      <w:sz w:val="24"/>
    </w:rPr>
  </w:style>
  <w:style w:type="paragraph" w:styleId="4">
    <w:name w:val="caption"/>
    <w:basedOn w:val="1"/>
    <w:qFormat/>
    <w:uiPriority w:val="0"/>
    <w:pPr>
      <w:suppressLineNumbers/>
      <w:spacing w:before="120" w:after="120"/>
    </w:pPr>
    <w:rPr>
      <w:rFonts w:cs="Noto Sans Devanagari"/>
      <w:i/>
      <w:iCs/>
      <w:sz w:val="24"/>
      <w:szCs w:val="24"/>
    </w:rPr>
  </w:style>
  <w:style w:type="paragraph" w:styleId="5">
    <w:name w:val="footer"/>
    <w:basedOn w:val="1"/>
    <w:uiPriority w:val="0"/>
    <w:pPr>
      <w:tabs>
        <w:tab w:val="center" w:pos="4153"/>
        <w:tab w:val="right" w:pos="8306"/>
      </w:tabs>
      <w:snapToGrid w:val="0"/>
      <w:jc w:val="left"/>
    </w:pPr>
    <w:rPr>
      <w:sz w:val="18"/>
      <w:szCs w:val="20"/>
    </w:rPr>
  </w:style>
  <w:style w:type="paragraph" w:styleId="6">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7">
    <w:name w:val="List"/>
    <w:basedOn w:val="3"/>
    <w:uiPriority w:val="0"/>
    <w:rPr>
      <w:rFonts w:cs="Noto Sans Devanagari"/>
    </w:rPr>
  </w:style>
  <w:style w:type="paragraph" w:styleId="8">
    <w:name w:val="Normal (Web)"/>
    <w:basedOn w:val="1"/>
    <w:qFormat/>
    <w:uiPriority w:val="0"/>
    <w:pPr>
      <w:widowControl/>
      <w:spacing w:before="100" w:after="100"/>
      <w:jc w:val="left"/>
    </w:pPr>
    <w:rPr>
      <w:rFonts w:ascii="宋体" w:hAnsi="宋体" w:cs="宋体"/>
      <w:kern w:val="0"/>
      <w:sz w:val="24"/>
    </w:rPr>
  </w:style>
  <w:style w:type="character" w:styleId="11">
    <w:name w:val="Strong"/>
    <w:qFormat/>
    <w:uiPriority w:val="0"/>
    <w:rPr>
      <w:b/>
      <w:bCs/>
    </w:rPr>
  </w:style>
  <w:style w:type="character" w:styleId="12">
    <w:name w:val="page number"/>
    <w:basedOn w:val="10"/>
    <w:uiPriority w:val="0"/>
  </w:style>
  <w:style w:type="character" w:styleId="13">
    <w:name w:val="Hyperlink"/>
    <w:uiPriority w:val="0"/>
    <w:rPr>
      <w:color w:val="0000FF"/>
      <w:u w:val="single"/>
    </w:rPr>
  </w:style>
  <w:style w:type="character" w:customStyle="1" w:styleId="14">
    <w:name w:val="WW8Num1z0"/>
    <w:qFormat/>
    <w:uiPriority w:val="0"/>
    <w:rPr>
      <w:rFonts w:hint="eastAsia"/>
    </w:rPr>
  </w:style>
  <w:style w:type="character" w:customStyle="1" w:styleId="15">
    <w:name w:val="WW8Num2z0"/>
    <w:qFormat/>
    <w:uiPriority w:val="0"/>
    <w:rPr>
      <w:rFonts w:hint="eastAsia"/>
    </w:rPr>
  </w:style>
  <w:style w:type="character" w:customStyle="1" w:styleId="16">
    <w:name w:val="Heading 3 Char"/>
    <w:qFormat/>
    <w:uiPriority w:val="0"/>
    <w:rPr>
      <w:rFonts w:ascii="宋体" w:hAnsi="宋体" w:cs="宋体"/>
      <w:b/>
      <w:bCs/>
      <w:sz w:val="27"/>
      <w:szCs w:val="27"/>
    </w:rPr>
  </w:style>
  <w:style w:type="character" w:customStyle="1" w:styleId="17">
    <w:name w:val="Comment Reference"/>
    <w:qFormat/>
    <w:uiPriority w:val="0"/>
    <w:rPr>
      <w:sz w:val="16"/>
      <w:szCs w:val="16"/>
    </w:rPr>
  </w:style>
  <w:style w:type="character" w:customStyle="1" w:styleId="18">
    <w:name w:val="Comment Text Char"/>
    <w:qFormat/>
    <w:uiPriority w:val="0"/>
    <w:rPr>
      <w:kern w:val="2"/>
    </w:rPr>
  </w:style>
  <w:style w:type="character" w:customStyle="1" w:styleId="19">
    <w:name w:val="Comment Subject Char"/>
    <w:qFormat/>
    <w:uiPriority w:val="0"/>
    <w:rPr>
      <w:b/>
      <w:bCs/>
      <w:kern w:val="2"/>
    </w:rPr>
  </w:style>
  <w:style w:type="character" w:customStyle="1" w:styleId="20">
    <w:name w:val="Header Char"/>
    <w:qFormat/>
    <w:uiPriority w:val="0"/>
    <w:rPr>
      <w:kern w:val="2"/>
      <w:sz w:val="18"/>
      <w:szCs w:val="18"/>
    </w:rPr>
  </w:style>
  <w:style w:type="paragraph" w:customStyle="1" w:styleId="21">
    <w:name w:val="Heading"/>
    <w:basedOn w:val="1"/>
    <w:next w:val="3"/>
    <w:qFormat/>
    <w:uiPriority w:val="0"/>
    <w:pPr>
      <w:keepNext/>
      <w:spacing w:before="240" w:after="120"/>
    </w:pPr>
    <w:rPr>
      <w:rFonts w:ascii="Liberation Sans" w:hAnsi="Liberation Sans" w:eastAsia="Source Han Sans CN" w:cs="Noto Sans Devanagari"/>
      <w:sz w:val="28"/>
      <w:szCs w:val="28"/>
    </w:rPr>
  </w:style>
  <w:style w:type="paragraph" w:customStyle="1" w:styleId="22">
    <w:name w:val="Index"/>
    <w:basedOn w:val="1"/>
    <w:qFormat/>
    <w:uiPriority w:val="0"/>
    <w:pPr>
      <w:suppressLineNumbers/>
    </w:pPr>
    <w:rPr>
      <w:rFonts w:cs="Noto Sans Devanagari"/>
    </w:rPr>
  </w:style>
  <w:style w:type="paragraph" w:customStyle="1" w:styleId="23">
    <w:name w:val="Comment Text"/>
    <w:basedOn w:val="1"/>
    <w:qFormat/>
    <w:uiPriority w:val="0"/>
    <w:rPr>
      <w:sz w:val="20"/>
      <w:szCs w:val="20"/>
    </w:rPr>
  </w:style>
  <w:style w:type="paragraph" w:customStyle="1" w:styleId="24">
    <w:name w:val="Comment Subject"/>
    <w:basedOn w:val="23"/>
    <w:next w:val="23"/>
    <w:qFormat/>
    <w:uiPriority w:val="0"/>
    <w:rPr>
      <w:b/>
      <w:bCs/>
    </w:rPr>
  </w:style>
  <w:style w:type="paragraph" w:customStyle="1" w:styleId="25">
    <w:name w:val="Header and Footer"/>
    <w:basedOn w:val="1"/>
    <w:qFormat/>
    <w:uiPriority w:val="0"/>
    <w:pPr>
      <w:suppressLineNumbers/>
      <w:tabs>
        <w:tab w:val="center" w:pos="4819"/>
        <w:tab w:val="right" w:pos="9638"/>
      </w:tabs>
    </w:pPr>
  </w:style>
  <w:style w:type="paragraph" w:customStyle="1" w:styleId="26">
    <w:name w:val="Revision"/>
    <w:qFormat/>
    <w:uiPriority w:val="0"/>
    <w:pPr>
      <w:widowControl/>
      <w:suppressAutoHyphens/>
      <w:bidi w:val="0"/>
    </w:pPr>
    <w:rPr>
      <w:rFonts w:ascii="Times New Roman" w:hAnsi="Times New Roman" w:eastAsia="宋体" w:cs="Times New Roman"/>
      <w:color w:val="auto"/>
      <w:kern w:val="2"/>
      <w:sz w:val="21"/>
      <w:szCs w:val="24"/>
      <w:lang w:val="en-US" w:eastAsia="zh-CN" w:bidi="ar-SA"/>
    </w:rPr>
  </w:style>
  <w:style w:type="paragraph" w:customStyle="1" w:styleId="27">
    <w:name w:val="Table Contents"/>
    <w:basedOn w:val="1"/>
    <w:qFormat/>
    <w:uiPriority w:val="0"/>
    <w:pPr>
      <w:widowControl w:val="0"/>
      <w:suppressLineNumbers/>
    </w:pPr>
  </w:style>
  <w:style w:type="paragraph" w:customStyle="1" w:styleId="28">
    <w:name w:val="Table Heading"/>
    <w:basedOn w:val="27"/>
    <w:qFormat/>
    <w:uiPriority w:val="0"/>
    <w:pPr>
      <w:suppressLineNumbers/>
      <w:jc w:val="center"/>
    </w:pPr>
    <w:rPr>
      <w:b/>
      <w:bCs/>
    </w:rPr>
  </w:style>
  <w:style w:type="paragraph" w:customStyle="1" w:styleId="29">
    <w:name w:val="Frame Contents"/>
    <w:basedOn w:val="1"/>
    <w:qFormat/>
    <w:uiPriority w:val="0"/>
  </w:style>
</w:styles>
</file>

<file path=word/_rels/document.xml.rels><?xml version="1.0" encoding="UTF-8"?><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21" Type="http://schemas.openxmlformats.org/officeDocument/2006/relationships/image" Target="media/stack-layout.png"/><Relationship Id="rId22" Type="http://schemas.openxmlformats.org/officeDocument/2006/relationships/image" Target="media/defense-matrix.png"/><Relationship Id="rId23" Type="http://schemas.openxmlformats.org/officeDocument/2006/relationships/image" Target="media/pipeline.png"/><Relationship Id="rId24" Type="http://schemas.openxmlformats.org/officeDocument/2006/relationships/image" Target="media/architecture.png"/><Relationship Id="rId25" Type="http://schemas.openxmlformats.org/officeDocument/2006/relationships/image" Target="media/oracle-flow.png"/><Relationship Id="rId26" Type="http://schemas.openxmlformats.org/officeDocument/2006/relationships/image" Target="media/main-loop.png"/><Relationship Id="rId27" Type="http://schemas.openxmlformats.org/officeDocument/2006/relationships/image" Target="media/fortify-path.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TotalTime>2</TotalTime>
  <ScaleCrop>false</ScaleCrop>
  <LinksUpToDate>false</LinksUpToDate>
  <Application>WPS Office_12.1.2.25882_F1E327BC-269C-435d-A152-05C5408002CA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2024-03-25T13:53:00Z</dcterms:created>
  <dc:creator>曹蕾</dc:creator>
  <cp:lastModifiedBy>yall</cp:lastModifiedBy>
  <dcterms:modified xsi:type="dcterms:W3CDTF">2026-05-09T22:25:40Z</dcterms:modified>
  <dc:title>学号：</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15D241725E95EA7AD2AFFD691A47C2CC_42</vt:lpwstr>
  </property>
  <property fmtid="{D5CDD505-2E9C-101B-9397-08002B2CF9AE}" pid="3" name="KSOProductBuildVer">
    <vt:lpwstr>2052-12.1.2.25882</vt:lpwstr>
  </property>
</Properties>
</file>