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bookmarkStart w:id="0" w:name="_GoBack"/>
      <w:bookmarkEnd w:id="0"/>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 LLM 约束求解的编译器防御机制模糊测试方法研究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16493025">
            <w:pPr>
              <w:widowControl/>
              <w:jc w:val="left"/>
              <w:rPr>
                <w:rFonts w:ascii="宋体" w:hAnsi="宋体"/>
                <w:b/>
                <w:bCs/>
                <w:spacing w:val="-6"/>
                <w:kern w:val="0"/>
                <w:sz w:val="24"/>
              </w:rPr>
            </w:pPr>
          </w:p>
          <w:p w14:paraId="72482350">
            <w:pPr>
              <w:widowControl/>
              <w:jc w:val="left"/>
              <w:rPr>
                <w:b/>
                <w:bCs/>
                <w:kern w:val="0"/>
                <w:sz w:val="24"/>
              </w:rPr>
            </w:pPr>
            <w:r>
              <w:rPr>
                <w:b/>
                <w:bCs/>
                <w:kern w:val="0"/>
                <w:sz w:val="24"/>
              </w:rPr>
              <w:t>一、研究背景</w:t>
            </w:r>
          </w:p>
          <w:p w14:paraId="6226E597">
            <w:pPr>
              <w:spacing w:line="360" w:lineRule="auto"/>
              <w:ind w:left="0" w:leftChars="0" w:right="0" w:rightChars="0" w:firstLineChars="200"/>
              <w:rPr>
                <w:kern w:val="0"/>
                <w:sz w:val="24"/>
              </w:rPr>
            </w:pPr>
            <w:r>
              <w:rPr>
                <w:kern w:val="0"/>
                <w:sz w:val="24"/>
              </w:rPr>
              <w:t>现代软件的安全性建立在一条隐含的信任链上。无论是栈溢出保护（stack canary）、对越界写入做运行时拦截的 _FORTIFY_SOURCE，还是抵御控制流劫持的 IBT、BTI、shadow stack，它们共同构成应用层之下的防御层。这些机制的实际效果并不由源代码决定，而是由编译器在代码生成、过程间优化与目标后端中是否正确插入相应的检查指令所决定。一旦编译器在某条优化路径上将检查省略或保留了过期参数，对应函数所写入的二进制将"看上去仍然带有保护"，但运行时的拦截能力已经悄然削弱。</w:t>
            </w:r>
          </w:p>
          <w:p w14:paraId="5EBBAB3F">
            <w:pPr>
              <w:spacing w:line="360" w:lineRule="auto"/>
              <w:ind w:left="0" w:leftChars="0" w:right="0" w:rightChars="0" w:firstLineChars="200"/>
              <w:rPr>
                <w:kern w:val="0"/>
                <w:sz w:val="24"/>
              </w:rPr>
            </w:pPr>
            <w:r>
              <w:rPr>
                <w:kern w:val="0"/>
                <w:sz w:val="24"/>
              </w:rPr>
              <w:t>这一类失效区别于通常意义上的功能性 bug，被业界归纳为防御机制的静默失效（silent failure）。它具有三个显著特征：首先，编译过程不会出错，二进制能够正常链接、运行并通过功能测试，缺陷只有在攻击者构造特定输入时才会显现；其次，缺陷往往隐藏在多年来被反复修改的中端 pass 或后端模板里，成因复杂，单纯依靠人工 code review 难以系统覆盖；最后，由于缺乏明确的崩溃信号，传统模糊测试在这类问题上几乎没有可观察的反馈。</w:t>
            </w:r>
          </w:p>
          <w:p w14:paraId="6D289C81">
            <w:pPr>
              <w:spacing w:line="360" w:lineRule="auto"/>
              <w:ind w:left="0" w:leftChars="0" w:right="0" w:rightChars="0" w:firstLineChars="200"/>
              <w:rPr>
                <w:kern w:val="0"/>
                <w:sz w:val="24"/>
              </w:rPr>
            </w:pPr>
            <w:r>
              <w:rPr>
                <w:kern w:val="0"/>
                <w:sz w:val="24"/>
              </w:rPr>
              <w:t>GCC 中的 _FORTIFY_SOURCE 优化路径提供了一个有代表性的例子。当用户开启 _FORTIFY_SOURCE 时，glibc 头文件会把 strcat 等危险接口在预处理阶段重写成带有 size 参数的 __strcat_chk，使运行时具备对目的缓冲区上限的检查能力。GCC 的 strlen pass 进一步识别出已知前缀长度的目的指针，将 __strcat_chk 改写为在性能上更优的 __stpcpy_chk，并把目的指针前移 strlen(dst) 字节。优化的关键不变量是：当目的指针前移之后，传递给 __stpcpy_chk 的 size 参数必须由原始 objsize 减去 strlen(dst)，否则该调用点的运行时上限将被静默放宽 strlen(dst) 字节。这一不变量在该路径上长期没有被维护：strcat 与 strcat_chk 在策略层面是一组用以保证安全的入口，stpcpy_chk 是性能层面的等价替换，而中间的 size 修正缺失使得整条 strcat → strcat_chk → stpcpy_chk 的链条在二进制上仍然出现，但其中保护用户的那一环失去了语义。该缺陷自 GCC 4.7 起便已存在，直到近期才被 GCC 上游确认并合入主分支，预计随 GCC 16.1 发布，开发团队同时计划向 GCC 13、14、15 等仍在维护的分支回送补丁。</w:t>
            </w:r>
          </w:p>
          <w:p w14:paraId="38BA896A">
            <w:pPr>
              <w:spacing w:line="360" w:lineRule="auto"/>
              <w:ind w:left="0" w:leftChars="0" w:right="0" w:rightChars="0" w:firstLineChars="200"/>
              <w:rPr>
                <w:kern w:val="0"/>
                <w:sz w:val="24"/>
              </w:rPr>
            </w:pPr>
            <w:r>
              <w:rPr>
                <w:kern w:val="0"/>
                <w:sz w:val="24"/>
              </w:rPr>
              <w:t>这一例的可观察现象与传统编译器测试的预期模型不一致。其引入的不是错误的代码生成，也不是崩溃，而是把 FORTIFY 的运行时上限从严格匹配 dst 剩余空间，悄悄放宽到了可能溢出 strlen(dst) 字节的区间。诸如 Csmith、YARPGen 等以"差分输出"或"编译器崩溃"为目标的工具，无法将该状态判定为缺陷；近年来兴起的覆盖率引导模糊测试虽然能够走到对应的优化代码，但缺少能够判断该路径是否仍然满足安全契约的预言机。</w:t>
            </w:r>
          </w:p>
          <w:p w14:paraId="7A427A52">
            <w:pPr>
              <w:spacing w:line="360" w:lineRule="auto"/>
              <w:ind w:left="0" w:leftChars="0" w:right="0" w:rightChars="0" w:firstLineChars="200"/>
              <w:rPr>
                <w:kern w:val="0"/>
                <w:sz w:val="24"/>
              </w:rPr>
            </w:pPr>
            <w:r>
              <w:rPr>
                <w:kern w:val="0"/>
                <w:sz w:val="24"/>
              </w:rPr>
              <w:t>由此可以归纳出本课题的现实动机：编译器自身是绝大多数软件防御机制的承载体，其上的 silent failure 直接作用于整个软件生态的运行时安全；现有模糊测试工作几乎不针对此类问题，大量已确认的此类缺陷历史上依赖个人审计偶然发现。一个能够把防御机制的安全契约系统化为可测断言、并主动引导编译器走到相关代码路径的方法，不仅可以覆盖既有 bug 家族的同类变种，也有望提前暴露后续优化中重新引入的同类失效。本研究即以此为出发点，结合大模型的代码理解能力与覆盖率反馈，探索一条针对编译器防御机制的模糊测试新路径。</w:t>
            </w:r>
          </w:p>
          <w:p w14:paraId="766BBF6F">
            <w:pPr>
              <w:spacing w:line="360" w:lineRule="auto"/>
              <w:jc w:val="center"/>
              <w:rPr>
                <w:rFonts w:ascii="宋体" w:hAnsi="宋体" w:eastAsia="宋体"/>
                <w:i/>
                <w:color w:val="808080"/>
                <w:sz w:val="22"/>
              </w:rPr>
            </w:pPr>
            <w:r>
              <w:rPr>
                <w:rFonts w:ascii="宋体" w:hAnsi="宋体" w:eastAsia="宋体"/>
                <w:i/>
                <w:color w:val="808080"/>
                <w:sz w:val="22"/>
              </w:rPr>
              <w:t>图 1 待补：FORTIFY_SOURCE 优化路径示意（见 assets/fortify-path.prompt.md）</w:t>
            </w:r>
          </w:p>
          <w:p w14:paraId="277E99E6">
            <w:pPr>
              <w:spacing w:line="360" w:lineRule="auto"/>
              <w:rPr>
                <w:sz w:val="24"/>
              </w:rPr>
            </w:pPr>
          </w:p>
          <w:p w14:paraId="2379A52A">
            <w:pPr>
              <w:widowControl/>
              <w:jc w:val="left"/>
              <w:rPr>
                <w:b/>
                <w:bCs/>
                <w:kern w:val="0"/>
                <w:sz w:val="24"/>
              </w:rPr>
            </w:pPr>
            <w:r>
              <w:rPr>
                <w:b/>
                <w:bCs/>
                <w:kern w:val="0"/>
                <w:sz w:val="24"/>
              </w:rPr>
              <w:t>二、研究现状</w:t>
            </w:r>
          </w:p>
          <w:p w14:paraId="48893B9A">
            <w:pPr>
              <w:spacing w:line="360" w:lineRule="auto"/>
              <w:ind w:left="0" w:leftChars="0" w:right="0" w:rightChars="0" w:firstLineChars="200"/>
              <w:rPr>
                <w:kern w:val="0"/>
                <w:sz w:val="24"/>
              </w:rPr>
            </w:pPr>
            <w:r>
              <w:rPr>
                <w:kern w:val="0"/>
                <w:sz w:val="24"/>
              </w:rPr>
              <w:t>围绕本课题的相关研究分布在三条主线上：以编译器自身为目标的传统模糊测试，将大模型引入测试输入生成的新一代模糊测试，以及对编译器防御机制及其失效形式的人工审计与修补。这三条主线分别提供了输入生成方法、生成质量提升手段与缺陷形态的领域知识，但目前尚未有工作把它们组合起来用于自动化检测编译器中的防御机制 silent failure。</w:t>
            </w:r>
          </w:p>
          <w:p w14:paraId="059E86D8">
            <w:pPr>
              <w:spacing w:line="360" w:lineRule="auto"/>
              <w:rPr>
                <w:b/>
                <w:bCs/>
                <w:kern w:val="0"/>
                <w:sz w:val="24"/>
              </w:rPr>
            </w:pPr>
            <w:r>
              <w:rPr>
                <w:b/>
                <w:bCs/>
                <w:kern w:val="0"/>
                <w:sz w:val="24"/>
              </w:rPr>
              <w:t>2.1 编译器模糊测试</w:t>
            </w:r>
          </w:p>
          <w:p w14:paraId="7714CAC5">
            <w:pPr>
              <w:spacing w:line="360" w:lineRule="auto"/>
              <w:ind w:left="0" w:leftChars="0" w:right="0" w:rightChars="0" w:firstLineChars="200"/>
              <w:rPr>
                <w:kern w:val="0"/>
                <w:sz w:val="24"/>
              </w:rPr>
            </w:pPr>
            <w:r>
              <w:rPr>
                <w:kern w:val="0"/>
                <w:sz w:val="24"/>
              </w:rPr>
              <w:t>针对编译器自身的模糊测试可追溯到 Csmith[1] 等随机程序生成器。Csmith 通过精心设计的概率文法生成无未定义行为的 C 程序，再用差分编译的方式比较多个编译器对同一输入的目标码或运行结果，从而暴露错误代码生成。后续的 YARPGen[2] 进一步为差分测试设计了"避免未定义行为"的更激进策略，并把测试目标从 ICE 扩展到 mis-compile。EMI 系列工作借助等价变换增强测试输入的多样性。这些工作奠定了"程序生成器 + 差分预言机"的范式，但其检测信号都是编译器崩溃或不同编译器之间的输出差异，难以察觉那些"代码可以正确编译并运行、但运行时安全契约已经被破坏"的 silent failure。覆盖率引导模糊测试以 AFL[3]、libFuzzer[4] 为代表，被广泛迁移到编译器的解析、优化等组件，可有效推动测试输入走入复杂代码路径，但仍以崩溃 / sanitizer 报错作为主要信号，对防御机制相关的语义级缺陷敏感度不足。</w:t>
            </w:r>
          </w:p>
          <w:p w14:paraId="3FEFE52A">
            <w:pPr>
              <w:spacing w:line="360" w:lineRule="auto"/>
              <w:rPr>
                <w:b/>
                <w:bCs/>
                <w:kern w:val="0"/>
                <w:sz w:val="24"/>
              </w:rPr>
            </w:pPr>
            <w:r>
              <w:rPr>
                <w:b/>
                <w:bCs/>
                <w:kern w:val="0"/>
                <w:sz w:val="24"/>
              </w:rPr>
              <w:t>2.2 LLM 驱动的模糊测试</w:t>
            </w:r>
          </w:p>
          <w:p w14:paraId="2457D140">
            <w:pPr>
              <w:spacing w:line="360" w:lineRule="auto"/>
              <w:ind w:left="0" w:leftChars="0" w:right="0" w:rightChars="0" w:firstLineChars="200"/>
              <w:rPr>
                <w:kern w:val="0"/>
                <w:sz w:val="24"/>
              </w:rPr>
            </w:pPr>
            <w:r>
              <w:rPr>
                <w:kern w:val="0"/>
                <w:sz w:val="24"/>
              </w:rPr>
              <w:t>近年来大模型在代码理解与生成上的能力，被一系列工作用于改进模糊测试的输入生成质量。以白盒为代表的 WhiteFox[5] 让大模型从源代码中提炼触发深层逻辑的输入模式，再据此合成测试用例，相比纯随机生成显著提升了对深层路径的覆盖。HLPFuzz 进一步把大模型与覆盖率反馈结合：选取覆盖率较低、后继较多的基本块作为目标，用程序基本块为粒度构造约束求解任务，并通过渐进式上下文构建解决了大模型在长源码上的失忆问题。这一类工作展示了大模型在 fuzz 领域作为变异引擎的潜力，但其目标设定主要是常规可达性，即"让程序走到某个未覆盖的位置"，并未把目标路径所承担的安全契约纳入判定。</w:t>
            </w:r>
          </w:p>
          <w:p w14:paraId="64FACFCA">
            <w:pPr>
              <w:spacing w:line="360" w:lineRule="auto"/>
              <w:rPr>
                <w:b/>
                <w:bCs/>
                <w:kern w:val="0"/>
                <w:sz w:val="24"/>
              </w:rPr>
            </w:pPr>
            <w:r>
              <w:rPr>
                <w:b/>
                <w:bCs/>
                <w:kern w:val="0"/>
                <w:sz w:val="24"/>
              </w:rPr>
              <w:t>2.3 编译器自身防御机制与 silent failure</w:t>
            </w:r>
          </w:p>
          <w:p w14:paraId="775A743C">
            <w:pPr>
              <w:spacing w:line="360" w:lineRule="auto"/>
              <w:ind w:left="0" w:leftChars="0" w:right="0" w:rightChars="0" w:firstLineChars="200"/>
              <w:rPr>
                <w:kern w:val="0"/>
                <w:sz w:val="24"/>
              </w:rPr>
            </w:pPr>
            <w:r>
              <w:rPr>
                <w:kern w:val="0"/>
                <w:sz w:val="24"/>
              </w:rPr>
              <w:t>编译器侧的主流防御机制包括栈金丝雀（stack canary）、_FORTIFY_SOURCE / 对象大小检查、Intel CET 中的 IBT 与 SHSTK、AArch64 的 BTI 与 PAC、shadow call stack 以及 KCFI 等。它们的共性是：编译器侧需在前端识别可疑模式、在中端维护与代码变换相容的不变量，并在后端把约定的指令或保护元数据写入二进制；libc、动态链接器与内核则负责其中需要运行时配合的部分。对每一种机制，"是否生效"并不仅由开关 flag 决定，而是由若干条跨编译期/运行期的不变量共同保证。</w:t>
            </w:r>
          </w:p>
          <w:p w14:paraId="0FDC6F6B">
            <w:pPr>
              <w:spacing w:line="360" w:lineRule="auto"/>
              <w:ind w:left="0" w:leftChars="0" w:right="0" w:rightChars="0" w:firstLineChars="200"/>
              <w:rPr>
                <w:kern w:val="0"/>
                <w:sz w:val="24"/>
              </w:rPr>
            </w:pPr>
            <w:r>
              <w:rPr>
                <w:kern w:val="0"/>
                <w:sz w:val="24"/>
              </w:rPr>
              <w:t>围绕这些不变量出现过若干历史 silent failure。GCC 在 2018 年通过 PR-87672 修复了 strlen pass 中 strcat 优化路径的 size 参数遗漏问题；2020 年通过 PR-96191 修复了 AArch64 / ARM 上 SSP 后端模板未清除 canary 残留寄存器的问题；同年 PR-96350 引入 ix86_endbr_immediate_operand 谓词，禁止任意 64 位常量编码中出现 ENDBR 字节模式，以避免被构造为伪 landing pad。此类修复多由维护者人工 review 或长期使用中偶发触发，时间上往往滞后于缺陷的引入：本研究背景中的 _FORTIFY_SOURCE 优化路径自 GCC 4.7 起即处于失效状态，跨越十余年才被发现；这条路径上的修复也提示，PR-87672 当年只覆盖了同一文件中的另一个对称分支。这一现象反映了人工审计在覆盖度与持续性上的天然限制。</w:t>
            </w:r>
          </w:p>
          <w:p w14:paraId="1F6796AF">
            <w:pPr>
              <w:spacing w:line="360" w:lineRule="auto"/>
              <w:ind w:left="0" w:leftChars="0" w:right="0" w:rightChars="0" w:firstLineChars="200"/>
              <w:rPr>
                <w:kern w:val="0"/>
                <w:sz w:val="24"/>
              </w:rPr>
            </w:pPr>
            <w:r>
              <w:rPr>
                <w:kern w:val="0"/>
                <w:sz w:val="24"/>
              </w:rPr>
              <w:t>针对编译器防御机制的自动化测试工作整体上仍较稀少。一类工作面向特定机制做差分测试，例如对 IBT landing pad 的存在性进行扫描；另一类工作把防御机制视为运行时附加项，从二进制层面做事后审计，但难以反向定位到引入缺陷的具体编译器代码路径。在 LLM 与覆盖率结合的方向上，目前公开工作尚未把"防御机制源代码层面的覆盖率"作为引导信号，也没有把机制不变量系统地翻译为可由 fuzz 框架使用的预言机。本课题的工作正处于这一空白：一方面借鉴 LLM fuzzer 的输入生成范式，另一方面以编译器内部防御机制相关代码的覆盖率为推进信号，并以工程化的不变量预言机判定测试结果。</w:t>
            </w:r>
          </w:p>
          <w:p w14:paraId="7C22228A">
            <w:pPr>
              <w:spacing w:line="360" w:lineRule="auto"/>
              <w:rPr>
                <w:sz w:val="24"/>
              </w:rPr>
            </w:pPr>
          </w:p>
          <w:p w14:paraId="2A2D2D67">
            <w:pPr>
              <w:widowControl/>
              <w:jc w:val="left"/>
              <w:rPr>
                <w:b/>
                <w:bCs/>
                <w:kern w:val="0"/>
                <w:sz w:val="24"/>
              </w:rPr>
            </w:pPr>
            <w:r>
              <w:rPr>
                <w:b/>
                <w:bCs/>
                <w:kern w:val="0"/>
                <w:sz w:val="24"/>
              </w:rPr>
              <w:t>三、研究目标及研究内容</w:t>
            </w:r>
          </w:p>
          <w:p w14:paraId="1AF8F94B">
            <w:pPr>
              <w:spacing w:line="360" w:lineRule="auto"/>
              <w:rPr>
                <w:b/>
                <w:bCs/>
                <w:kern w:val="0"/>
                <w:sz w:val="24"/>
              </w:rPr>
            </w:pPr>
            <w:r>
              <w:rPr>
                <w:b/>
                <w:bCs/>
                <w:kern w:val="0"/>
                <w:sz w:val="24"/>
              </w:rPr>
              <w:t>3.1 研究目标</w:t>
            </w:r>
          </w:p>
          <w:p w14:paraId="4163A94F">
            <w:pPr>
              <w:spacing w:line="360" w:lineRule="auto"/>
              <w:ind w:left="0" w:leftChars="0" w:right="0" w:rightChars="0" w:firstLineChars="200"/>
              <w:rPr>
                <w:kern w:val="0"/>
                <w:sz w:val="24"/>
              </w:rPr>
            </w:pPr>
            <w:r>
              <w:rPr>
                <w:kern w:val="0"/>
                <w:sz w:val="24"/>
              </w:rPr>
              <w:t>本课题的研究目标是构建一种面向编译器自身防御机制的模糊测试方法，并在主流开源编译器上完成端到端验证。区别于以崩溃或差分输出为信号的传统编译器 fuzzer，本方法将"防御机制是否仍然满足其安全契约"作为核心判据，自动化地暴露那些编译器仍能正常生成代码、但运行时保护已被静默削弱的失效形态。具体目标包括三个方面：第一，形成一套覆盖主流防御机制的不变量集合，使每一条不变量都具备可由二进制或运行行为判定的证据形式；第二，构建一个可在 GCC 等开源编译器上跨架构运行的 fuzzer 原型，以编译器中防御机制相关代码的源代码覆盖率为推进信号，使用大模型完成种子的精细变异；第三，通过该原型在 GCC 上发现现存的、可被上游确认的真实缺陷，验证方法的有效性。</w:t>
            </w:r>
          </w:p>
          <w:p w14:paraId="0868EFE9">
            <w:pPr>
              <w:spacing w:line="360" w:lineRule="auto"/>
              <w:rPr>
                <w:b/>
                <w:bCs/>
                <w:kern w:val="0"/>
                <w:sz w:val="24"/>
              </w:rPr>
            </w:pPr>
            <w:r>
              <w:rPr>
                <w:b/>
                <w:bCs/>
                <w:kern w:val="0"/>
                <w:sz w:val="24"/>
              </w:rPr>
              <w:t>3.2 研究内容</w:t>
            </w:r>
          </w:p>
          <w:p w14:paraId="266ED9BC">
            <w:pPr>
              <w:spacing w:line="360" w:lineRule="auto"/>
              <w:ind w:left="0" w:leftChars="0" w:right="0" w:rightChars="0" w:firstLineChars="200"/>
              <w:rPr>
                <w:kern w:val="0"/>
                <w:sz w:val="24"/>
              </w:rPr>
            </w:pPr>
            <w:r>
              <w:rPr>
                <w:kern w:val="0"/>
                <w:sz w:val="24"/>
              </w:rPr>
              <w:t>围绕上述目标，本课题分为三部分研究内容。三部分之间存在明显依赖：不变量的形式化是其后预言机与种子目标选择的事实基础；预言机为 fuzz 主循环提供唯一的安全判定接口；以覆盖率为驱动的种子生成机制则负责把 fuzzing 推进到能够触发不变量的代码路径上。</w:t>
            </w:r>
          </w:p>
          <w:p w14:paraId="09F1E44A">
            <w:pPr>
              <w:spacing w:line="360" w:lineRule="auto"/>
              <w:ind w:left="0" w:leftChars="0" w:right="0" w:rightChars="0" w:firstLineChars="200"/>
              <w:rPr>
                <w:kern w:val="0"/>
                <w:sz w:val="24"/>
              </w:rPr>
            </w:pPr>
            <w:r>
              <w:rPr>
                <w:kern w:val="0"/>
                <w:sz w:val="24"/>
              </w:rPr>
              <w:t>(1) 防御机制不变量的调研与形式化。针对 stack canary、_FORTIFY_SOURCE、IBT 等机制，从三类来源系统提炼其安全不变量：一是编译器源码中的注释与断言，例如 AArch64 后端关于 canary 槽位置关系的安全注释、ix86 关于 ENDBR 立即数禁止的预测器；二是 GCC、glibc 与 ABI 文档对开关 flag、_chk 接口、CET ELF property 等的规定；三是已确认的历史 bug 与对应 patch，从修补点反推被违反的不变量。每条不变量按统一字段记录其陈述、目标编译器版本、证据片段、信息源与版本敏感性，便于后续机械检索与跨版本回归。</w:t>
            </w:r>
          </w:p>
          <w:p w14:paraId="6A75D441">
            <w:pPr>
              <w:spacing w:line="360" w:lineRule="auto"/>
              <w:ind w:left="0" w:leftChars="0" w:right="0" w:rightChars="0" w:firstLineChars="200"/>
              <w:rPr>
                <w:kern w:val="0"/>
                <w:sz w:val="24"/>
              </w:rPr>
            </w:pPr>
            <w:r>
              <w:rPr>
                <w:kern w:val="0"/>
                <w:sz w:val="24"/>
              </w:rPr>
              <w:t>(2) 不变量到预言机的工程化落地。把(1) 中的不变量翻译为可在二进制层面或运行行为上判定的预言机检查器。整体框架按检查阶段划分为启用性、静态、动态三类：启用性检查负责在测试用例上确认机制确实开启，避免因 flag 失误导致的误报；静态检查通过 ELF 符号、指令流模式、属性 note 等做断言式判定；动态检查通过受控执行（如对 buffer 填充长度做二分搜索）观察运行时行为。每个机制配置一个聚合器，按 BLOCKING + OR 策略综合多个检查器的判定结果。所有检查器都标注极性敏感性，配合负控（关闭机制的 flag profile）保证翻转语义被一致处理；缺乏先决条件时返回"不可断言"以避免误报。</w:t>
            </w:r>
          </w:p>
          <w:p w14:paraId="6F8D68A5">
            <w:pPr>
              <w:spacing w:line="360" w:lineRule="auto"/>
              <w:ind w:left="0" w:leftChars="0" w:right="0" w:rightChars="0" w:firstLineChars="200"/>
              <w:rPr>
                <w:kern w:val="0"/>
                <w:sz w:val="24"/>
              </w:rPr>
            </w:pPr>
            <w:r>
              <w:rPr>
                <w:kern w:val="0"/>
                <w:sz w:val="24"/>
              </w:rPr>
              <w:t>(3) 大模型与覆盖率联合驱动的种子生成。以 GCC 中防御机制相关代码的源代码覆盖率为目标信号，结合控制流图选取后继最多、当前未覆盖的基本块作为约束求解目标。每一轮约束求解由三个关键环节组成：构造目标上下文（含目标函数源码、目标基本块标注、覆盖该基本块前驱的种子作为示例）；调用大模型生成新的 C 种子；编译产物经过覆盖率与预言机检查后，根据三方决策表决定是否进入语料库。当种子未命中目标时，借助轻量级调用追踪定位与基线种子的发散点，把发散函数的源码作为额外上下文反馈给大模型，进入下一轮变异。该过程把"覆盖率推进"与"安全契约判定"统一在同一条主循环中，使大模型的生成能力始终被防御机制相关的代码路径所牵引。</w:t>
            </w:r>
          </w:p>
          <w:p w14:paraId="283E6923">
            <w:pPr>
              <w:spacing w:line="360" w:lineRule="auto"/>
              <w:rPr>
                <w:sz w:val="24"/>
              </w:rPr>
            </w:pPr>
          </w:p>
          <w:p w14:paraId="165252ED">
            <w:pPr>
              <w:widowControl/>
              <w:jc w:val="left"/>
              <w:rPr>
                <w:b/>
                <w:bCs/>
                <w:kern w:val="0"/>
                <w:sz w:val="24"/>
              </w:rPr>
            </w:pPr>
            <w:r>
              <w:rPr>
                <w:b/>
                <w:bCs/>
                <w:kern w:val="0"/>
                <w:sz w:val="24"/>
              </w:rPr>
              <w:t>四、技术路线</w:t>
            </w:r>
          </w:p>
          <w:p w14:paraId="2256F3A7">
            <w:pPr>
              <w:spacing w:line="360" w:lineRule="auto"/>
              <w:ind w:left="0" w:leftChars="0" w:right="0" w:rightChars="0" w:firstLineChars="200"/>
              <w:rPr>
                <w:kern w:val="0"/>
                <w:sz w:val="24"/>
              </w:rPr>
            </w:pPr>
            <w:r>
              <w:rPr>
                <w:kern w:val="0"/>
                <w:sz w:val="24"/>
              </w:rPr>
              <w:t>本课题的技术路线由总体架构、不变量预言机框架、大模型约束求解主循环、跨架构与编译选项调度，以及初步实验结果五部分组成。前四部分对应研究内容的工程化实现，第五部分给出在 GCC 上获得的初步证据。</w:t>
            </w:r>
          </w:p>
          <w:p w14:paraId="390AEC25">
            <w:pPr>
              <w:spacing w:line="360" w:lineRule="auto"/>
              <w:rPr>
                <w:b/>
                <w:bCs/>
                <w:kern w:val="0"/>
                <w:sz w:val="24"/>
              </w:rPr>
            </w:pPr>
            <w:r>
              <w:rPr>
                <w:b/>
                <w:bCs/>
                <w:kern w:val="0"/>
                <w:sz w:val="24"/>
              </w:rPr>
              <w:t>1. 总体架构</w:t>
            </w:r>
          </w:p>
          <w:p w14:paraId="099B3477">
            <w:pPr>
              <w:spacing w:line="360" w:lineRule="auto"/>
              <w:ind w:left="0" w:leftChars="0" w:right="0" w:rightChars="0" w:firstLineChars="200"/>
              <w:rPr>
                <w:kern w:val="0"/>
                <w:sz w:val="24"/>
              </w:rPr>
            </w:pPr>
            <w:r>
              <w:rPr>
                <w:kern w:val="0"/>
                <w:sz w:val="24"/>
              </w:rPr>
              <w:t>整个系统以一条 fuzz 主循环为骨架，外围由若干子系统提供能力。编译器子系统封装一个被预先插桩的 GCC 构建（开启 gcov 采集），负责把每颗种子 C 代码编译为目标二进制并在编译过程中写入 .gcda 覆盖率数据；覆盖率子系统读取 .gcda 与 GCC 自身的控制流图导出，得到"行级覆盖 → 种子 ID"的映射；预言机子系统按防御机制聚合多个不变量检查器，对每颗成功编译的种子做一次安全契约判定；提示词子系统按"基础提示词 + 编译器内部知识"两层装配，由大模型客户端提交给远端模型；语料库子系统持久化每颗满足质量阈值的种子并维护其家系信息。详细组件依赖与数据流见图 1。</w:t>
            </w:r>
          </w:p>
          <w:p w14:paraId="0D93D957">
            <w:pPr>
              <w:spacing w:line="360" w:lineRule="auto"/>
              <w:rPr>
                <w:b/>
                <w:bCs/>
                <w:kern w:val="0"/>
                <w:sz w:val="24"/>
              </w:rPr>
            </w:pPr>
            <w:r>
              <w:rPr>
                <w:b/>
                <w:bCs/>
                <w:kern w:val="0"/>
                <w:sz w:val="24"/>
              </w:rPr>
              <w:t>2. 防御机制不变量预言机框架</w:t>
            </w:r>
          </w:p>
          <w:p w14:paraId="6FDA7E65">
            <w:pPr>
              <w:spacing w:line="360" w:lineRule="auto"/>
              <w:ind w:left="0" w:leftChars="0" w:right="0" w:rightChars="0" w:firstLineChars="200"/>
              <w:rPr>
                <w:kern w:val="0"/>
                <w:sz w:val="24"/>
              </w:rPr>
            </w:pPr>
            <w:r>
              <w:rPr>
                <w:kern w:val="0"/>
                <w:sz w:val="24"/>
              </w:rPr>
              <w:t>预言机框架是研究内容(2) 的工程化落地。每个机制对应一个聚合器，内部按启用性、静态、动态三阶段调度若干检查器；每个检查器返回 Pass / Fail / NotApplicable / Error 四态结果，其中 NotApplicable 用于抑制条件不满足时的误报，Error 仅记录基础设施故障。聚合策略采用 BLOCKING + OR：启用性阶段任一检查 Fail 即视为机制未启用，提前返回；静态与动态阶段任一 Fail 都汇聚为机制级别的违例，配合证据字段输出可读的违例描述。极性模型用于区分正控（机制应当生效）与负控（已显式关闭机制）下的判定语义：默认检查器对极性不敏感，仅当显式标注 polarity_sensitive 时按表翻转 Pass / Fail。预言机内部维护一份按调度周期共享的缓存，保证如二分搜索、动态符号查询等开销较大的过程在多个检查器之间复用。整体调度路径见图 2。</w:t>
            </w:r>
          </w:p>
          <w:p w14:paraId="1D0E65E6">
            <w:pPr>
              <w:spacing w:line="360" w:lineRule="auto"/>
              <w:rPr>
                <w:b/>
                <w:bCs/>
                <w:kern w:val="0"/>
                <w:sz w:val="24"/>
              </w:rPr>
            </w:pPr>
            <w:r>
              <w:rPr>
                <w:b/>
                <w:bCs/>
                <w:kern w:val="0"/>
                <w:sz w:val="24"/>
              </w:rPr>
              <w:t>3. 大模型约束求解主循环</w:t>
            </w:r>
          </w:p>
          <w:p w14:paraId="2C175161">
            <w:pPr>
              <w:spacing w:line="360" w:lineRule="auto"/>
              <w:ind w:left="0" w:leftChars="0" w:right="0" w:rightChars="0" w:firstLineChars="200"/>
              <w:rPr>
                <w:kern w:val="0"/>
                <w:sz w:val="24"/>
              </w:rPr>
            </w:pPr>
            <w:r>
              <w:rPr>
                <w:kern w:val="0"/>
                <w:sz w:val="24"/>
              </w:rPr>
              <w:t>主循环的输入是当前覆盖率映射与编译器源码控制流图。每一轮先按"未覆盖且后继分支数最大"的策略选取目标基本块，进而构造目标上下文：目标函数的源码片段、对每一行的覆盖标注、目标基本块的位置，以及覆盖目标前驱基本块的若干种子作为示例。提示词组装层把上述上下文拼接到基础约束求解提示词与机制契约要求之后，提交给大模型生成新的 C 种子。新的种子先经过编译，编译失败时把错误信息与上一版种子源码作为反馈进入下一轮；编译成功后由覆盖率分析器判断是否命中目标，并由预言机给出安全判定。每一颗种子的去留由覆盖增量、是否命中目标、是否触发 bug 三方信号共同决定，对应主循环中的三方决策表。当种子未命中目标但产生新的覆盖时，调用轻量级动态追踪定位它与基线种子在调用序列上的首个发散点，把发散函数的源码作为额外上下文构造一次"错题解析"提示词，再次请求模型完成精细变异。当目标基本块全部覆盖时，主循环可选地切换到随机变异阶段，仅以预言机为持久化条件继续探索。整体流程见图 3。</w:t>
            </w:r>
          </w:p>
          <w:p w14:paraId="5256CC09">
            <w:pPr>
              <w:spacing w:line="360" w:lineRule="auto"/>
              <w:rPr>
                <w:b/>
                <w:bCs/>
                <w:kern w:val="0"/>
                <w:sz w:val="24"/>
              </w:rPr>
            </w:pPr>
            <w:r>
              <w:rPr>
                <w:b/>
                <w:bCs/>
                <w:kern w:val="0"/>
                <w:sz w:val="24"/>
              </w:rPr>
              <w:t>4. 跨架构与编译选项调度</w:t>
            </w:r>
          </w:p>
          <w:p w14:paraId="76B3E8DC">
            <w:pPr>
              <w:spacing w:line="360" w:lineRule="auto"/>
              <w:ind w:left="0" w:leftChars="0" w:right="0" w:rightChars="0" w:firstLineChars="200"/>
              <w:rPr>
                <w:kern w:val="0"/>
                <w:sz w:val="24"/>
              </w:rPr>
            </w:pPr>
            <w:r>
              <w:rPr>
                <w:kern w:val="0"/>
                <w:sz w:val="24"/>
              </w:rPr>
              <w:t>为了让一套 fuzzer 同时验证多种 ISA 上的防御机制，编译命令被参数化为 ISA、架构相关 flag 与策略相关 flag profile。不同 ISA 共享同一份种子模板，目标二进制通过 QEMU 用户态执行。flag profile 既覆盖正控配置（如 -fstack-protector-strong），也覆盖负控配置（如 -fno-stack-protector），使预言机能够按极性模型对同一颗种子做对照判断；负控产生的种子不会进入主语料库，仅用于对正控结果做交叉验证。BinaryInspector 抽象屏蔽 ISA 差异：通过 Go 标准库读取 ELF 符号表与 .note 段，按需要为不同检查器提供导入函数列表、ENDBR 字节模式扫描、栈布局采样等能力。</w:t>
            </w:r>
          </w:p>
          <w:p w14:paraId="56933F7B">
            <w:pPr>
              <w:spacing w:line="360" w:lineRule="auto"/>
              <w:rPr>
                <w:b/>
                <w:bCs/>
                <w:kern w:val="0"/>
                <w:sz w:val="24"/>
              </w:rPr>
            </w:pPr>
            <w:r>
              <w:rPr>
                <w:b/>
                <w:bCs/>
                <w:kern w:val="0"/>
                <w:sz w:val="24"/>
              </w:rPr>
              <w:t>5. 初步实验</w:t>
            </w:r>
          </w:p>
          <w:p w14:paraId="78E87CC5">
            <w:pPr>
              <w:spacing w:line="360" w:lineRule="auto"/>
              <w:ind w:left="0" w:leftChars="0" w:right="0" w:rightChars="0" w:firstLineChars="200"/>
              <w:rPr>
                <w:kern w:val="0"/>
                <w:sz w:val="24"/>
              </w:rPr>
            </w:pPr>
            <w:r>
              <w:rPr>
                <w:kern w:val="0"/>
                <w:sz w:val="24"/>
              </w:rPr>
              <w:t>在 GCC 多个版本（含若干稳定版与一个本地构建的 master 快照）上，对 stack canary、_FORTIFY_SOURCE 与 IBT 三个机制做了初步实验。实验过程中共发现 3 例 silent failure：</w:t>
            </w:r>
          </w:p>
          <w:p w14:paraId="56D3C644">
            <w:pPr>
              <w:spacing w:line="360" w:lineRule="auto"/>
              <w:ind w:left="0" w:leftChars="0" w:right="0" w:rightChars="0" w:firstLineChars="200"/>
              <w:rPr>
                <w:kern w:val="0"/>
                <w:sz w:val="24"/>
              </w:rPr>
            </w:pPr>
            <w:r>
              <w:rPr>
                <w:kern w:val="0"/>
                <w:sz w:val="24"/>
              </w:rPr>
              <w:t>第一例属于 stack canary 类。GCC 通用栈保护后端 fallback 路径在若干 ISA（MIPS / LoongArch / Xtensa / CSKY 等）上未提供专用模板，导致 epilogue 的金丝雂寄存器在函数返回时未被显式清零，使进程级别 __stack_chk_guard 的值在调用者的可见寄存器中残留。该问题与 2020 年针对 AArch64/ARM 的 PR-96191 同源，但其修复未覆盖到其他后端。该缺陷已上报上游并被确认、合入修复。</w:t>
            </w:r>
          </w:p>
          <w:p w14:paraId="450DDC01">
            <w:pPr>
              <w:spacing w:line="360" w:lineRule="auto"/>
              <w:ind w:left="0" w:leftChars="0" w:right="0" w:rightChars="0" w:firstLineChars="200"/>
              <w:rPr>
                <w:kern w:val="0"/>
                <w:sz w:val="24"/>
              </w:rPr>
            </w:pPr>
            <w:r>
              <w:rPr>
                <w:kern w:val="0"/>
                <w:sz w:val="24"/>
              </w:rPr>
              <w:t>第二例属于 _FORTIFY_SOURCE 类，即研究背景中介绍的 strcat → __strcat_chk → __stpcpy_chk 优化路径。strlen pass 的 get_string_length 把目的指针前移 strlen(dst) 字节并将 fndecl 改写为 __stpcpy_chk，但漏掉了对 size 参数的相应减法，导致 FORTIFY 的运行时上限被静默放宽。该缺陷已上报上游并被确认、合入修复，并同步规划向若干维护分支回送补丁。</w:t>
            </w:r>
          </w:p>
          <w:p w14:paraId="057B43E4">
            <w:pPr>
              <w:spacing w:line="360" w:lineRule="auto"/>
              <w:ind w:left="0" w:leftChars="0" w:right="0" w:rightChars="0" w:firstLineChars="200"/>
              <w:rPr>
                <w:kern w:val="0"/>
                <w:sz w:val="24"/>
              </w:rPr>
            </w:pPr>
            <w:r>
              <w:rPr>
                <w:kern w:val="0"/>
                <w:sz w:val="24"/>
              </w:rPr>
              <w:t>第三例属于 IBT 类。x86 后端的 ix86_endbr_immediate_operand 谓词用一段位移扫描循环检查立即数中是否存在 ENDBR 字节模式，但在高位非零的情况下逻辑提前退出，使包含 ENDBR 模式的高位非零立即数被接受为合法 movabsq 立即数，从而在 .text 中嵌入了未受控的伪 landing pad。该缺陷已上报上游，目前等待回复。</w:t>
            </w:r>
          </w:p>
          <w:p w14:paraId="370E7519">
            <w:pPr>
              <w:spacing w:line="360" w:lineRule="auto"/>
              <w:ind w:left="0" w:leftChars="0" w:right="0" w:rightChars="0" w:firstLineChars="200"/>
              <w:rPr>
                <w:kern w:val="0"/>
                <w:sz w:val="24"/>
              </w:rPr>
            </w:pPr>
            <w:r>
              <w:rPr>
                <w:kern w:val="0"/>
                <w:sz w:val="24"/>
              </w:rPr>
              <w:t>上述三例覆盖了静态符号、动态行为与指令流字节模式三类不变量形态，证明本课题提出的方法在不同机制上具有可迁移性，初步达成了"自动化暴露真实 silent failure"的研究目标。</w:t>
            </w:r>
          </w:p>
          <w:p w14:paraId="3A5D989D">
            <w:pPr>
              <w:spacing w:line="360" w:lineRule="auto"/>
              <w:jc w:val="center"/>
              <w:rPr>
                <w:rFonts w:ascii="宋体" w:hAnsi="宋体" w:eastAsia="宋体"/>
                <w:i/>
                <w:color w:val="808080"/>
                <w:sz w:val="22"/>
              </w:rPr>
            </w:pPr>
            <w:r>
              <w:rPr>
                <w:rFonts w:ascii="宋体" w:hAnsi="宋体" w:eastAsia="宋体"/>
                <w:i/>
                <w:color w:val="808080"/>
                <w:sz w:val="22"/>
              </w:rPr>
              <w:t>图 1 待补：DeFuzz 总体架构（mermaid 源码见 assets/architecture.mmd）</w:t>
            </w:r>
          </w:p>
          <w:p w14:paraId="6DEA99CA">
            <w:pPr>
              <w:spacing w:line="360" w:lineRule="auto"/>
              <w:jc w:val="center"/>
              <w:rPr>
                <w:rFonts w:ascii="宋体" w:hAnsi="宋体" w:eastAsia="宋体"/>
                <w:i/>
                <w:color w:val="808080"/>
                <w:sz w:val="22"/>
              </w:rPr>
            </w:pPr>
            <w:r>
              <w:rPr>
                <w:rFonts w:ascii="宋体" w:hAnsi="宋体" w:eastAsia="宋体"/>
                <w:i/>
                <w:color w:val="808080"/>
                <w:sz w:val="22"/>
              </w:rPr>
              <w:t>图 2 待补：防御机制不变量预言机三阶段调度（mermaid 源码见 assets/oracle-flow.mmd）</w:t>
            </w:r>
          </w:p>
          <w:p w14:paraId="47B7559D">
            <w:pPr>
              <w:spacing w:line="360" w:lineRule="auto"/>
              <w:jc w:val="center"/>
              <w:rPr>
                <w:rFonts w:ascii="宋体" w:hAnsi="宋体" w:eastAsia="宋体"/>
                <w:i/>
                <w:color w:val="808080"/>
                <w:sz w:val="22"/>
              </w:rPr>
            </w:pPr>
            <w:r>
              <w:rPr>
                <w:rFonts w:ascii="宋体" w:hAnsi="宋体" w:eastAsia="宋体"/>
                <w:i/>
                <w:color w:val="808080"/>
                <w:sz w:val="22"/>
              </w:rPr>
              <w:t>图 3 待补：大模型约束求解主循环（mermaid 源码见 assets/main-loop.mmd）</w:t>
            </w:r>
          </w:p>
          <w:p w14:paraId="2E581EDF">
            <w:pPr>
              <w:spacing w:line="360" w:lineRule="auto"/>
              <w:rPr>
                <w:sz w:val="24"/>
              </w:rPr>
            </w:pPr>
          </w:p>
          <w:p w14:paraId="55FDD0EA">
            <w:pPr>
              <w:widowControl/>
              <w:jc w:val="left"/>
              <w:rPr>
                <w:b/>
                <w:bCs/>
                <w:kern w:val="0"/>
                <w:sz w:val="24"/>
              </w:rPr>
            </w:pPr>
            <w:r>
              <w:rPr>
                <w:b/>
                <w:bCs/>
                <w:kern w:val="0"/>
                <w:sz w:val="24"/>
              </w:rPr>
              <w:t>参考文献</w:t>
            </w:r>
          </w:p>
          <w:p w14:paraId="5B9CB050">
            <w:pPr>
              <w:spacing w:line="360" w:lineRule="auto"/>
              <w:rPr>
                <w:kern w:val="0"/>
                <w:sz w:val="24"/>
              </w:rPr>
            </w:pPr>
            <w:r>
              <w:rPr>
                <w:kern w:val="0"/>
                <w:sz w:val="24"/>
              </w:rPr>
              <w:t>[1] Yang X, Chen Y, Eide E, et al. Finding and understanding bugs in C compilers[C]//Proceedings of the 32nd ACM SIGPLAN Conference on Programming Language Design and Implementation (PLDI). 2011: 283-294.</w:t>
            </w:r>
          </w:p>
          <w:p w14:paraId="1EE92724">
            <w:pPr>
              <w:spacing w:line="360" w:lineRule="auto"/>
              <w:rPr>
                <w:kern w:val="0"/>
                <w:sz w:val="24"/>
              </w:rPr>
            </w:pPr>
            <w:r>
              <w:rPr>
                <w:kern w:val="0"/>
                <w:sz w:val="24"/>
              </w:rPr>
              <w:t>[2] Livinskii V, Babokin D, Regehr J. Random testing for C and C++ compilers with YARPGen[C]//Proceedings of the ACM on Programming Languages (OOPSLA). 2020, 4: 1-25.</w:t>
            </w:r>
          </w:p>
          <w:p w14:paraId="40F1DBD4">
            <w:pPr>
              <w:spacing w:line="360" w:lineRule="auto"/>
              <w:rPr>
                <w:kern w:val="0"/>
                <w:sz w:val="24"/>
              </w:rPr>
            </w:pPr>
            <w:r>
              <w:rPr>
                <w:kern w:val="0"/>
                <w:sz w:val="24"/>
              </w:rPr>
              <w:t>[3] Zalewski M. American Fuzzy Lop (AFL)[EB/OL]. (2014)[2026-02-15]. https://lcamtuf.coredump.cx/afl/.</w:t>
            </w:r>
          </w:p>
          <w:p w14:paraId="469967E5">
            <w:pPr>
              <w:spacing w:line="360" w:lineRule="auto"/>
              <w:rPr>
                <w:kern w:val="0"/>
                <w:sz w:val="24"/>
              </w:rPr>
            </w:pPr>
            <w:r>
              <w:rPr>
                <w:kern w:val="0"/>
                <w:sz w:val="24"/>
              </w:rPr>
              <w:t>[4] Serebryany K. Continuous fuzzing with libFuzzer and AddressSanitizer[C]//IEEE Cybersecurity Development (SecDev). 2016: 157.</w:t>
            </w:r>
          </w:p>
          <w:p w14:paraId="3859A3A5">
            <w:pPr>
              <w:spacing w:line="360" w:lineRule="auto"/>
              <w:rPr>
                <w:kern w:val="0"/>
                <w:sz w:val="24"/>
              </w:rPr>
            </w:pPr>
            <w:r>
              <w:rPr>
                <w:kern w:val="0"/>
                <w:sz w:val="24"/>
              </w:rPr>
              <w:t>[5] Yang C, Deng Y, Lu R, et al. WhiteFox: White-box compiler fuzzing empowered by large language models[C]//Proceedings of the ACM on Programming Languages (OOPSLA). 2024.</w:t>
            </w:r>
          </w:p>
          <w:p w14:paraId="7F571ADE">
            <w:pPr>
              <w:spacing w:line="360" w:lineRule="auto"/>
              <w:rPr>
                <w:kern w:val="0"/>
                <w:sz w:val="24"/>
              </w:rPr>
            </w:pPr>
            <w:r>
              <w:rPr>
                <w:kern w:val="0"/>
                <w:sz w:val="24"/>
              </w:rPr>
              <w:t>[6] GNU Project. GCC Bugzilla PR 87672 — tree-ssa-strlen: __strcat_chk to __stpcpy_chk drops bound subtract[EB/OL]. (2018)[2026-02-15]. https://gcc.gnu.org/bugzilla/show_bug.cgi?id=87672.</w:t>
            </w:r>
          </w:p>
          <w:p w14:paraId="6652172C">
            <w:pPr>
              <w:spacing w:line="360" w:lineRule="auto"/>
              <w:rPr>
                <w:kern w:val="0"/>
                <w:sz w:val="24"/>
              </w:rPr>
            </w:pPr>
            <w:r>
              <w:rPr>
                <w:kern w:val="0"/>
                <w:sz w:val="24"/>
              </w:rPr>
              <w:t>[7] GNU Project. GCC Bugzilla PR 96191 — stack-protector leaves canary in caller-saved register on AArch64/ARM[EB/OL]. (2020)[2026-02-15]. https://gcc.gnu.org/bugzilla/show_bug.cgi?id=96191.</w:t>
            </w:r>
          </w:p>
          <w:p w14:paraId="1968C60A">
            <w:pPr>
              <w:spacing w:line="360" w:lineRule="auto"/>
              <w:rPr>
                <w:kern w:val="0"/>
                <w:sz w:val="24"/>
              </w:rPr>
            </w:pPr>
            <w:r>
              <w:rPr>
                <w:kern w:val="0"/>
                <w:sz w:val="24"/>
              </w:rPr>
              <w:t>[8] GNU Project. GCC Bugzilla PR 96350 — i386: reject ENDBR pattern in immediate operands under -fcf-protection=branch[EB/OL]. (2020)[2026-02-15]. https://gcc.gnu.org/bugzilla/show_bug.cgi?id=96350.</w:t>
            </w:r>
          </w:p>
          <w:p w14:paraId="098CC448">
            <w:pPr>
              <w:spacing w:line="360" w:lineRule="auto"/>
              <w:rPr>
                <w:kern w:val="0"/>
                <w:sz w:val="24"/>
              </w:rPr>
            </w:pPr>
            <w:r>
              <w:rPr>
                <w:kern w:val="0"/>
                <w:sz w:val="24"/>
              </w:rPr>
              <w:t>[9] Intel Corporation. Control-flow Enforcement Technology Specification[R/OL]. (2019)[2026-02-15]. https://www.intel.com/content/www/us/en/developer/articles/technical/technical-look-control-flow-enforcement-technology.html.</w:t>
            </w:r>
          </w:p>
          <w:p w14:paraId="2000DD23">
            <w:pPr>
              <w:spacing w:line="360" w:lineRule="auto"/>
              <w:rPr>
                <w:kern w:val="0"/>
                <w:sz w:val="24"/>
              </w:rPr>
            </w:pPr>
            <w:r>
              <w:rPr>
                <w:kern w:val="0"/>
                <w:sz w:val="24"/>
              </w:rPr>
              <w:t>[10] Free Software Foundation. The GNU C Library Reference Manual: Source Fortification[EB/OL]. (2024)[2026-02-15]. https://sourceware.org/glibc/manual/latest/html_node/Source-Fortification.html.</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6F6055E">
            <w:pPr>
              <w:spacing w:line="360" w:lineRule="auto"/>
              <w:ind w:left="0" w:leftChars="0" w:right="0" w:rightChars="0" w:firstLineChars="200"/>
              <w:rPr>
                <w:kern w:val="0"/>
                <w:sz w:val="24"/>
              </w:rPr>
            </w:pPr>
            <w:r>
              <w:rPr>
                <w:kern w:val="0"/>
                <w:sz w:val="24"/>
              </w:rPr>
              <w:t>本课题的理论分析围绕三类对象展开：编译器主流防御机制的安全不变量及其证据形式、覆盖率与控制流图引导的目标基本块选择策略、以及大模型生成能力与预言机判定的耦合方式。预期形成一套覆盖至少三种主流防御机制的不变量集合、一套可扩展的预言机框架，以及一个可在 GCC 上跨架构运行的 fuzzer 原型，并通过在 GCC 主流版本上发现真实 silent failure 验证方法的有效性。硬件方面，开发与实验依托一台 64 位 Linux 工作站，配置不少于 32 GB 内存与百 GB 级 SSD，用于 GCC 多版本本地构建、覆盖率数据缓存与跨架构 QEMU 用户态执行；大模型推理通过远程 API 完成，本机不依赖独立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3"/>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34665F64">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EF14F45">
            <w:pPr>
              <w:spacing w:line="320" w:lineRule="exact"/>
              <w:jc w:val="center"/>
              <w:rPr>
                <w:rFonts w:ascii="宋体" w:hAnsi="宋体" w:eastAsia="宋体"/>
                <w:sz w:val="24"/>
              </w:rPr>
            </w:pPr>
            <w:r>
              <w:rPr>
                <w:rFonts w:ascii="宋体" w:hAnsi="宋体" w:eastAsia="宋体"/>
                <w:sz w:val="24"/>
              </w:rPr>
              <w:t>2026.02-2026.03</w:t>
            </w:r>
          </w:p>
        </w:tc>
        <w:tc>
          <w:tcPr>
            <w:tcW w:w="5167" w:type="dxa"/>
            <w:tcBorders>
              <w:top w:val="single" w:color="000000" w:sz="4" w:space="0"/>
              <w:left w:val="single" w:color="000000" w:sz="4" w:space="0"/>
              <w:bottom w:val="single" w:color="000000" w:sz="4" w:space="0"/>
              <w:right w:val="single" w:color="000000" w:sz="4" w:space="0"/>
            </w:tcBorders>
            <w:vAlign w:val="center"/>
          </w:tcPr>
          <w:p w14:paraId="17D92272">
            <w:pPr>
              <w:spacing w:line="320" w:lineRule="exact"/>
              <w:jc w:val="center"/>
              <w:rPr>
                <w:rFonts w:ascii="宋体" w:hAnsi="宋体" w:eastAsia="宋体"/>
                <w:sz w:val="24"/>
              </w:rPr>
            </w:pPr>
            <w:r>
              <w:rPr>
                <w:rFonts w:ascii="宋体" w:hAnsi="宋体" w:eastAsia="宋体"/>
                <w:sz w:val="24"/>
              </w:rPr>
              <w:t>完成防御机制不变量调研，建立统一记录格式</w:t>
            </w:r>
          </w:p>
        </w:tc>
        <w:tc>
          <w:tcPr>
            <w:tcW w:w="2297" w:type="dxa"/>
            <w:tcBorders>
              <w:top w:val="single" w:color="000000" w:sz="4" w:space="0"/>
              <w:left w:val="single" w:color="000000" w:sz="4" w:space="0"/>
              <w:bottom w:val="single" w:color="000000" w:sz="4" w:space="0"/>
              <w:right w:val="single" w:color="000000" w:sz="4" w:space="0"/>
            </w:tcBorders>
            <w:vAlign w:val="center"/>
          </w:tcPr>
          <w:p w14:paraId="59B211B4">
            <w:pPr>
              <w:spacing w:line="320" w:lineRule="exact"/>
              <w:jc w:val="center"/>
              <w:rPr>
                <w:rFonts w:ascii="宋体" w:hAnsi="宋体" w:eastAsia="宋体"/>
                <w:sz w:val="24"/>
              </w:rPr>
            </w:pPr>
          </w:p>
        </w:tc>
      </w:tr>
      <w:tr w14:paraId="0BC1935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03F22B">
            <w:pPr>
              <w:spacing w:line="320" w:lineRule="exact"/>
              <w:jc w:val="center"/>
              <w:rPr>
                <w:rFonts w:ascii="宋体" w:hAnsi="宋体" w:eastAsia="宋体"/>
                <w:sz w:val="24"/>
              </w:rPr>
            </w:pPr>
            <w:r>
              <w:rPr>
                <w:rFonts w:ascii="宋体" w:hAnsi="宋体" w:eastAsia="宋体"/>
                <w:sz w:val="24"/>
              </w:rPr>
              <w:t>2026.03-2026.04</w:t>
            </w:r>
          </w:p>
        </w:tc>
        <w:tc>
          <w:tcPr>
            <w:tcW w:w="5167" w:type="dxa"/>
            <w:tcBorders>
              <w:top w:val="single" w:color="000000" w:sz="4" w:space="0"/>
              <w:left w:val="single" w:color="000000" w:sz="4" w:space="0"/>
              <w:bottom w:val="single" w:color="000000" w:sz="4" w:space="0"/>
              <w:right w:val="single" w:color="000000" w:sz="4" w:space="0"/>
            </w:tcBorders>
            <w:vAlign w:val="center"/>
          </w:tcPr>
          <w:p w14:paraId="6229693C">
            <w:pPr>
              <w:spacing w:line="320" w:lineRule="exact"/>
              <w:jc w:val="center"/>
              <w:rPr>
                <w:rFonts w:ascii="宋体" w:hAnsi="宋体" w:eastAsia="宋体"/>
                <w:sz w:val="24"/>
              </w:rPr>
            </w:pPr>
            <w:r>
              <w:rPr>
                <w:rFonts w:ascii="宋体" w:hAnsi="宋体" w:eastAsia="宋体"/>
                <w:sz w:val="24"/>
              </w:rPr>
              <w:t>扩展预言机框架到 _FORTIFY_SOURCE 与 IBT，完善大模型提示词流水线</w:t>
            </w:r>
          </w:p>
        </w:tc>
        <w:tc>
          <w:tcPr>
            <w:tcW w:w="2297" w:type="dxa"/>
            <w:tcBorders>
              <w:top w:val="single" w:color="000000" w:sz="4" w:space="0"/>
              <w:left w:val="single" w:color="000000" w:sz="4" w:space="0"/>
              <w:bottom w:val="single" w:color="000000" w:sz="4" w:space="0"/>
              <w:right w:val="single" w:color="000000" w:sz="4" w:space="0"/>
            </w:tcBorders>
            <w:vAlign w:val="center"/>
          </w:tcPr>
          <w:p w14:paraId="156FB58B">
            <w:pPr>
              <w:spacing w:line="320" w:lineRule="exact"/>
              <w:jc w:val="center"/>
              <w:rPr>
                <w:rFonts w:ascii="宋体" w:hAnsi="宋体" w:eastAsia="宋体"/>
                <w:sz w:val="24"/>
              </w:rPr>
            </w:pPr>
          </w:p>
        </w:tc>
      </w:tr>
      <w:tr w14:paraId="31C3CF56">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6DFCC0F">
            <w:pPr>
              <w:spacing w:line="320" w:lineRule="exact"/>
              <w:jc w:val="center"/>
              <w:rPr>
                <w:rFonts w:ascii="宋体" w:hAnsi="宋体" w:eastAsia="宋体"/>
                <w:sz w:val="24"/>
              </w:rPr>
            </w:pPr>
            <w:r>
              <w:rPr>
                <w:rFonts w:ascii="宋体" w:hAnsi="宋体" w:eastAsia="宋体"/>
                <w:sz w:val="24"/>
              </w:rPr>
              <w:t>2026.04-2026.05</w:t>
            </w:r>
          </w:p>
        </w:tc>
        <w:tc>
          <w:tcPr>
            <w:tcW w:w="5167" w:type="dxa"/>
            <w:tcBorders>
              <w:top w:val="single" w:color="000000" w:sz="4" w:space="0"/>
              <w:left w:val="single" w:color="000000" w:sz="4" w:space="0"/>
              <w:bottom w:val="single" w:color="000000" w:sz="4" w:space="0"/>
              <w:right w:val="single" w:color="000000" w:sz="4" w:space="0"/>
            </w:tcBorders>
            <w:vAlign w:val="center"/>
          </w:tcPr>
          <w:p w14:paraId="2AE705D2">
            <w:pPr>
              <w:spacing w:line="320" w:lineRule="exact"/>
              <w:jc w:val="center"/>
              <w:rPr>
                <w:rFonts w:ascii="宋体" w:hAnsi="宋体" w:eastAsia="宋体"/>
                <w:sz w:val="24"/>
              </w:rPr>
            </w:pPr>
            <w:r>
              <w:rPr>
                <w:rFonts w:ascii="宋体" w:hAnsi="宋体" w:eastAsia="宋体"/>
                <w:sz w:val="24"/>
              </w:rPr>
              <w:t>跨架构 flag profile 实验框架定型，开展全机制端到端实验</w:t>
            </w:r>
          </w:p>
        </w:tc>
        <w:tc>
          <w:tcPr>
            <w:tcW w:w="2297" w:type="dxa"/>
            <w:tcBorders>
              <w:top w:val="single" w:color="000000" w:sz="4" w:space="0"/>
              <w:left w:val="single" w:color="000000" w:sz="4" w:space="0"/>
              <w:bottom w:val="single" w:color="000000" w:sz="4" w:space="0"/>
              <w:right w:val="single" w:color="000000" w:sz="4" w:space="0"/>
            </w:tcBorders>
            <w:vAlign w:val="center"/>
          </w:tcPr>
          <w:p w14:paraId="0F8B3BD0">
            <w:pPr>
              <w:spacing w:line="320" w:lineRule="exact"/>
              <w:jc w:val="center"/>
              <w:rPr>
                <w:rFonts w:ascii="宋体" w:hAnsi="宋体" w:eastAsia="宋体"/>
                <w:sz w:val="24"/>
              </w:rPr>
            </w:pPr>
          </w:p>
        </w:tc>
      </w:tr>
      <w:tr w14:paraId="5AAA2E9D">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24556849">
            <w:pPr>
              <w:spacing w:line="320" w:lineRule="exact"/>
              <w:jc w:val="center"/>
              <w:rPr>
                <w:rFonts w:ascii="宋体" w:hAnsi="宋体" w:eastAsia="宋体"/>
                <w:sz w:val="24"/>
              </w:rPr>
            </w:pPr>
            <w:r>
              <w:rPr>
                <w:rFonts w:ascii="宋体" w:hAnsi="宋体" w:eastAsia="宋体"/>
                <w:sz w:val="24"/>
              </w:rPr>
              <w:t>2026.05-2026.06</w:t>
            </w:r>
          </w:p>
        </w:tc>
        <w:tc>
          <w:tcPr>
            <w:tcW w:w="5167" w:type="dxa"/>
            <w:tcBorders>
              <w:top w:val="single" w:color="000000" w:sz="4" w:space="0"/>
              <w:left w:val="single" w:color="000000" w:sz="4" w:space="0"/>
              <w:bottom w:val="single" w:color="000000" w:sz="4" w:space="0"/>
              <w:right w:val="single" w:color="000000" w:sz="4" w:space="0"/>
            </w:tcBorders>
            <w:vAlign w:val="center"/>
          </w:tcPr>
          <w:p w14:paraId="19D3AC89">
            <w:pPr>
              <w:spacing w:line="320" w:lineRule="exact"/>
              <w:jc w:val="center"/>
              <w:rPr>
                <w:rFonts w:ascii="宋体" w:hAnsi="宋体" w:eastAsia="宋体"/>
                <w:sz w:val="24"/>
              </w:rPr>
            </w:pPr>
            <w:r>
              <w:rPr>
                <w:rFonts w:ascii="宋体" w:hAnsi="宋体" w:eastAsia="宋体"/>
                <w:sz w:val="24"/>
              </w:rPr>
              <w:t>形成缺陷上报闭环，整理实验数据</w:t>
            </w:r>
          </w:p>
        </w:tc>
        <w:tc>
          <w:tcPr>
            <w:tcW w:w="2297" w:type="dxa"/>
            <w:tcBorders>
              <w:top w:val="single" w:color="000000" w:sz="4" w:space="0"/>
              <w:left w:val="single" w:color="000000" w:sz="4" w:space="0"/>
              <w:bottom w:val="single" w:color="000000" w:sz="4" w:space="0"/>
              <w:right w:val="single" w:color="000000" w:sz="4" w:space="0"/>
            </w:tcBorders>
            <w:vAlign w:val="center"/>
          </w:tcPr>
          <w:p w14:paraId="53E90A76">
            <w:pPr>
              <w:spacing w:line="320" w:lineRule="exact"/>
              <w:jc w:val="center"/>
              <w:rPr>
                <w:rFonts w:ascii="宋体" w:hAnsi="宋体" w:eastAsia="宋体"/>
                <w:sz w:val="24"/>
              </w:rPr>
            </w:pPr>
          </w:p>
        </w:tc>
      </w:tr>
      <w:tr w14:paraId="352F1F13">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2C4EE571">
            <w:pPr>
              <w:spacing w:line="320" w:lineRule="exact"/>
              <w:jc w:val="center"/>
              <w:rPr>
                <w:rFonts w:ascii="宋体" w:hAnsi="宋体" w:eastAsia="宋体"/>
                <w:sz w:val="24"/>
              </w:rPr>
            </w:pPr>
            <w:r>
              <w:rPr>
                <w:rFonts w:ascii="宋体" w:hAnsi="宋体" w:eastAsia="宋体"/>
                <w:sz w:val="24"/>
              </w:rPr>
              <w:t>2026.05-2026.06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01132B7">
            <w:pPr>
              <w:spacing w:line="320" w:lineRule="exact"/>
              <w:jc w:val="center"/>
              <w:rPr>
                <w:rFonts w:ascii="宋体" w:hAnsi="宋体" w:eastAsia="宋体"/>
                <w:sz w:val="24"/>
              </w:rPr>
            </w:pPr>
            <w:r>
              <w:rPr>
                <w:rFonts w:ascii="宋体" w:hAnsi="宋体" w:eastAsia="宋体"/>
                <w:sz w:val="24"/>
              </w:rPr>
              <w:t>撰写学位论文，准备投稿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7B4D021C">
            <w:pPr>
              <w:spacing w:line="320" w:lineRule="exact"/>
              <w:jc w:val="center"/>
              <w:rPr>
                <w:rFonts w:ascii="宋体" w:hAnsi="宋体" w:eastAsia="宋体"/>
                <w:sz w:val="24"/>
              </w:rPr>
            </w:pPr>
          </w:p>
        </w:tc>
      </w:tr>
      <w:tr w14:paraId="2EAB816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59F811F">
            <w:pPr>
              <w:spacing w:line="320" w:lineRule="exact"/>
              <w:jc w:val="center"/>
              <w:rPr>
                <w:rFonts w:ascii="宋体" w:hAnsi="宋体" w:eastAsia="宋体"/>
                <w:sz w:val="24"/>
              </w:rPr>
            </w:pPr>
            <w:r>
              <w:rPr>
                <w:rFonts w:ascii="宋体" w:hAnsi="宋体" w:eastAsia="宋体"/>
                <w:sz w:val="24"/>
              </w:rPr>
              <w:t>2026.06</w:t>
            </w:r>
          </w:p>
        </w:tc>
        <w:tc>
          <w:tcPr>
            <w:tcW w:w="5167" w:type="dxa"/>
            <w:tcBorders>
              <w:top w:val="single" w:color="000000" w:sz="4" w:space="0"/>
              <w:left w:val="single" w:color="000000" w:sz="4" w:space="0"/>
              <w:bottom w:val="single" w:color="000000" w:sz="4" w:space="0"/>
              <w:right w:val="single" w:color="000000" w:sz="4" w:space="0"/>
            </w:tcBorders>
            <w:vAlign w:val="center"/>
          </w:tcPr>
          <w:p w14:paraId="0BC4194F">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2D1FF9A1">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rPr>
                <w:rFonts w:hint="eastAsia" w:ascii="宋体" w:hAnsi="宋体"/>
                <w:sz w:val="24"/>
              </w:rPr>
            </w:pP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cHNbRAAAAAwEAAA8AAAAAAAAAAQAgAAAAIgAAAGRycy9kb3ducmV2&#10;LnhtbFBLAQIUABQAAAAIAIdO4kC4PwPPygEAALMDAAAOAAAAAAAAAAEAIAAAACABAABkcnMvZTJv&#10;RG9jLnhtbFBLBQYAAAAABgAGAFkBAABcBQAAAAA=&#10;">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7DA28C82"/>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uiPriority w:val="0"/>
    <w:pPr>
      <w:tabs>
        <w:tab w:val="center" w:pos="4153"/>
        <w:tab w:val="right" w:pos="8306"/>
      </w:tabs>
      <w:snapToGrid w:val="0"/>
      <w:jc w:val="left"/>
    </w:pPr>
    <w:rPr>
      <w:sz w:val="18"/>
      <w:szCs w:val="20"/>
    </w:rPr>
  </w:style>
  <w:style w:type="paragraph" w:styleId="6">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uiPriority w:val="0"/>
  </w:style>
  <w:style w:type="character" w:styleId="13">
    <w:name w:val="Hyperlink"/>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TotalTime>2</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2024-03-25T13:53:00Z</dcterms:created>
  <dc:creator>曹蕾</dc:creator>
  <cp:lastModifiedBy>yall</cp:lastModifiedBy>
  <dcterms:modified xsi:type="dcterms:W3CDTF">2026-05-09T22:25:40Z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