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blPrEx>
          <w:tblCellMar>
            <w:top w:w="0" w:type="dxa"/>
            <w:left w:w="56" w:type="dxa"/>
            <w:bottom w:w="0" w:type="dxa"/>
            <w:right w:w="56" w:type="dxa"/>
          </w:tblCellMar>
        </w:tblPrEx>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blPrEx>
          <w:tblCellMar>
            <w:top w:w="0" w:type="dxa"/>
            <w:left w:w="56" w:type="dxa"/>
            <w:bottom w:w="0" w:type="dxa"/>
            <w:right w:w="56" w:type="dxa"/>
          </w:tblCellMar>
        </w:tblPrEx>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blPrEx>
          <w:tblCellMar>
            <w:top w:w="0" w:type="dxa"/>
            <w:left w:w="56" w:type="dxa"/>
            <w:bottom w:w="0" w:type="dxa"/>
            <w:right w:w="56" w:type="dxa"/>
          </w:tblCellMar>
        </w:tblPrEx>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漏洞库每年新登记的条目稳定在两万条以上，且仍在快速增长[1]。已有研究指出，低级语言中的内存破坏缺陷长期存在，而将大量存量 C/C++ 代码整体重写为类型安全语言并不现实[2]。因此，漏洞触发后的拦截与防御变得越发重要：栈金丝雀（stack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Szekeres 等对内存破坏攻击及栈保护、控制流完整性等防御思路进行了系统梳理[2]。</w:t>
            </w:r>
          </w:p>
          <w:p>
            <w:pPr>
              <w:spacing w:line="360" w:lineRule="auto"/>
              <w:ind w:left="0" w:leftChars="0" w:right="0" w:rightChars="0" w:firstLineChars="200"/>
              <w:rPr>
                <w:kern w:val="0"/>
                <w:sz w:val="24"/>
              </w:rPr>
            </w:pPr>
            <w:r>
              <w:rPr>
                <w:kern w:val="0"/>
                <w:sz w:val="24"/>
              </w:rPr>
              <w:t>Rust 等内存安全语言能够减少内存错误，但存量 C/C++ 代码难以在短期内完成迁移，Rust 中使用 unsafe 特性的库仍需满足额外的安全验证条件[3]。因此，编译器防御机制仍具有缓解残余内存安全风险的价值，研究其实现是否正确依然必要。</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本课题分为三部分工作：不变量形式化为安全判定提供依据；预言机研究解决静默失效的判定问题；定向种子生成研究提高防御机制相关路径的测试效率。具体实现流程见第四章。</w:t>
            </w: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基于安全不变量的静默失效判定方法。研究如何将安全不变量转化为二进制层面或运行行为上的可观测判据，明确静态证据与动态证据的适用条件。通过开/关机制的对照区分防御失效与编译器缺省行为，并分析判据在不同编译器与 ISA 间的适用范围。</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研究防御机制相关性与未覆盖路径信息如何共同指导变异目标选择，以及覆盖反馈如何帮助大语言模型修正种子。重点评估该方法对防御相关路径覆盖与静默失效发现效率的影响，具体变异与反馈流程见 4.3 节。</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的工程实现。整体流程如图 3 所示：由不变量提炼形成预言机，再结合覆盖率与大语言模型生成种子，最终通过上游确认验证缺陷。GCC 上的初步验证证据见第五章。</w:t>
            </w:r>
          </w:p>
          <w:p w14:paraId="4FEA3431">
            <w:pPr>
              <w:keepNext/>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3  技术路线工作链条</w:t>
            </w:r>
          </w:p>
          <w:p w14:paraId="30951E86">
            <w:pPr>
              <w:spacing w:line="360" w:lineRule="auto"/>
              <w:rPr>
                <w:sz w:val="24"/>
              </w:rPr>
            </w:pP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4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5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6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三类防御机制，并发现、上报三类静默失效[6-9]。按本报告所列记录，_FORTIFY_SOURCE 与 LoongArch 栈金丝雀子例已获上游确认并修复，IBT 案例仍等待回复。LLVM 侧实验将在下一阶段进行。下文展开分析其中两例，并在 5.3 节简述第三类（多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7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7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pPr>
              <w:spacing w:line="360" w:lineRule="auto"/>
              <w:ind w:left="0" w:leftChars="0" w:right="0" w:rightChars="0" w:firstLineChars="200"/>
              <w:rPr>
                <w:kern w:val="0"/>
                <w:sz w:val="24"/>
              </w:rPr>
            </w:pPr>
            <w:r>
              <w:rPr>
                <w:kern w:val="0"/>
                <w:sz w:val="24"/>
              </w:rPr>
              <w:t>后续拟基于 GCC 与 LLVM 各 50 项防御弱化植入，评估本方法的假阴性率（false negative rate, FNR）。每次实验仅激活一项植入，先通过基线对照与独立检查确认其可触发、确实削弱防御且不改变正常输入下的功能行为，再在固定测试预算内开展盲测。被测系统不接触植入补丁、激活信息及标准触发样例。假阴性率按预算内未检出的有效植入项数占全部有效植入项数的比例计算。</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bookmarkStart w:id="0" w:name="_GoBack"/>
            <w:bookmarkEnd w:id="0"/>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Szekeres L, Payer M, Wei T, et al. SoK: Eternal War in Memory[C]//Proceedings of the 2013 IEEE Symposium on Security and Privacy. 2013: 48-62. DOI:10.1109/SP.2013.13.</w:t>
            </w:r>
          </w:p>
          <w:p w14:paraId="6000F8AA">
            <w:pPr>
              <w:keepLines/>
              <w:spacing w:line="360" w:lineRule="auto"/>
              <w:jc w:val="left"/>
              <w:rPr>
                <w:kern w:val="0"/>
                <w:sz w:val="24"/>
              </w:rPr>
            </w:pPr>
            <w:r>
              <w:rPr>
                <w:kern w:val="0"/>
                <w:sz w:val="24"/>
              </w:rPr>
              <w:t>[3] Jung R, Jourdan J H, Krebbers R, et al. RustBelt: Securing the Foundations of the Rust Programming Language[J]. Proceedings of the ACM on Programming Languages, 2018, 2(POPL): Article 66. DOI:10.1145/3158154.</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blPrEx>
          <w:tblCellMar>
            <w:top w:w="0" w:type="dxa"/>
            <w:left w:w="108" w:type="dxa"/>
            <w:bottom w:w="0" w:type="dxa"/>
            <w:right w:w="108" w:type="dxa"/>
          </w:tblCellMar>
        </w:tblPrEx>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blPrEx>
          <w:tblCellMar>
            <w:top w:w="0" w:type="dxa"/>
            <w:left w:w="108" w:type="dxa"/>
            <w:bottom w:w="0" w:type="dxa"/>
            <w:right w:w="108" w:type="dxa"/>
          </w:tblCellMar>
        </w:tblPrEx>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blPrEx>
          <w:tblCellMar>
            <w:top w:w="0" w:type="dxa"/>
            <w:left w:w="108" w:type="dxa"/>
            <w:bottom w:w="0" w:type="dxa"/>
            <w:right w:w="108" w:type="dxa"/>
          </w:tblCellMar>
        </w:tblPrEx>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blPrEx>
          <w:tblCellMar>
            <w:top w:w="0" w:type="dxa"/>
            <w:left w:w="108" w:type="dxa"/>
            <w:bottom w:w="0" w:type="dxa"/>
            <w:right w:w="108" w:type="dxa"/>
          </w:tblCellMar>
        </w:tblPrEx>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组长：刁文瑞</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成员：赵瑞杰、谢磊、徐枫皓、王绪国、徐坚皓</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ind w:firstLineChars="200"/>
              <w:rPr>
                <w:rFonts w:hint="eastAsia" w:ascii="宋体" w:hAnsi="宋体"/>
                <w:sz w:val="24"/>
              </w:rPr>
            </w:pPr>
            <w:r>
              <w:rPr>
                <w:rFonts w:hint="eastAsia" w:ascii="宋体" w:hAnsi="宋体"/>
                <w:sz w:val="24"/>
              </w:rPr>
              <w:t>建议补充基于受控缺陷植入的假阴性评测方案，并说明 Rust 等内存安全语言推广后，本课题对存量代码的研究价值；</w:t>
            </w:r>
          </w:p>
          <w:p>
            <w:pPr>
              <w:spacing w:line="440" w:lineRule="exact"/>
              <w:ind w:firstLineChars="200"/>
              <w:rPr>
                <w:rFonts w:hint="eastAsia" w:ascii="宋体" w:hAnsi="宋体"/>
                <w:sz w:val="24"/>
              </w:rPr>
            </w:pPr>
            <w:r>
              <w:rPr>
                <w:rFonts w:hint="eastAsia" w:ascii="宋体" w:hAnsi="宋体"/>
                <w:sz w:val="24"/>
              </w:rPr>
              <w:t>“研究内容”部分应突出研究问题与方法，将偏实现的描述及流程图调整至“技术路线”部分；建议以论文替换部分博客类参考文献，并在防御机制介绍处引用代表性综述论文，增强论述的规范性和可信度。修改完善后，同意开题。</w:t>
            </w: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blPrEx>
          <w:tblCellMar>
            <w:top w:w="0" w:type="dxa"/>
            <w:left w:w="108" w:type="dxa"/>
            <w:bottom w:w="0" w:type="dxa"/>
            <w:right w:w="108" w:type="dxa"/>
          </w:tblCellMar>
        </w:tblPrEx>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blPrEx>
          <w:tblCellMar>
            <w:top w:w="0" w:type="dxa"/>
            <w:left w:w="108" w:type="dxa"/>
            <w:bottom w:w="0" w:type="dxa"/>
            <w:right w:w="108" w:type="dxa"/>
          </w:tblCellMar>
        </w:tblPrEx>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0" w:leftChars="0" w:right="0" w:rightChars="0" w:firstLine="0" w:firstLineChars="0"/>
              <w:rPr>
                <w:rFonts w:hint="eastAsia" w:ascii="宋体" w:hAnsi="宋体"/>
                <w:sz w:val="24"/>
              </w:rPr>
            </w:pPr>
            <w:r>
              <w:rPr>
                <w:rFonts w:hint="eastAsia" w:ascii="宋体" w:hAnsi="宋体"/>
                <w:sz w:val="24"/>
              </w:rPr>
              <w:t>开题报告的表述已按评审意见修改</w:t>
            </w:r>
          </w:p>
        </w:tc>
      </w:tr>
      <w:tr w14:paraId="667C7547">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blPrEx>
          <w:tblCellMar>
            <w:top w:w="0" w:type="dxa"/>
            <w:left w:w="108" w:type="dxa"/>
            <w:bottom w:w="0" w:type="dxa"/>
            <w:right w:w="108" w:type="dxa"/>
          </w:tblCellMar>
        </w:tblPrEx>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oto Sans Devanagari">
    <w:panose1 w:val="020B0502040504020204"/>
    <w:charset w:val="00"/>
    <w:family w:val="auto"/>
    <w:pitch w:val="default"/>
    <w:sig w:usb0="80008023" w:usb1="00002046" w:usb2="00000000" w:usb3="00000000" w:csb0="00000001" w:csb1="00000000"/>
  </w:font>
  <w:font w:name="Liberation Serif">
    <w:panose1 w:val="02020603050405020304"/>
    <w:charset w:val="01"/>
    <w:family w:val="roman"/>
    <w:pitch w:val="default"/>
    <w:sig w:usb0="E0000AFF" w:usb1="500078FF" w:usb2="00000021" w:usb3="00000000" w:csb0="600001BF" w:csb1="DFF70000"/>
  </w:font>
  <w:font w:name="Source Han Serif CN">
    <w:panose1 w:val="02020400000000000000"/>
    <w:charset w:val="86"/>
    <w:family w:val="auto"/>
    <w:pitch w:val="default"/>
    <w:sig w:usb0="20000083" w:usb1="2ADF3C10" w:usb2="00000016" w:usb3="00000000" w:csb0="60060107" w:csb1="00000000"/>
  </w:font>
  <w:font w:name="Liberation Sans">
    <w:panose1 w:val="020B0604020202020204"/>
    <w:charset w:val="01"/>
    <w:family w:val="swiss"/>
    <w:pitch w:val="default"/>
    <w:sig w:usb0="E0000AFF" w:usb1="500078FF" w:usb2="00000021" w:usb3="00000000" w:csb0="600001BF" w:csb1="DFF70000"/>
  </w:font>
  <w:font w:name="Source Han Sans CN">
    <w:panose1 w:val="020B0500000000000000"/>
    <w:charset w:val="86"/>
    <w:family w:val="auto"/>
    <w:pitch w:val="default"/>
    <w:sig w:usb0="20000083" w:usb1="2ADF3C10" w:usb2="00000016" w:usb3="00000000" w:csb0="60060107" w:csb1="00000000"/>
  </w:font>
  <w:font w:name="方正小标宋简体;汉仪书宋二KW">
    <w:altName w:val="方正书宋_GBK"/>
    <w:panose1 w:val="00000000000000000000"/>
    <w:charset w:val="00"/>
    <w:family w:val="auto"/>
    <w:pitch w:val="default"/>
    <w:sig w:usb0="00000000" w:usb1="00000000" w:usb2="00000000" w:usb3="00000000" w:csb0="00000000" w:csb1="00000000"/>
  </w:font>
  <w:font w:name="方正书宋_GBK">
    <w:panose1 w:val="02000000000000000000"/>
    <w:charset w:val="86"/>
    <w:family w:val="auto"/>
    <w:pitch w:val="default"/>
    <w:sig w:usb0="00000001" w:usb1="08000000" w:usb2="00000000" w:usb3="00000000" w:csb0="00040000"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 AQAADwAAAGRycy9kb3ducmV2LnhtbE2PzU7DMBCE70i8g7VI3KjdIEEI2VRqK7gi0kq9uvE2jhKv o9j94e1xTnBazc5q5ttydXODuNAUOs8Iy4UCQdx403GLsN99POUgQtRs9OCZEH4owKq6vyt1YfyV v+lSx1akEA6FRrAxjoWUobHkdFj4kTh5Jz85HZOcWmkmfU3hbpCZUi/S6Y5Tg9UjbSw1fX12CM9f 2eshfNbbzXigtz4P6/7EFvHxYaneQUS6xb9jmPETOlSJ6ejPbIIYENIjcd6K2cvTPCJkKgdZlfI/ e/ULUEsDBBQAAAAIAIdO4kC4PwPPygEAALMDAAAOAAAAZHJzL2Uyb0RvYy54bWytU8GO0zAQvSPx D5bvNM22i6BqugKqIiQESAsf4Dh2Y8n2WGO3Sf+esdN0V8tlD+Rgz9jjN/PeTLYPo7PsrDAa8A2v F0vOlJfQGX9s+J/fh3cfOItJ+E5Y8KrhFxX5w+7tm+0QNuoOerCdQkYgPm6G0PA+pbCpqih75URc QFCeLjWgE4lcPFYdioHQna3ulsv31QDYBQSpYqTT/XTJr4j4GkDQ2ki1B3lyyqcJFZUViSjF3oTI d6VarZVMP7WOKjHbcGKaykpJyG7zWu22YnNEEXojryWI15TwgpMTxlPSG9ReJMFOaP6BckYiRNBp IcFVE5GiCLGoly+0eexFUIULSR3DTfT4/2Dlj/MvZKZr+IozLxw1/IC01VmZIcQNBTwGCknjZxhp XubzSIeZ8KjR5Z2oMLonXS83XdWYmMyP6vXH1T1nkq7qVb1e32eU6ulxwJi+KnAsGw1HaltRU5y/ xzSFziE5VwRruoOxtjh4bL9YZGdBLT6Ub3prQy+m09JmShen0JL6GUaVeU58spXGdrySb6G7EHf7 zZPkeXxmA2ejnQ3hZQ80WFPhHj6dEmhTis+gExJlzg71stRwnbs8LM/9EvX0r+3+AlBLAwQKAAAA AACHTuJAAAAAAAAAAAAAAAAABgAAAF9yZWxzL1BLAwQUAAAACACHTuJAihRmPNEAAACUAQAACwAA AF9yZWxzLy5yZWxzpZDBasMwDIbvg72D0X1xmsMYo04vo9Br6R7A2IpjGltGMtn69vMOg2X0tqN+ oe8T//7wmRa1IkukbGDX9aAwO/IxBwPvl+PTCyipNnu7UEYDNxQ4jI8P+zMutrYjmWMR1ShZDMy1 lletxc2YrHRUMLfNRJxsbSMHXay72oB66Ptnzb8ZMG6Y6uQN8MkPoC630sx/2Ck6JqGpdo6SpmmK 7h5VB7Zlju7INuEbuUazHLAa8CwaB2pZ134EfV+/+6fe00c+47rVfoeM649Xb7ocvwBQSwMEFAAA AAgAh07iQH7m5SD3AAAA4QEAABMAAABbQ29udGVudF9UeXBlc10ueG1slZFBTsMwEEX3SNzB8hYl TrtACCXpgrRLQKgcYGRPEotkbHlMaG+Pk7YbRJFY2jP/vye73BzGQUwY2Dqq5CovpEDSzljqKvm+ 32UPUnAEMjA4wkoekeWmvr0p90ePLFKauJJ9jP5RKdY9jsC580hp0rowQkzH0CkP+gM6VOuiuFfa UUSKWZw7ZF022MLnEMX2kK5PJgEHluLptDizKgneD1ZDTKZqIvODkp0JeUouO9xbz3dJQ6pfCfPk OuCce0lPE6xB8QohPsOYNJQJrIz7ooBT/nfJbDly5trWasybwE2KveF0sbrWjmvXOP3f8u2SunSr 5YPqb1BLAQIUABQAAAAIAIdO4kB+5uUg9wAAAOEBAAATAAAAAAAAAAEAIAAAADQEAABbQ29udGVu dF9UeXBlc10ueG1sUEsBAhQACgAAAAAAh07iQAAAAAAAAAAAAAAAAAYAAAAAAAAAAAAQAAAAFgMA AF9yZWxzL1BLAQIUABQAAAAIAIdO4kCKFGY80QAAAJQBAAALAAAAAAAAAAEAIAAAADoDAABfcmVs cy8ucmVsc1BLAQIUAAoAAAAAAIdO4kAAAAAAAAAAAAAAAAAEAAAAAAAAAAAAEAAAAAAAAABkcnMv UEsBAhQAFAAAAAgAh07iQOAcHNbRAAAAAwEAAA8AAAAAAAAAAQAgAAAAIgAAAGRycy9kb3ducmV2 LnhtbFBLAQIUABQAAAAIAIdO4kC4PwPPygEAALMDAAAOAAAAAAAAAAEAIAAAACABAABkcnMvZTJv RG9jLnhtbFBLBQYAAAAABgAGAFkBAABcBQAAAAA= ">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TotalTime>3</TotalTime>
  <ScaleCrop>false</ScaleCrop>
  <LinksUpToDate>false</LinksUpToDate>
  <Application>WPS Office_12.1.2.25882_F1E327BC-269C-435d-A152-05C5408002CA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2024-03-25T21:53:00Z</dcterms:created>
  <dc:creator>曹蕾</dc:creator>
  <cp:lastModifiedBy>耀一世风光</cp:lastModifiedBy>
  <dcterms:modified xsi:type="dcterms:W3CDTF">2026-05-14T19:44:01Z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2052-12.1.2.25882</vt:lpwstr>
  </property>
</Properties>
</file>