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漏洞库每年新登记的条目稳定在两万条以上，且仍在快速增长[1]。Microsoft、Google 等厂商陆续公开承认，仅依靠人工审计与安全编程规范并不足以彻底清除上层代码中的内存安全 Bug[2][3]。因此，漏洞触发后的拦截与防御变得越发重要：栈金丝雀（stack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等对内存破坏攻击及栈保护、控制流完整性等防御思路进行了系统梳理[24]。</w:t>
            </w:r>
          </w:p>
          <w:p>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中的 unsafe 代码及跨语言调用仍依赖人工维护安全约束。因此，在多种语言共存的软件系统中，编译器防御机制仍具有缓解残余内存安全风险的价值，研究其实现是否正确依然必要。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本课题分为三部分工作：不变量形式化为安全判定提供依据；预言机研究解决静默失效的判定问题；定向种子生成研究提高防御机制相关路径的测试效率。具体实现流程见第四章。</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3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pPr>
              <w:spacing w:line="360" w:lineRule="auto"/>
              <w:ind w:left="0" w:leftChars="0" w:right="0" w:rightChars="0" w:firstLineChars="200"/>
              <w:rPr>
                <w:kern w:val="0"/>
                <w:sz w:val="24"/>
              </w:rPr>
            </w:pPr>
            <w:r>
              <w:rPr>
                <w:kern w:val="0"/>
                <w:sz w:val="24"/>
              </w:rPr>
              <w:t>后续拟在相同工具链、配置与测试时长下，与 Csmith、YARPGen、GrayC、HLPFuzz 比较防御相关代码行覆盖率、上游确认的独立缺陷数及首次发现时间，并通过多次重复运行报告均值与波动。比较种子生成效果时，各方法接入同一不变量预言机；另通过移除定向引导、替换为常规预言机的消融实验，分别评估生成方法与判定方法的贡献。缺陷按根因去重，跨 ISA 的同源报告不重复计数。</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Microsoft Security Response Center. Microsoft Security Response Center Blog[EB/OL]. (2023)[2026-05-13]. https://www.microsoft.com/en-us/msrc/blog.</w:t>
            </w:r>
          </w:p>
          <w:p w14:paraId="6000F8AA">
            <w:pPr>
              <w:keepLines/>
              <w:spacing w:line="360" w:lineRule="auto"/>
              <w:jc w:val="left"/>
              <w:rPr>
                <w:kern w:val="0"/>
                <w:sz w:val="24"/>
              </w:rPr>
            </w:pPr>
            <w:r>
              <w:rPr>
                <w:kern w:val="0"/>
                <w:sz w:val="24"/>
              </w:rPr>
              <w:t>[3] Google Security Blog. Memory Safe Languages in Android 13[EB/OL]. (2022-12)[2026-05-13]. https://security.googleblog.com/2022/12/memory-safe-languages-in-android-13.html.</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p>
            <w:pPr>
              <w:keepLines/>
              <w:spacing w:line="360" w:lineRule="auto"/>
              <w:jc w:val="left"/>
              <w:rPr>
                <w:kern w:val="0"/>
                <w:sz w:val="24"/>
              </w:rPr>
            </w:pPr>
            <w:r>
              <w:rPr>
                <w:kern w:val="0"/>
                <w:sz w:val="24"/>
              </w:rPr>
              <w:t>[24] Szekeres L, Payer M, Wei T, et al. SoK: Eternal War in Memory[C]//Proceedings of the 2013 IEEE Symposium on Security and Privacy. 2013: 48-62. DOI:10.1109/SP.2013.13.</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建议补充定量分析指标与对照方案，并说明 Rust 等内存安全语言推广后，本课题对存量代码及跨语言调用场景的研究价值；</w:t>
            </w:r>
          </w:p>
          <w:p>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“研究内容”部分应突出研究问题与方法，将偏实现的描述及流程图调整至“技术路线”部分；防御机制介绍应补充综述论文引用，增强论述的规范性和可信度。修改完善后，同意开题。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Chars="2249" w:right="0" w:rightChars="0" w:firstLineChars="800"/>
              <w:rPr>
                <w:rFonts w:hint="eastAsia" w:ascii="宋体" w:hAnsi="宋体"/>
                <w:sz w:val="24"/>
              </w:rPr>
            </w:pP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