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4C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580" w:lineRule="exact"/>
        <w:jc w:val="center"/>
        <w:textAlignment w:val="auto"/>
        <w:outlineLvl w:val="0"/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  <w:t>智能服务</w:t>
      </w: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  <w:t>停电信息查询</w:t>
      </w: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  <w:t>场景</w:t>
      </w:r>
    </w:p>
    <w:p w14:paraId="66936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580" w:lineRule="exact"/>
        <w:jc w:val="center"/>
        <w:textAlignment w:val="auto"/>
        <w:outlineLvl w:val="0"/>
        <w:rPr>
          <w:rFonts w:hint="default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  <w:t>客户</w:t>
      </w: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  <w:t>流失原因分析</w:t>
      </w:r>
    </w:p>
    <w:p w14:paraId="4DED6BA1">
      <w:pPr>
        <w:numPr>
          <w:ilvl w:val="0"/>
          <w:numId w:val="1"/>
        </w:numPr>
        <w:spacing w:line="580" w:lineRule="exact"/>
        <w:ind w:firstLine="641" w:firstLineChars="200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停电信息查询场景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客户流失情况分析</w:t>
      </w:r>
    </w:p>
    <w:p w14:paraId="2B670E37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针对{{reportDate}}，{{sceneName}}场景{{sessionCount}}条会话开展具体分析研究，该场景客户整体流失率{{lossRate}}%，流程完成率{{completeRate}}%，转人工率{{transferRate}}%。</w:t>
      </w:r>
    </w:p>
    <w:p w14:paraId="2841F837">
      <w:pPr>
        <w:pStyle w:val="12"/>
        <w:widowControl w:val="0"/>
        <w:spacing w:line="580" w:lineRule="exact"/>
        <w:ind w:firstLine="640"/>
        <w:outlineLvl w:val="0"/>
        <w:rPr>
          <w:rFonts w:hint="default" w:ascii="仿宋_GB2312" w:eastAsia="仿宋_GB2312" w:cs="宋体"/>
          <w:b/>
          <w:bCs/>
          <w:sz w:val="32"/>
          <w:szCs w:val="36"/>
          <w:lang w:val="en-US" w:eastAsia="zh-CN"/>
        </w:rPr>
      </w:pPr>
      <w:r>
        <w:rPr>
          <w:rFonts w:hint="eastAsia" w:ascii="仿宋_GB2312" w:eastAsia="仿宋_GB2312" w:cs="宋体"/>
          <w:b/>
          <w:bCs/>
          <w:sz w:val="32"/>
          <w:szCs w:val="36"/>
          <w:lang w:val="en-US" w:eastAsia="zh-CN"/>
        </w:rPr>
        <w:t>1.客户流失率整体情况</w:t>
      </w:r>
    </w:p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099"/>
        <w:gridCol w:w="1276"/>
        <w:gridCol w:w="1327"/>
        <w:gridCol w:w="1138"/>
        <w:gridCol w:w="1224"/>
        <w:gridCol w:w="1005"/>
      </w:tblGrid>
      <w:tr w14:paraId="5BA3349C">
        <w:trPr>
          <w:jc w:val="center"/>
        </w:trPr>
        <w:tc>
          <w:tcPr>
            <w:tcW w:w="1495" w:type="dxa"/>
            <w:vMerge w:val="restart"/>
            <w:shd w:val="clear" w:color="auto" w:fill="006B54"/>
            <w:vAlign w:val="center"/>
          </w:tcPr>
          <w:p w14:paraId="191056C1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场景</w:t>
            </w:r>
          </w:p>
        </w:tc>
        <w:tc>
          <w:tcPr>
            <w:tcW w:w="1099" w:type="dxa"/>
            <w:vMerge w:val="restart"/>
            <w:shd w:val="clear" w:color="auto" w:fill="006B54"/>
            <w:vAlign w:val="center"/>
          </w:tcPr>
          <w:p w14:paraId="130787C5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转人工率</w:t>
            </w:r>
          </w:p>
        </w:tc>
        <w:tc>
          <w:tcPr>
            <w:tcW w:w="4965" w:type="dxa"/>
            <w:gridSpan w:val="4"/>
            <w:shd w:val="clear" w:color="auto" w:fill="006B54"/>
          </w:tcPr>
          <w:p w14:paraId="26CAD717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各环节流失率</w:t>
            </w:r>
          </w:p>
        </w:tc>
        <w:tc>
          <w:tcPr>
            <w:tcW w:w="1005" w:type="dxa"/>
            <w:vMerge w:val="restart"/>
            <w:shd w:val="clear" w:color="auto" w:fill="006B54"/>
          </w:tcPr>
          <w:p w14:paraId="76725D4C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流程</w:t>
            </w:r>
            <w:r>
              <w:rPr>
                <w:rFonts w:ascii="黑体" w:hAnsi="黑体" w:eastAsia="黑体"/>
                <w:b/>
                <w:color w:val="FFFFFF"/>
                <w:sz w:val="21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21"/>
              </w:rPr>
              <w:t>完成率</w:t>
            </w:r>
          </w:p>
        </w:tc>
      </w:tr>
      <w:tr w14:paraId="2AB26B27">
        <w:trPr>
          <w:jc w:val="center"/>
        </w:trPr>
        <w:tc>
          <w:tcPr>
            <w:tcW w:w="1495" w:type="dxa"/>
            <w:vMerge w:val="continue"/>
          </w:tcPr>
          <w:p w14:paraId="404C1F62"/>
        </w:tc>
        <w:tc>
          <w:tcPr>
            <w:tcW w:w="1099" w:type="dxa"/>
            <w:vMerge w:val="continue"/>
          </w:tcPr>
          <w:p w14:paraId="07B1C0FD"/>
        </w:tc>
        <w:tc>
          <w:tcPr>
            <w:tcW w:w="1276" w:type="dxa"/>
            <w:shd w:val="clear" w:color="auto" w:fill="008667"/>
          </w:tcPr>
          <w:p w14:paraId="5E1175F6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诉求接入</w:t>
            </w:r>
          </w:p>
        </w:tc>
        <w:tc>
          <w:tcPr>
            <w:tcW w:w="1327" w:type="dxa"/>
            <w:shd w:val="clear" w:color="auto" w:fill="008667"/>
          </w:tcPr>
          <w:p w14:paraId="66CCA354">
            <w:pPr>
              <w:spacing w:before="20" w:after="20" w:line="240" w:lineRule="auto"/>
              <w:jc w:val="center"/>
              <w:rPr>
                <w:rFonts w:hint="default" w:ascii="黑体" w:hAnsi="黑体" w:eastAsia="黑体"/>
                <w:b/>
                <w:color w:val="FFFFFF"/>
                <w:sz w:val="21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color w:val="FFFFFF"/>
                <w:sz w:val="21"/>
                <w:lang w:val="en-US" w:eastAsia="zh-CN"/>
              </w:rPr>
              <w:t>关系库选择</w:t>
            </w:r>
          </w:p>
        </w:tc>
        <w:tc>
          <w:tcPr>
            <w:tcW w:w="1138" w:type="dxa"/>
            <w:shd w:val="clear" w:color="auto" w:fill="008667"/>
          </w:tcPr>
          <w:p w14:paraId="7361558A">
            <w:pPr>
              <w:spacing w:before="20" w:after="20" w:line="240" w:lineRule="auto"/>
              <w:jc w:val="center"/>
              <w:rPr>
                <w:rFonts w:hint="eastAsia" w:ascii="黑体" w:hAnsi="黑体" w:eastAsia="黑体"/>
                <w:b/>
                <w:color w:val="FFFFFF"/>
                <w:sz w:val="21"/>
                <w:lang w:val="en-US" w:eastAsia="zh-CN"/>
              </w:rPr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身份</w:t>
            </w:r>
            <w:r>
              <w:rPr>
                <w:rFonts w:hint="eastAsia" w:ascii="黑体" w:hAnsi="黑体" w:eastAsia="黑体"/>
                <w:b/>
                <w:color w:val="FFFFFF"/>
                <w:sz w:val="21"/>
                <w:lang w:val="en-US" w:eastAsia="zh-CN"/>
              </w:rPr>
              <w:t>验证</w:t>
            </w:r>
          </w:p>
        </w:tc>
        <w:tc>
          <w:tcPr>
            <w:tcW w:w="1224" w:type="dxa"/>
            <w:shd w:val="clear" w:color="auto" w:fill="008667"/>
          </w:tcPr>
          <w:p w14:paraId="77D2D86E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结果播报</w:t>
            </w:r>
          </w:p>
        </w:tc>
        <w:tc>
          <w:tcPr>
            <w:tcW w:w="1005" w:type="dxa"/>
            <w:vMerge w:val="continue"/>
          </w:tcPr>
          <w:p w14:paraId="404BFB46"/>
        </w:tc>
      </w:tr>
      <w:tr w14:paraId="7ED40704">
        <w:trPr>
          <w:jc w:val="center"/>
        </w:trPr>
        <w:tc>
          <w:tcPr>
            <w:tcW w:w="1495" w:type="dxa"/>
            <w:shd w:val="clear" w:color="auto" w:fill="A5D6A7"/>
          </w:tcPr>
          <w:p w14:paraId="44848E1C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 w:val="0"/>
                <w:color w:val="000000"/>
                <w:sz w:val="21"/>
              </w:rPr>
              <w:t>停电信息查询</w:t>
            </w:r>
          </w:p>
        </w:tc>
        <w:tc>
          <w:tcPr>
            <w:tcW w:w="1099" w:type="dxa"/>
          </w:tcPr>
          <w:p w14:paraId="53DFE97B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 w:val="0"/>
                <w:color w:val="000000"/>
                <w:sz w:val="21"/>
              </w:rPr>
              <w:t>100.0%</w:t>
            </w:r>
          </w:p>
        </w:tc>
        <w:tc>
          <w:tcPr>
            <w:tcW w:w="1276" w:type="dxa"/>
          </w:tcPr>
          <w:p w14:paraId="62EAC472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 w:val="0"/>
                <w:color w:val="000000"/>
                <w:sz w:val="21"/>
              </w:rPr>
              <w:t>0.7%</w:t>
            </w:r>
          </w:p>
        </w:tc>
        <w:tc>
          <w:tcPr>
            <w:tcW w:w="1327" w:type="dxa"/>
          </w:tcPr>
          <w:p w14:paraId="601C0A57">
            <w:pPr>
              <w:spacing w:before="20" w:after="20" w:line="240" w:lineRule="auto"/>
              <w:jc w:val="center"/>
            </w:pPr>
            <w:r>
              <w:rPr>
                <w:rFonts w:hint="eastAsia" w:ascii="黑体" w:hAnsi="黑体" w:eastAsia="黑体"/>
                <w:b w:val="0"/>
                <w:color w:val="000000"/>
                <w:sz w:val="21"/>
                <w:lang w:val="en-US" w:eastAsia="zh-CN"/>
              </w:rPr>
              <w:t>49.32</w:t>
            </w:r>
            <w:r>
              <w:rPr>
                <w:rFonts w:ascii="黑体" w:hAnsi="黑体" w:eastAsia="黑体"/>
                <w:b w:val="0"/>
                <w:color w:val="000000"/>
                <w:sz w:val="21"/>
              </w:rPr>
              <w:t>%</w:t>
            </w:r>
          </w:p>
        </w:tc>
        <w:tc>
          <w:tcPr>
            <w:tcW w:w="1138" w:type="dxa"/>
          </w:tcPr>
          <w:p w14:paraId="13A86586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 w:val="0"/>
                <w:color w:val="000000"/>
                <w:sz w:val="21"/>
              </w:rPr>
              <w:t>57.5%</w:t>
            </w:r>
          </w:p>
        </w:tc>
        <w:tc>
          <w:tcPr>
            <w:tcW w:w="1224" w:type="dxa"/>
          </w:tcPr>
          <w:p w14:paraId="27CE4494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 w:val="0"/>
                <w:color w:val="000000"/>
                <w:sz w:val="21"/>
              </w:rPr>
              <w:t>11.2%</w:t>
            </w:r>
          </w:p>
        </w:tc>
        <w:tc>
          <w:tcPr>
            <w:tcW w:w="1005" w:type="dxa"/>
          </w:tcPr>
          <w:p w14:paraId="2A375DB5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 w:val="0"/>
                <w:color w:val="000000"/>
                <w:sz w:val="21"/>
              </w:rPr>
              <w:t>41.8%</w:t>
            </w:r>
          </w:p>
        </w:tc>
      </w:tr>
    </w:tbl>
    <w:p w14:paraId="737F7FDB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该场景主要包含机器人诉求接入、关系库选择、身份验证、结果播报四大环节，各环节客户流失率如上表所示。其中，{{highestLossStage}}环节，客户流失率最高，流失率达{{highestLossRate}}%。针对各环节客户流失原因开展具体分析。</w:t>
      </w:r>
    </w:p>
    <w:p w14:paraId="52E94065">
      <w:pPr>
        <w:pStyle w:val="12"/>
        <w:widowControl w:val="0"/>
        <w:spacing w:line="580" w:lineRule="exact"/>
        <w:ind w:firstLine="640"/>
        <w:outlineLvl w:val="0"/>
        <w:rPr>
          <w:rFonts w:hint="default" w:ascii="仿宋_GB2312" w:eastAsia="仿宋_GB2312" w:cs="宋体"/>
          <w:b/>
          <w:bCs/>
          <w:sz w:val="32"/>
          <w:szCs w:val="36"/>
          <w:lang w:val="en-US" w:eastAsia="zh-CN"/>
        </w:rPr>
      </w:pPr>
      <w:r>
        <w:rPr>
          <w:rFonts w:hint="eastAsia" w:ascii="仿宋_GB2312" w:eastAsia="仿宋_GB2312" w:cs="宋体"/>
          <w:b/>
          <w:bCs/>
          <w:sz w:val="32"/>
          <w:szCs w:val="36"/>
          <w:lang w:val="en-US" w:eastAsia="zh-CN"/>
        </w:rPr>
        <w:t>2.各环节具体流失原因分析</w:t>
      </w:r>
    </w:p>
    <w:p w14:paraId="3D9C6299">
      <w:pPr>
        <w:jc w:val="center"/>
      </w:pPr>
      <w:r>
        <w:drawing>
          <wp:inline distT="0" distB="0" distL="114300" distR="114300">
            <wp:extent cx="5496560" cy="2733040"/>
            <wp:effectExtent l="0" t="0" r="15240" b="1016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E142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诉求接入环节</w:t>
      </w:r>
    </w:p>
    <w:p w14:paraId="69175B2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共{{appealCount}}条会话，客户流失{{appealChurn}}通，流失率为{{appealChurnRate}}%。流失原因主要为：{{appealReasons}}</w:t>
      </w:r>
      <w:bookmarkStart w:id="0" w:name="_GoBack"/>
      <w:bookmarkEnd w:id="0"/>
    </w:p>
    <w:p w14:paraId="4D58282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{{appealEval}}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r>
    </w:p>
    <w:p w14:paraId="7E938AF1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（2）关系库选择环节</w:t>
      </w:r>
    </w:p>
    <w:p w14:paraId="3C9A1C6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关系库选择环节共{{relationCount}}条会话，流失{{relationChurn}}条（{{relationChurnRate}}%），流失率为{{relationChurnRate}}%。流失原因主要包括：{{relationReasons}}</w:t>
      </w:r>
    </w:p>
    <w:p w14:paraId="34B1B6D0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{{relationEval}}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r>
    </w:p>
    <w:p w14:paraId="74EA92F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（3）身份验证环节</w:t>
      </w:r>
    </w:p>
    <w:p w14:paraId="5A29E2A0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身份验证环节共{{identityCount}}条会话，流失{{identityChurn}}条，流失率为{{identityChurnRate}}%。流失原因主要包括：{{identityReasons}}</w:t>
      </w:r>
    </w:p>
    <w:p w14:paraId="708968E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{{identityEval}}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r>
    </w:p>
    <w:p w14:paraId="214EC0F8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（4）结果播报环节</w:t>
      </w:r>
    </w:p>
    <w:p w14:paraId="71248FC4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结果播报环节共{{resultCount}}条会话，流失{{resultChurn}}条，流失率为{{resultChurnRate}}%。流失原因主要包括：{{resultReasons}}</w:t>
      </w:r>
    </w:p>
    <w:p w14:paraId="61AC26A1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{{resultEval}}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r>
    </w:p>
    <w:p w14:paraId="4020EAED"/>
    <w:p w14:paraId="4AA284C0">
      <w:pPr>
        <w:widowControl w:val="0"/>
        <w:numPr>
          <w:ilvl w:val="0"/>
          <w:numId w:val="3"/>
        </w:numPr>
        <w:spacing w:line="580" w:lineRule="exact"/>
        <w:ind w:firstLine="641" w:firstLineChars="200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存在问题</w:t>
      </w:r>
    </w:p>
    <w:p w14:paraId="384624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outlineLvl w:val="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流程完成率偏低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流程完成率仅{{completeRate}}%，低于50%，说明大量用户未能完成自助服务流程，用户体验有待提升，建议简化流程步骤和优化交互设计。</w:t>
      </w:r>
    </w:p>
    <w:p w14:paraId="1AAF73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outlineLvl w:val="0"/>
        <w:rPr>
          <w:rFonts w:hint="eastAsia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2.身份验证环节流失严重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身份验证环节流失率达{{identityChurnRate}}%，是本场景流失最严重的环节，需重点优化，建议针对性改进该环节的服务能力和响应效率。</w:t>
      </w:r>
    </w:p>
    <w:p w14:paraId="30325AB5">
      <w:pPr>
        <w:widowControl w:val="0"/>
        <w:spacing w:line="580" w:lineRule="exact"/>
        <w:ind w:firstLine="641" w:firstLineChars="200"/>
        <w:outlineLvl w:val="0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三、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场景优化建议</w:t>
      </w:r>
    </w:p>
    <w:p w14:paraId="37915B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outlineLvl w:val="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流程设计优化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分析：流程完成率仅41.79%，说明超过一半用户未成功完成停电信息查询。结合场景逻辑，主要瓶颈可能出现在“未选择关系库推送户号”后的身份验证环节（用户因验证繁琐或失败而放弃），或关系库匹配后查询结果不符合预期（如无停电信息）导致用户流失。行业案例1：中国移动10086在查询宽带故障时，先根据手机号自动匹配最近报修地址，若匹配失败则直接推送“在线自助排障工具”二维码，用户扫码后通过拍照上传光猫指示灯状态完成验证，全程无需输入户号，验证时长压缩至15秒内，流程完成率提升至68%。行业案例2：招商银行信用卡中心处理账单查询时，若语音渠道无法完成身份验证，系统自动生成临时6位验证码并通过短信发送至预留手机，用户只需在语音中念出验证码即可进入查询，省去输入身份证号等长串信息的步骤，转人工率从18%降至9%。行业案例3：国家电网某省公司上线“停电地图”功能，用户拨打95598后，若关系库匹配失败，系统直接播报用户所在行政区最近3条计划停电信息（基于基站定位），并询问是否需查询其他地址，避免强制验证环节，用户满意度提升22%。</w:t>
      </w:r>
    </w:p>
    <w:p w14:paraId="7D95BB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outlineLvl w:val="0"/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身份验证优化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分析：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身份验证环节是流程断点的重灾区。当前需用户提供地址或户号进行验证，这对未绑定户号或记不住户号的用户极其不友好，极易导致挂机或转人工。建议简化验证方式，引入多模态辅助验证手段。行业案例1：中国联通客服在查询欠费信息时，若用户未注册户号，系统通过询问“您手机号后四位+最近一次充值金额（例如100元）”进行交叉验证，准确率可达95%，且用户无需记忆复杂户号。行业案例2：某省级政务服务平台（如浙里办）处理公积金查询时，支持“人脸识别+声纹”双重验证，用户只需说“我同意进行声纹验证”，系统自动提取声纹特征与档案匹配，3秒内完成，用户放弃率下降37%。行业案例3：南方电网某市供电局在停电查询场景中，对未绑定户号的用户开放“模糊地址匹配”功能，用户说出小区名称和楼栋号（如“阳光花园3栋”），系统自动匹配该区域所有户号并播报停电范围，用户确认后直接展示信息，无需完全精确的户号或地址。</w:t>
      </w:r>
    </w:p>
    <w:sectPr>
      <w:footerReference r:id="rId3" w:type="default"/>
      <w:pgSz w:w="12240" w:h="15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2D71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08A89A">
                          <w:pPr>
                            <w:pStyle w:val="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08A89A">
                    <w:pPr>
                      <w:pStyle w:val="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DFC847"/>
    <w:multiLevelType w:val="singleLevel"/>
    <w:tmpl w:val="BBDFC84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DFF520C"/>
    <w:multiLevelType w:val="singleLevel"/>
    <w:tmpl w:val="FDFF520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FAF5AED"/>
    <w:multiLevelType w:val="singleLevel"/>
    <w:tmpl w:val="7FAF5AE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cxZGZiZDk1ZWU1YzVjYWQ2NWE3Y2ZjMjQwYTQ0NjYifQ=="/>
  </w:docVars>
  <w:rsids>
    <w:rsidRoot w:val="00172A27"/>
    <w:rsid w:val="00083485"/>
    <w:rsid w:val="000A6054"/>
    <w:rsid w:val="0013523E"/>
    <w:rsid w:val="00172A27"/>
    <w:rsid w:val="002975B6"/>
    <w:rsid w:val="003A464D"/>
    <w:rsid w:val="004818F7"/>
    <w:rsid w:val="00562DBE"/>
    <w:rsid w:val="006A0789"/>
    <w:rsid w:val="006B56D7"/>
    <w:rsid w:val="0079015C"/>
    <w:rsid w:val="00991904"/>
    <w:rsid w:val="00991E68"/>
    <w:rsid w:val="00A74610"/>
    <w:rsid w:val="00B33615"/>
    <w:rsid w:val="00C477E6"/>
    <w:rsid w:val="00C947B0"/>
    <w:rsid w:val="00EB486C"/>
    <w:rsid w:val="015525E9"/>
    <w:rsid w:val="017D7AA7"/>
    <w:rsid w:val="02043C9F"/>
    <w:rsid w:val="0363466A"/>
    <w:rsid w:val="03A52321"/>
    <w:rsid w:val="042525B2"/>
    <w:rsid w:val="05F408F6"/>
    <w:rsid w:val="05F47DB0"/>
    <w:rsid w:val="06276E92"/>
    <w:rsid w:val="06346B61"/>
    <w:rsid w:val="06B806F8"/>
    <w:rsid w:val="078C2C48"/>
    <w:rsid w:val="07977ADB"/>
    <w:rsid w:val="080E096C"/>
    <w:rsid w:val="08154732"/>
    <w:rsid w:val="085F4AFD"/>
    <w:rsid w:val="08942749"/>
    <w:rsid w:val="089C76B3"/>
    <w:rsid w:val="08E45A2C"/>
    <w:rsid w:val="09016B0C"/>
    <w:rsid w:val="090D1F23"/>
    <w:rsid w:val="0956743B"/>
    <w:rsid w:val="0A7C0678"/>
    <w:rsid w:val="0A804DCF"/>
    <w:rsid w:val="0C024500"/>
    <w:rsid w:val="0D1B5A8B"/>
    <w:rsid w:val="0E003DB5"/>
    <w:rsid w:val="0E1465B7"/>
    <w:rsid w:val="0EC51299"/>
    <w:rsid w:val="0FBB03FA"/>
    <w:rsid w:val="0FE45282"/>
    <w:rsid w:val="102823F7"/>
    <w:rsid w:val="10DA4AE7"/>
    <w:rsid w:val="10F567FE"/>
    <w:rsid w:val="11A9687C"/>
    <w:rsid w:val="11E253D6"/>
    <w:rsid w:val="130238B1"/>
    <w:rsid w:val="132A0971"/>
    <w:rsid w:val="14096AE0"/>
    <w:rsid w:val="14B91C5D"/>
    <w:rsid w:val="14C43D3E"/>
    <w:rsid w:val="159402CD"/>
    <w:rsid w:val="159D335A"/>
    <w:rsid w:val="16264E10"/>
    <w:rsid w:val="165D73F9"/>
    <w:rsid w:val="18562429"/>
    <w:rsid w:val="18D574DE"/>
    <w:rsid w:val="18DF773A"/>
    <w:rsid w:val="190804BD"/>
    <w:rsid w:val="191A1BAB"/>
    <w:rsid w:val="191C48B9"/>
    <w:rsid w:val="1A255CB6"/>
    <w:rsid w:val="1B5856CB"/>
    <w:rsid w:val="1D3D00C7"/>
    <w:rsid w:val="1DCC1CCC"/>
    <w:rsid w:val="1EAA6C1B"/>
    <w:rsid w:val="1EE50885"/>
    <w:rsid w:val="1F5B38F7"/>
    <w:rsid w:val="20CF223F"/>
    <w:rsid w:val="211E41C1"/>
    <w:rsid w:val="223E5AA2"/>
    <w:rsid w:val="225F2652"/>
    <w:rsid w:val="22F16B48"/>
    <w:rsid w:val="23064581"/>
    <w:rsid w:val="23981A77"/>
    <w:rsid w:val="23EC52EA"/>
    <w:rsid w:val="258402BB"/>
    <w:rsid w:val="26046F88"/>
    <w:rsid w:val="26465913"/>
    <w:rsid w:val="26A43AE7"/>
    <w:rsid w:val="27251857"/>
    <w:rsid w:val="274330C5"/>
    <w:rsid w:val="278B529C"/>
    <w:rsid w:val="279964F5"/>
    <w:rsid w:val="27C87EFE"/>
    <w:rsid w:val="280D7FDB"/>
    <w:rsid w:val="28C55E53"/>
    <w:rsid w:val="2A186937"/>
    <w:rsid w:val="2A952DE9"/>
    <w:rsid w:val="2ABB6FE0"/>
    <w:rsid w:val="2AEF5CB0"/>
    <w:rsid w:val="2B885A09"/>
    <w:rsid w:val="2BDA7EC6"/>
    <w:rsid w:val="2CC97BA8"/>
    <w:rsid w:val="2D73796F"/>
    <w:rsid w:val="2F440A7D"/>
    <w:rsid w:val="2F83618D"/>
    <w:rsid w:val="32155A45"/>
    <w:rsid w:val="33AA05E8"/>
    <w:rsid w:val="34DA132D"/>
    <w:rsid w:val="35023956"/>
    <w:rsid w:val="355C0B95"/>
    <w:rsid w:val="365876E5"/>
    <w:rsid w:val="3748366A"/>
    <w:rsid w:val="37820023"/>
    <w:rsid w:val="388F4D2E"/>
    <w:rsid w:val="389C63E4"/>
    <w:rsid w:val="38D23063"/>
    <w:rsid w:val="3977437C"/>
    <w:rsid w:val="3B801619"/>
    <w:rsid w:val="3BE5386D"/>
    <w:rsid w:val="3C9F75E4"/>
    <w:rsid w:val="3CA03955"/>
    <w:rsid w:val="3DFE2257"/>
    <w:rsid w:val="3EAF2BD8"/>
    <w:rsid w:val="3F5A46E2"/>
    <w:rsid w:val="402F03C5"/>
    <w:rsid w:val="407A1C01"/>
    <w:rsid w:val="422705C8"/>
    <w:rsid w:val="430C45F6"/>
    <w:rsid w:val="43160124"/>
    <w:rsid w:val="435D207B"/>
    <w:rsid w:val="4366787A"/>
    <w:rsid w:val="4389357C"/>
    <w:rsid w:val="44283F2C"/>
    <w:rsid w:val="44957791"/>
    <w:rsid w:val="45042962"/>
    <w:rsid w:val="45103F64"/>
    <w:rsid w:val="46A51F50"/>
    <w:rsid w:val="470F2694"/>
    <w:rsid w:val="482E21F9"/>
    <w:rsid w:val="486B584C"/>
    <w:rsid w:val="48B93621"/>
    <w:rsid w:val="4A001B11"/>
    <w:rsid w:val="4A377FB0"/>
    <w:rsid w:val="4A55503E"/>
    <w:rsid w:val="4A5E2A7F"/>
    <w:rsid w:val="4A9278F3"/>
    <w:rsid w:val="4AA9514C"/>
    <w:rsid w:val="4BEF57F7"/>
    <w:rsid w:val="4C121F2F"/>
    <w:rsid w:val="4C144C63"/>
    <w:rsid w:val="4C5C6C4F"/>
    <w:rsid w:val="4DC73C17"/>
    <w:rsid w:val="4E3A0C45"/>
    <w:rsid w:val="4E7858CE"/>
    <w:rsid w:val="4F4C0437"/>
    <w:rsid w:val="502152C2"/>
    <w:rsid w:val="505239E5"/>
    <w:rsid w:val="50523EFE"/>
    <w:rsid w:val="50883771"/>
    <w:rsid w:val="512820C1"/>
    <w:rsid w:val="513F1601"/>
    <w:rsid w:val="520C23DD"/>
    <w:rsid w:val="526667F4"/>
    <w:rsid w:val="52BB7245"/>
    <w:rsid w:val="52C20EB8"/>
    <w:rsid w:val="536350F0"/>
    <w:rsid w:val="54056083"/>
    <w:rsid w:val="546C4AF4"/>
    <w:rsid w:val="5479694A"/>
    <w:rsid w:val="55150E4B"/>
    <w:rsid w:val="57A63ADE"/>
    <w:rsid w:val="585B645F"/>
    <w:rsid w:val="58DB489D"/>
    <w:rsid w:val="594A6823"/>
    <w:rsid w:val="59843BF7"/>
    <w:rsid w:val="59CC3916"/>
    <w:rsid w:val="5A4D6179"/>
    <w:rsid w:val="5C543A33"/>
    <w:rsid w:val="5CBA7F0A"/>
    <w:rsid w:val="5E571468"/>
    <w:rsid w:val="5E573476"/>
    <w:rsid w:val="5F9B0B87"/>
    <w:rsid w:val="605709D1"/>
    <w:rsid w:val="609572EF"/>
    <w:rsid w:val="643046B3"/>
    <w:rsid w:val="6512706A"/>
    <w:rsid w:val="670E7419"/>
    <w:rsid w:val="680D3E3E"/>
    <w:rsid w:val="68C24BA5"/>
    <w:rsid w:val="68CD37C4"/>
    <w:rsid w:val="6ACA4833"/>
    <w:rsid w:val="6AD65DB5"/>
    <w:rsid w:val="6B065D4E"/>
    <w:rsid w:val="6CD43F38"/>
    <w:rsid w:val="6D7A48F2"/>
    <w:rsid w:val="6D9504DF"/>
    <w:rsid w:val="6DF15151"/>
    <w:rsid w:val="70B64A2B"/>
    <w:rsid w:val="70C503B0"/>
    <w:rsid w:val="71807649"/>
    <w:rsid w:val="71880686"/>
    <w:rsid w:val="71A62140"/>
    <w:rsid w:val="722441A8"/>
    <w:rsid w:val="72557099"/>
    <w:rsid w:val="726104B3"/>
    <w:rsid w:val="73AA3DC4"/>
    <w:rsid w:val="74087244"/>
    <w:rsid w:val="74432166"/>
    <w:rsid w:val="74D91139"/>
    <w:rsid w:val="765208CB"/>
    <w:rsid w:val="76553046"/>
    <w:rsid w:val="76AD6D6C"/>
    <w:rsid w:val="7BAC4DC1"/>
    <w:rsid w:val="7C085218"/>
    <w:rsid w:val="7C1E5D15"/>
    <w:rsid w:val="7C313C4D"/>
    <w:rsid w:val="7C713AFE"/>
    <w:rsid w:val="7C8007CD"/>
    <w:rsid w:val="7CAF2AAD"/>
    <w:rsid w:val="7CB639C9"/>
    <w:rsid w:val="7D156583"/>
    <w:rsid w:val="7E4A06F9"/>
    <w:rsid w:val="7E9F6EB3"/>
    <w:rsid w:val="7EC7141D"/>
    <w:rsid w:val="7F541FE9"/>
    <w:rsid w:val="7FC05166"/>
    <w:rsid w:val="FAEFB20F"/>
    <w:rsid w:val="FDAF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Body Text"/>
    <w:basedOn w:val="1"/>
    <w:next w:val="1"/>
    <w:semiHidden/>
    <w:unhideWhenUsed/>
    <w:qFormat/>
    <w:uiPriority w:val="99"/>
    <w:pPr>
      <w:spacing w:after="12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annotation subject"/>
    <w:basedOn w:val="2"/>
    <w:next w:val="2"/>
    <w:link w:val="14"/>
    <w:qFormat/>
    <w:uiPriority w:val="0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annotation reference"/>
    <w:basedOn w:val="9"/>
    <w:qFormat/>
    <w:uiPriority w:val="0"/>
    <w:rPr>
      <w:sz w:val="21"/>
      <w:szCs w:val="21"/>
    </w:rPr>
  </w:style>
  <w:style w:type="paragraph" w:customStyle="1" w:styleId="12">
    <w:name w:val="列出段落11"/>
    <w:basedOn w:val="1"/>
    <w:qFormat/>
    <w:uiPriority w:val="0"/>
    <w:pPr>
      <w:ind w:firstLine="420" w:firstLineChars="200"/>
    </w:pPr>
    <w:rPr>
      <w:rFonts w:ascii="Calibri" w:hAnsi="Calibri" w:cs="Calibri"/>
    </w:rPr>
  </w:style>
  <w:style w:type="character" w:customStyle="1" w:styleId="13">
    <w:name w:val="批注文字 字符"/>
    <w:basedOn w:val="9"/>
    <w:link w:val="2"/>
    <w:semiHidden/>
    <w:uiPriority w:val="99"/>
    <w:rPr>
      <w:rFonts w:asciiTheme="minorHAnsi" w:hAnsiTheme="minorHAnsi" w:cstheme="minorBidi"/>
      <w:kern w:val="2"/>
      <w:sz w:val="21"/>
    </w:rPr>
  </w:style>
  <w:style w:type="character" w:customStyle="1" w:styleId="14">
    <w:name w:val="批注主题 字符"/>
    <w:basedOn w:val="13"/>
    <w:link w:val="6"/>
    <w:qFormat/>
    <w:uiPriority w:val="0"/>
    <w:rPr>
      <w:rFonts w:asciiTheme="minorHAnsi" w:hAnsiTheme="minorHAnsi" w:cstheme="minorBidi"/>
      <w:b/>
      <w:bCs/>
      <w:kern w:val="2"/>
      <w:sz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1138</Words>
  <Characters>1209</Characters>
  <Lines>34</Lines>
  <Paragraphs>9</Paragraphs>
  <TotalTime>0</TotalTime>
  <ScaleCrop>false</ScaleCrop>
  <LinksUpToDate>false</LinksUpToDate>
  <CharactersWithSpaces>1213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2026-03-13T16:17:00Z</dcterms:created>
  <dc:creator>gwkf</dc:creator>
  <cp:lastModifiedBy>马春悦</cp:lastModifiedBy>
  <cp:lastPrinted>2026-03-07T06:31:00Z</cp:lastPrinted>
  <dcterms:modified xsi:type="dcterms:W3CDTF">2026-06-24T23:29:57Z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737E5B31FEA74540BB40F220DAF1BF00</vt:lpwstr>
  </property>
  <property fmtid="{D5CDD505-2E9C-101B-9397-08002B2CF9AE}" pid="4" name="KSOTemplateDocerSaveRecord">
    <vt:lpwstr>eyJoZGlkIjoiNzYwMjAxYWQ1N2NjYzI1YTIwZTIzNWEwOWM5MmYyZmMiLCJ1c2VySWQiOiI1MDE4NTYzOTcifQ==</vt:lpwstr>
  </property>
</Properties>
</file>