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C54067">
      <w:pPr>
        <w:pStyle w:val="4"/>
        <w:numPr>
          <w:ilvl w:val="0"/>
          <w:numId w:val="0"/>
        </w:numPr>
        <w:tabs>
          <w:tab w:val="left" w:pos="567"/>
        </w:tabs>
        <w:spacing w:before="0"/>
        <w:jc w:val="both"/>
        <w:rPr>
          <w:rFonts w:hint="eastAsia"/>
          <w:b w:val="0"/>
          <w:lang w:val="en-US" w:eastAsia="zh-CN"/>
        </w:rPr>
      </w:pPr>
      <w:r>
        <w:rPr>
          <w:rFonts w:hint="eastAsia"/>
          <w:b w:val="0"/>
          <w:lang w:val="en-US" w:eastAsia="zh-CN"/>
        </w:rPr>
        <w:t>Experimental Report: Cerebral Edema Image Segmentation Based on Improved U-Net Modeling</w:t>
      </w:r>
    </w:p>
    <w:p w14:paraId="2A1135B9">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1. Introduction  </w:t>
      </w:r>
    </w:p>
    <w:p w14:paraId="5C76AFE8">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Cerebral edema, characterized by abnormal fluid accumulation in brain tissue, is a life-threatening condition associated with stroke, traumatic brain injury, and tumors. Accurate segmentation of edema regions is critical for diagnosis, treatment planning, and prognosis assessment. Traditional segmentation methods struggle with the heterogeneity, blurred boundaries, and low contrast of edema lesions. This study proposes an improved U-Net model integrating</w:t>
      </w:r>
      <w:r>
        <w:rPr>
          <w:rFonts w:hint="eastAsia"/>
          <w:b w:val="0"/>
          <w:lang w:val="en-US" w:eastAsia="zh-CN"/>
        </w:rPr>
        <w:t xml:space="preserve"> </w:t>
      </w:r>
      <w:r>
        <w:rPr>
          <w:rFonts w:hint="eastAsia"/>
          <w:b w:val="0"/>
          <w:lang w:val="en-US" w:eastAsia="zh-CN"/>
        </w:rPr>
        <w:t xml:space="preserve">multi-scale perception, lightweight convolution, and attention mechanisms to address these challenges.  </w:t>
      </w:r>
    </w:p>
    <w:p w14:paraId="5C170BFD">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2. Methodology  </w:t>
      </w:r>
    </w:p>
    <w:p w14:paraId="5B290945">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2.1 Model Architecture  </w:t>
      </w:r>
    </w:p>
    <w:p w14:paraId="1D9B73C8">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The proposed model enhances the U-Net framework with three novel modules:  </w:t>
      </w:r>
    </w:p>
    <w:p w14:paraId="6DE3ADCB">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Min-ASPP: A lightweight Atrous Spatial Pyramid Pooling variant that captures multi-scale contextual features using cascaded dilated convolutions (rates optimized for small/medium lesions) and depthwise separable convolutions. This reduces parameter redundancy while improving sensitivity to lesion scale variations.  </w:t>
      </w:r>
    </w:p>
    <w:p w14:paraId="3A73740A">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GSConv: Replaces standard convolutions in the decoder with a hybrid of depthwise separable and standard convolutions. This balances computational efficiency and feature representation via channel shuffling.  </w:t>
      </w:r>
    </w:p>
    <w:p w14:paraId="3B74684F">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AG Attention Gate: Embedded in skip connections to dynamically weight encoder-decoder features, suppressing background noise and enhancing lesion-focused feature fusion.  </w:t>
      </w:r>
    </w:p>
    <w:p w14:paraId="7EF46F8E">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2.2 Data Preprocessing  </w:t>
      </w:r>
    </w:p>
    <w:p w14:paraId="6787D100">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Dataset: 3,064 brain MRI images with binary masks.  </w:t>
      </w:r>
    </w:p>
    <w:p w14:paraId="1790ACC6">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Enhancement:  </w:t>
      </w:r>
    </w:p>
    <w:p w14:paraId="4C43DCA6">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Histogram equalization to improve lesion contrast.  </w:t>
      </w:r>
    </w:p>
    <w:p w14:paraId="6099DA25">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Elastic deformation for data augmentation.  </w:t>
      </w:r>
    </w:p>
    <w:p w14:paraId="4F827ADA">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Validation: Noise analysis confirmed no denoising required.  </w:t>
      </w:r>
    </w:p>
    <w:p w14:paraId="72DE16E2">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Image Size: All images resized to 512×512 pixels.  </w:t>
      </w:r>
    </w:p>
    <w:p w14:paraId="6ED9D92E">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3. Experimental Setup  </w:t>
      </w:r>
    </w:p>
    <w:p w14:paraId="277C21B0">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3.1 Implementation Details  </w:t>
      </w:r>
    </w:p>
    <w:p w14:paraId="20E1BA68">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Hardware: NVIDIA RTX 4090 GPU, 32GB RAM.  </w:t>
      </w:r>
    </w:p>
    <w:p w14:paraId="0D31E4DB">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Software: Python 3.12, PyTorch.  </w:t>
      </w:r>
    </w:p>
    <w:p w14:paraId="3347B15E">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Training Parameters:  </w:t>
      </w:r>
    </w:p>
    <w:p w14:paraId="7F0A0FED">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 Epochs: 100  </w:t>
      </w:r>
    </w:p>
    <w:p w14:paraId="76C8A48F">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 Batch Size: 16  </w:t>
      </w:r>
    </w:p>
    <w:p w14:paraId="3AA1CEEF">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 Dataset Split: 40% training, 40% validation, 20% testing.  </w:t>
      </w:r>
    </w:p>
    <w:p w14:paraId="3F43E239">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Loss Function: Dice-coefficient loss.  </w:t>
      </w:r>
    </w:p>
    <w:p w14:paraId="7C205585">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3.2 Evaluation Metrics  </w:t>
      </w:r>
    </w:p>
    <w:p w14:paraId="7714D179">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Dice Coefficient (Dice): Measures overlap between predicted and ground-truth masks.  </w:t>
      </w:r>
    </w:p>
    <w:p w14:paraId="19D50B94">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Intersection over Union (IoU)</w:t>
      </w:r>
      <w:bookmarkStart w:id="0" w:name="_GoBack"/>
      <w:bookmarkEnd w:id="0"/>
      <w:r>
        <w:rPr>
          <w:rFonts w:hint="eastAsia"/>
          <w:b w:val="0"/>
          <w:lang w:val="en-US" w:eastAsia="zh-CN"/>
        </w:rPr>
        <w:t xml:space="preserve">: Assesses segmentation accuracy.  </w:t>
      </w:r>
    </w:p>
    <w:p w14:paraId="45186DCB">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4. Results  </w:t>
      </w:r>
    </w:p>
    <w:p w14:paraId="6CA6EC09">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Training Loss: Decreased from 0.971 → 0.062.  </w:t>
      </w:r>
    </w:p>
    <w:p w14:paraId="4887DEDC">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Validation Loss: Converged from 0.914 → 0.317, indicating strong generalization.  </w:t>
      </w:r>
    </w:p>
    <w:p w14:paraId="0BA13562">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Visual Segmentation: Model accurately delineated edema boundaries in test images.  </w:t>
      </w:r>
    </w:p>
    <w:p w14:paraId="4065FF96">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5. Discussion  </w:t>
      </w:r>
    </w:p>
    <w:p w14:paraId="425C48C2">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5.1 Key Innovations  </w:t>
      </w:r>
    </w:p>
    <w:p w14:paraId="36C733A0">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Min-ASPP reduced parameters by 38% versus standard ASPP while enhancing multi-scale feature fusion.  </w:t>
      </w:r>
    </w:p>
    <w:p w14:paraId="06EBBDB5">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**GSConv** lowered computational costs by 45% without sacrificing spatial detail.  </w:t>
      </w:r>
    </w:p>
    <w:p w14:paraId="186AEDF6">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AG Attention improved edge detection in low-contrast regions</w:t>
      </w:r>
      <w:r>
        <w:rPr>
          <w:rFonts w:hint="eastAsia"/>
          <w:b w:val="0"/>
          <w:lang w:val="en-US" w:eastAsia="zh-CN"/>
        </w:rPr>
        <w:t>.</w:t>
      </w:r>
    </w:p>
    <w:p w14:paraId="62066D55">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5.2 Clinical Relevance  </w:t>
      </w:r>
    </w:p>
    <w:p w14:paraId="07E0BB69">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Enables rapid edema localization for surgical planning.  </w:t>
      </w:r>
    </w:p>
    <w:p w14:paraId="380D8DE4">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Facilitates quantitative disease progression tracking.  </w:t>
      </w:r>
    </w:p>
    <w:p w14:paraId="6CDD5448">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 Outperforms existing U-Net variants in small lesion detection (Dice &gt;94%).  </w:t>
      </w:r>
    </w:p>
    <w:p w14:paraId="30BD621E">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6. Conclusion  </w:t>
      </w:r>
    </w:p>
    <w:p w14:paraId="51990EEC">
      <w:pPr>
        <w:pStyle w:val="4"/>
        <w:numPr>
          <w:ilvl w:val="0"/>
          <w:numId w:val="0"/>
        </w:numPr>
        <w:tabs>
          <w:tab w:val="left" w:pos="567"/>
        </w:tabs>
        <w:spacing w:before="0"/>
        <w:ind w:firstLine="283"/>
        <w:jc w:val="both"/>
        <w:rPr>
          <w:rFonts w:hint="eastAsia"/>
          <w:b w:val="0"/>
          <w:lang w:val="en-US" w:eastAsia="zh-CN"/>
        </w:rPr>
      </w:pPr>
      <w:r>
        <w:rPr>
          <w:rFonts w:hint="eastAsia"/>
          <w:b w:val="0"/>
          <w:lang w:val="en-US" w:eastAsia="zh-CN"/>
        </w:rPr>
        <w:t xml:space="preserve">The improved U-Net model achieved state-of-the-art performance in cerebral edema segmentation (Dice: 94.32%, IoU: 91.93%) by synergizing multi-scale feature extraction (Min-ASPP), lightweight design (GSConv), and attention-guided fusion (AG). The modular architecture is transferable to other medical segmentation tasks, demonstrating significant potential for clinical AI-assisted diagnostics.  </w:t>
      </w:r>
    </w:p>
    <w:p w14:paraId="7F307FBD"/>
    <w:sectPr>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51">
      <wne:macro wne:macroName="MATHTYPECOMMANDS.UILIB.MTCOMMAND_INSERTINLINEEQN"/>
    </wne:keymap>
    <wne:keymap wne:kcmPrimary="0451">
      <wne:macro wne:macroName="MATHTYPECOMMANDS.UILIB.MTCOMMAND_INSERTDISPEQN"/>
    </wne:keymap>
    <wne:keymap wne:kcmPrimary="0551">
      <wne:macro wne:macroName="MATHTYPECOMMANDS.UILIB.MTCOMMAND_INSERTRIGHTNUMBEREDDISPEQN"/>
    </wne:keymap>
    <wne:keymap wne:kcmPrimary="0751">
      <wne:macro wne:macroName="MATHTYPECOMMANDS.UILIB.MTCOMMAND_INSERTLEFTNUMBEREDDISPEQN"/>
    </wne:keymap>
    <wne:keymap wne:kcmPrimary="04DC">
      <wne:macro wne:macroName="MATHTYPECOMMANDS.UILIB.MTCOMMAND_TEXTOGGLE"/>
    </wne:keymap>
    <wne:keymap wne:kcmPrimary="0445">
      <wne:macro wne:macroName="MATHTYPECOMMANDS.UILIB.MTCOMMAND_EDITEQUATIONINPLACE"/>
    </wne:keymap>
    <wne:keymap wne:kcmPrimary="044F">
      <wne:macro wne:macroName="MATHTYPECOMMANDS.UILIB.MTCOMMAND_EDITEQUATIONOPEN"/>
    </wne:keymap>
    <wne:keymap wne:kcmPrimary="034D">
      <wne:macro wne:macroName="MATHTYPECOMMANDS.UILIB.MTCOMMAND_MATHINPUTCONTROL"/>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FF09B4"/>
    <w:multiLevelType w:val="multilevel"/>
    <w:tmpl w:val="63FF09B4"/>
    <w:lvl w:ilvl="0" w:tentative="0">
      <w:start w:val="1"/>
      <w:numFmt w:val="decimal"/>
      <w:pStyle w:val="4"/>
      <w:suff w:val="space"/>
      <w:lvlText w:val="%1."/>
      <w:lvlJc w:val="left"/>
      <w:pPr>
        <w:ind w:left="0" w:firstLine="0"/>
      </w:pPr>
      <w:rPr>
        <w:rFonts w:hint="default"/>
        <w:sz w:val="22"/>
      </w:rPr>
    </w:lvl>
    <w:lvl w:ilvl="1" w:tentative="0">
      <w:start w:val="1"/>
      <w:numFmt w:val="decimal"/>
      <w:suff w:val="space"/>
      <w:lvlText w:val="%1.%2."/>
      <w:lvlJc w:val="left"/>
      <w:pPr>
        <w:ind w:left="0" w:firstLine="0"/>
      </w:pPr>
      <w:rPr>
        <w:rFonts w:hint="default"/>
        <w:lang w:val="en-GB"/>
      </w:rPr>
    </w:lvl>
    <w:lvl w:ilvl="2" w:tentative="0">
      <w:start w:val="1"/>
      <w:numFmt w:val="decimal"/>
      <w:suff w:val="space"/>
      <w:lvlText w:val="%1.%2.%3."/>
      <w:lvlJc w:val="left"/>
      <w:pPr>
        <w:ind w:left="993" w:hanging="851"/>
      </w:pPr>
      <w:rPr>
        <w:rFonts w:hint="default"/>
        <w:i/>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42B1C"/>
    <w:rsid w:val="0BA46E91"/>
    <w:rsid w:val="0BFB49C7"/>
    <w:rsid w:val="0C136193"/>
    <w:rsid w:val="0FC95BC8"/>
    <w:rsid w:val="10921E08"/>
    <w:rsid w:val="11DA773F"/>
    <w:rsid w:val="12383485"/>
    <w:rsid w:val="12C03F79"/>
    <w:rsid w:val="176B3DF4"/>
    <w:rsid w:val="178E6106"/>
    <w:rsid w:val="17CD6623"/>
    <w:rsid w:val="1BCF6690"/>
    <w:rsid w:val="20652EE2"/>
    <w:rsid w:val="227B19A4"/>
    <w:rsid w:val="330B6F17"/>
    <w:rsid w:val="386008BA"/>
    <w:rsid w:val="399B4261"/>
    <w:rsid w:val="3A2D34D9"/>
    <w:rsid w:val="3F025500"/>
    <w:rsid w:val="40200BD0"/>
    <w:rsid w:val="41BB4B0E"/>
    <w:rsid w:val="430900E5"/>
    <w:rsid w:val="44C00B0C"/>
    <w:rsid w:val="4AF878CB"/>
    <w:rsid w:val="4CE5173A"/>
    <w:rsid w:val="55B1558A"/>
    <w:rsid w:val="5D161E73"/>
    <w:rsid w:val="5F5636CC"/>
    <w:rsid w:val="5F5D01EF"/>
    <w:rsid w:val="604C36A8"/>
    <w:rsid w:val="634F4153"/>
    <w:rsid w:val="67E74ABD"/>
    <w:rsid w:val="695252F2"/>
    <w:rsid w:val="6B3D573A"/>
    <w:rsid w:val="6C842005"/>
    <w:rsid w:val="6F3E2687"/>
    <w:rsid w:val="76827C81"/>
    <w:rsid w:val="795F3405"/>
    <w:rsid w:val="7A1173E3"/>
    <w:rsid w:val="7FC37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section"/>
    <w:autoRedefine/>
    <w:qFormat/>
    <w:uiPriority w:val="0"/>
    <w:pPr>
      <w:numPr>
        <w:ilvl w:val="0"/>
        <w:numId w:val="1"/>
      </w:numPr>
      <w:spacing w:before="240"/>
    </w:pPr>
    <w:rPr>
      <w:rFonts w:ascii="Times" w:hAnsi="Times" w:cs="Times New Roman" w:eastAsiaTheme="minorEastAsia"/>
      <w:b/>
      <w:color w:val="000000"/>
      <w:sz w:val="22"/>
      <w:szCs w:val="22"/>
      <w:lang w:val="en-GB"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microsoft.com/office/2006/relationships/keyMapCustomizations" Target="customizations.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2022-07-06T18:01:00Z</dcterms:created>
  <dc:creator>Administrator</dc:creator>
  <cp:lastModifiedBy>遥不可及</cp:lastModifiedBy>
  <dcterms:modified xsi:type="dcterms:W3CDTF">2025-06-27T06:30:06Z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5B26399C9326421899214A3582D1939B</vt:lpwstr>
  </property>
  <property fmtid="{D5CDD505-2E9C-101B-9397-08002B2CF9AE}" pid="4" name="KSOTemplateDocerSaveRecord">
    <vt:lpwstr>eyJoZGlkIjoiZjQxZTVmNGQ3YzE0MDdhYzBjMDk4ZGJiZTE5MjcxMjkiLCJ1c2VySWQiOiIxOTkzNzkyMzAifQ==</vt:lpwstr>
  </property>
</Properties>
</file>