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微软雅黑" w:hAnsi="微软雅黑" w:eastAsia="微软雅黑"/>
          <w:b/>
          <w:color w:val="00467F"/>
          <w:sz w:val="40"/>
        </w:rPr>
        <w:t>首届全国大学生人工智能+大赛</w:t>
      </w:r>
    </w:p>
    <w:p>
      <w:pPr>
        <w:spacing w:after="320"/>
        <w:jc w:val="center"/>
      </w:pPr>
      <w:r>
        <w:rPr>
          <w:rFonts w:ascii="微软雅黑" w:hAnsi="微软雅黑" w:eastAsia="微软雅黑"/>
          <w:b/>
          <w:color w:val="0064A0"/>
          <w:sz w:val="36"/>
        </w:rPr>
        <w:t>作品说明文档</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323"/>
        <w:gridCol w:w="4323"/>
      </w:tblGrid>
      <w:tr>
        <w:tc>
          <w:tcPr>
            <w:tcW w:type="dxa" w:w="1984"/>
            <w:shd w:fill="E8F4FD" w:val="clear"/>
          </w:tcPr>
          <w:p>
            <w:pPr>
              <w:jc w:val="center"/>
            </w:pPr>
            <w:r/>
            <w:r>
              <w:rPr>
                <w:rFonts w:ascii="微软雅黑" w:hAnsi="微软雅黑" w:eastAsia="微软雅黑"/>
                <w:b/>
                <w:sz w:val="20"/>
              </w:rPr>
              <w:t>作品名称</w:t>
            </w:r>
          </w:p>
        </w:tc>
        <w:tc>
          <w:tcPr>
            <w:tcW w:type="dxa" w:w="6803"/>
          </w:tcPr>
          <w:p>
            <w:pPr>
              <w:jc w:val="left"/>
            </w:pPr>
            <w:r/>
            <w:r>
              <w:rPr>
                <w:rFonts w:ascii="微软雅黑" w:hAnsi="微软雅黑" w:eastAsia="微软雅黑"/>
                <w:b w:val="0"/>
                <w:sz w:val="20"/>
              </w:rPr>
              <w:t>LandfillMind — 基于双引擎纠偏架构的生活垃圾填埋场智能诊断平台</w:t>
            </w:r>
          </w:p>
        </w:tc>
      </w:tr>
      <w:tr>
        <w:tc>
          <w:tcPr>
            <w:tcW w:type="dxa" w:w="1984"/>
            <w:shd w:fill="E8F4FD" w:val="clear"/>
          </w:tcPr>
          <w:p>
            <w:pPr>
              <w:jc w:val="center"/>
            </w:pPr>
            <w:r/>
            <w:r>
              <w:rPr>
                <w:rFonts w:ascii="微软雅黑" w:hAnsi="微软雅黑" w:eastAsia="微软雅黑"/>
                <w:b/>
                <w:sz w:val="20"/>
              </w:rPr>
              <w:t>赛道类别</w:t>
            </w:r>
          </w:p>
        </w:tc>
        <w:tc>
          <w:tcPr>
            <w:tcW w:type="dxa" w:w="6803"/>
          </w:tcPr>
          <w:p>
            <w:pPr>
              <w:jc w:val="left"/>
            </w:pPr>
            <w:r/>
            <w:r>
              <w:rPr>
                <w:rFonts w:ascii="微软雅黑" w:hAnsi="微软雅黑" w:eastAsia="微软雅黑"/>
                <w:b w:val="0"/>
                <w:sz w:val="20"/>
              </w:rPr>
              <w:t>人工智能+ 安全生产（智慧应急方向）</w:t>
            </w:r>
          </w:p>
        </w:tc>
      </w:tr>
      <w:tr>
        <w:tc>
          <w:tcPr>
            <w:tcW w:type="dxa" w:w="1984"/>
            <w:shd w:fill="E8F4FD" w:val="clear"/>
          </w:tcPr>
          <w:p>
            <w:pPr>
              <w:jc w:val="center"/>
            </w:pPr>
            <w:r/>
            <w:r>
              <w:rPr>
                <w:rFonts w:ascii="微软雅黑" w:hAnsi="微软雅黑" w:eastAsia="微软雅黑"/>
                <w:b/>
                <w:sz w:val="20"/>
              </w:rPr>
              <w:t>团队名称</w:t>
            </w:r>
          </w:p>
        </w:tc>
        <w:tc>
          <w:tcPr>
            <w:tcW w:type="dxa" w:w="6803"/>
          </w:tcPr>
          <w:p>
            <w:pPr>
              <w:jc w:val="left"/>
            </w:pPr>
            <w:r/>
            <w:r>
              <w:rPr>
                <w:rFonts w:ascii="微软雅黑" w:hAnsi="微软雅黑" w:eastAsia="微软雅黑"/>
                <w:b w:val="0"/>
                <w:sz w:val="20"/>
              </w:rPr>
              <w:t>山海之子（Son of the SEA）</w:t>
            </w:r>
          </w:p>
        </w:tc>
      </w:tr>
      <w:tr>
        <w:tc>
          <w:tcPr>
            <w:tcW w:type="dxa" w:w="1984"/>
            <w:shd w:fill="E8F4FD" w:val="clear"/>
          </w:tcPr>
          <w:p>
            <w:pPr>
              <w:jc w:val="center"/>
            </w:pPr>
            <w:r/>
            <w:r>
              <w:rPr>
                <w:rFonts w:ascii="微软雅黑" w:hAnsi="微软雅黑" w:eastAsia="微软雅黑"/>
                <w:b/>
                <w:sz w:val="20"/>
              </w:rPr>
              <w:t>作品负责人</w:t>
            </w:r>
          </w:p>
        </w:tc>
        <w:tc>
          <w:tcPr>
            <w:tcW w:type="dxa" w:w="6803"/>
          </w:tcPr>
          <w:p>
            <w:pPr>
              <w:jc w:val="left"/>
            </w:pPr>
            <w:r/>
            <w:r>
              <w:rPr>
                <w:rFonts w:ascii="微软雅黑" w:hAnsi="微软雅黑" w:eastAsia="微软雅黑"/>
                <w:b w:val="0"/>
                <w:sz w:val="20"/>
              </w:rPr>
              <w:t>郑杰</w:t>
            </w:r>
          </w:p>
        </w:tc>
      </w:tr>
      <w:tr>
        <w:tc>
          <w:tcPr>
            <w:tcW w:type="dxa" w:w="1984"/>
            <w:shd w:fill="E8F4FD" w:val="clear"/>
          </w:tcPr>
          <w:p>
            <w:pPr>
              <w:jc w:val="center"/>
            </w:pPr>
            <w:r/>
            <w:r>
              <w:rPr>
                <w:rFonts w:ascii="微软雅黑" w:hAnsi="微软雅黑" w:eastAsia="微软雅黑"/>
                <w:b/>
                <w:sz w:val="20"/>
              </w:rPr>
              <w:t>作品版本</w:t>
            </w:r>
          </w:p>
        </w:tc>
        <w:tc>
          <w:tcPr>
            <w:tcW w:type="dxa" w:w="6803"/>
          </w:tcPr>
          <w:p>
            <w:pPr>
              <w:jc w:val="left"/>
            </w:pPr>
            <w:r/>
            <w:r>
              <w:rPr>
                <w:rFonts w:ascii="微软雅黑" w:hAnsi="微软雅黑" w:eastAsia="微软雅黑"/>
                <w:b w:val="0"/>
                <w:sz w:val="20"/>
              </w:rPr>
              <w:t>v4.2</w:t>
            </w:r>
          </w:p>
        </w:tc>
      </w:tr>
      <w:tr>
        <w:tc>
          <w:tcPr>
            <w:tcW w:type="dxa" w:w="1984"/>
            <w:shd w:fill="E8F4FD" w:val="clear"/>
          </w:tcPr>
          <w:p>
            <w:pPr>
              <w:jc w:val="center"/>
            </w:pPr>
            <w:r/>
            <w:r>
              <w:rPr>
                <w:rFonts w:ascii="微软雅黑" w:hAnsi="微软雅黑" w:eastAsia="微软雅黑"/>
                <w:b/>
                <w:sz w:val="20"/>
              </w:rPr>
              <w:t>提交日期</w:t>
            </w:r>
          </w:p>
        </w:tc>
        <w:tc>
          <w:tcPr>
            <w:tcW w:type="dxa" w:w="6803"/>
          </w:tcPr>
          <w:p>
            <w:pPr>
              <w:jc w:val="left"/>
            </w:pPr>
            <w:r/>
            <w:r>
              <w:rPr>
                <w:rFonts w:ascii="微软雅黑" w:hAnsi="微软雅黑" w:eastAsia="微软雅黑"/>
                <w:b w:val="0"/>
                <w:sz w:val="20"/>
              </w:rPr>
              <w:t>2026年8月</w:t>
            </w:r>
          </w:p>
        </w:tc>
      </w:tr>
    </w:tbl>
    <w:p/>
    <w:p>
      <w:pPr>
        <w:spacing w:before="240" w:after="120"/>
        <w:jc w:val="left"/>
      </w:pPr>
      <w:r>
        <w:rPr>
          <w:rFonts w:ascii="微软雅黑" w:hAnsi="微软雅黑" w:eastAsia="微软雅黑"/>
          <w:b/>
          <w:color w:val="00467F"/>
          <w:sz w:val="28"/>
        </w:rPr>
        <w:t>1. 作品概述</w:t>
      </w:r>
    </w:p>
    <w:p>
      <w:pPr>
        <w:spacing w:line="324" w:lineRule="auto" w:after="80"/>
        <w:ind w:firstLine="420"/>
      </w:pPr>
      <w:r>
        <w:rPr>
          <w:rFonts w:ascii="微软雅黑" w:hAnsi="微软雅黑" w:eastAsia="微软雅黑"/>
          <w:b w:val="0"/>
          <w:sz w:val="21"/>
        </w:rPr>
        <w:t>LandfillMind 是一款面向生活垃圾填埋场一线运维人员与安全监管人员的智能诊断平台。</w:t>
      </w:r>
      <w:r>
        <w:rPr>
          <w:rFonts w:ascii="微软雅黑" w:hAnsi="微软雅黑" w:eastAsia="微软雅黑"/>
          <w:b w:val="0"/>
          <w:sz w:val="21"/>
        </w:rPr>
        <w:t>当前我国县级及以下填埋场普遍存在专业岩土工程师稀缺、规范查询困难、应急决策滞后等痛点，</w:t>
      </w:r>
      <w:r>
        <w:rPr>
          <w:rFonts w:ascii="微软雅黑" w:hAnsi="微软雅黑" w:eastAsia="微软雅黑"/>
          <w:b w:val="0"/>
          <w:sz w:val="21"/>
        </w:rPr>
        <w:t>传统 LLM 应用在安全关键场景中存在数值幻觉风险，无法直接用于工程决策。</w:t>
      </w:r>
    </w:p>
    <w:p>
      <w:pPr>
        <w:spacing w:line="324" w:lineRule="auto" w:after="80"/>
        <w:ind w:firstLine="420"/>
      </w:pPr>
      <w:r>
        <w:rPr>
          <w:rFonts w:ascii="微软雅黑" w:hAnsi="微软雅黑" w:eastAsia="微软雅黑"/>
          <w:b w:val="0"/>
          <w:sz w:val="21"/>
        </w:rPr>
        <w:t>本作品创新性地提出</w:t>
      </w:r>
      <w:r>
        <w:rPr>
          <w:rFonts w:ascii="微软雅黑" w:hAnsi="微软雅黑" w:eastAsia="微软雅黑"/>
          <w:b/>
          <w:color w:val="C45911"/>
          <w:sz w:val="21"/>
        </w:rPr>
        <w:t>"算—写—校"双引擎纠偏架构</w:t>
      </w:r>
      <w:r>
        <w:rPr>
          <w:rFonts w:ascii="微软雅黑" w:hAnsi="微软雅黑" w:eastAsia="微软雅黑"/>
          <w:b w:val="0"/>
          <w:sz w:val="21"/>
        </w:rPr>
        <w:t>：以 TypeScript 确定性计算内核（14 项专业计算器、500+ 行核心公式）提供无幻觉的工程计算，</w:t>
      </w:r>
      <w:r>
        <w:rPr>
          <w:rFonts w:ascii="微软雅黑" w:hAnsi="微软雅黑" w:eastAsia="微软雅黑"/>
          <w:b w:val="0"/>
          <w:sz w:val="21"/>
        </w:rPr>
        <w:t>以大语言模型（智谱 GLM-4-Flash 免费档）生成自然语言解释报告，再通过交叉复核层自动捕获并纠正 LLM 的数值幻觉。</w:t>
      </w:r>
      <w:r>
        <w:rPr>
          <w:rFonts w:ascii="微软雅黑" w:hAnsi="微软雅黑" w:eastAsia="微软雅黑"/>
          <w:b w:val="0"/>
          <w:sz w:val="21"/>
        </w:rPr>
        <w:t>最终输出红/橙/黄/蓝四级风险评级、规范引用条款、完整计算书和一键应急决策包。</w:t>
      </w:r>
    </w:p>
    <w:p>
      <w:pPr>
        <w:spacing w:line="324" w:lineRule="auto" w:after="80"/>
        <w:ind w:firstLine="420"/>
      </w:pPr>
      <w:r>
        <w:rPr>
          <w:rFonts w:ascii="微软雅黑" w:hAnsi="微软雅黑" w:eastAsia="微软雅黑"/>
          <w:b w:val="0"/>
          <w:sz w:val="21"/>
        </w:rPr>
        <w:t>系统已内置 CJJ 176-2012、GB 16889-2008、HJ 25.6-2019 等 199 条行业规范的 RAG 知识库，</w:t>
      </w:r>
      <w:r>
        <w:rPr>
          <w:rFonts w:ascii="微软雅黑" w:hAnsi="微软雅黑" w:eastAsia="微软雅黑"/>
          <w:b w:val="0"/>
          <w:sz w:val="21"/>
        </w:rPr>
        <w:t>集成边坡稳定、渗滤液、填埋气、地下水 5 路智能体协同研判，支持 Three.js 3D 可视化与 OpenGeoSys 5.5 有限元数值模拟。</w:t>
      </w:r>
      <w:r>
        <w:rPr>
          <w:rFonts w:ascii="微软雅黑" w:hAnsi="微软雅黑" w:eastAsia="微软雅黑"/>
          <w:b w:val="0"/>
          <w:sz w:val="21"/>
        </w:rPr>
        <w:t>全栈 TypeScript，零成本部署于 Render 免费层，形成"专业可信、零成本、开箱即用"的完整解决方案。</w:t>
      </w:r>
    </w:p>
    <w:p>
      <w:pPr>
        <w:spacing w:before="240" w:after="120"/>
        <w:jc w:val="left"/>
      </w:pPr>
      <w:r>
        <w:rPr>
          <w:rFonts w:ascii="微软雅黑" w:hAnsi="微软雅黑" w:eastAsia="微软雅黑"/>
          <w:b/>
          <w:color w:val="00467F"/>
          <w:sz w:val="28"/>
        </w:rPr>
        <w:t>2. 作品内容</w:t>
      </w:r>
    </w:p>
    <w:p>
      <w:pPr>
        <w:spacing w:before="160" w:after="80"/>
        <w:jc w:val="left"/>
      </w:pPr>
      <w:r>
        <w:rPr>
          <w:rFonts w:ascii="微软雅黑" w:hAnsi="微软雅黑" w:eastAsia="微软雅黑"/>
          <w:b/>
          <w:color w:val="0064A0"/>
          <w:sz w:val="24"/>
        </w:rPr>
        <w:t>2.1 需求分析</w:t>
      </w:r>
    </w:p>
    <w:p>
      <w:pPr>
        <w:spacing w:line="324" w:lineRule="auto" w:after="80"/>
        <w:ind w:firstLine="420"/>
      </w:pPr>
      <w:r>
        <w:rPr>
          <w:rFonts w:ascii="微软雅黑" w:hAnsi="微软雅黑" w:eastAsia="微软雅黑"/>
          <w:b w:val="0"/>
          <w:sz w:val="21"/>
        </w:rPr>
        <w:t>我国生活垃圾填埋场超 1800 座，其中县级及以下中小型填埋场占比超过 60%。</w:t>
      </w:r>
      <w:r>
        <w:rPr>
          <w:rFonts w:ascii="微软雅黑" w:hAnsi="微软雅黑" w:eastAsia="微软雅黑"/>
          <w:b w:val="0"/>
          <w:sz w:val="21"/>
        </w:rPr>
        <w:t>一线运维人员在面对边坡滑移、渗滤液导排堵塞、填埋气聚集、地下水污染等隐患时，</w:t>
      </w:r>
      <w:r>
        <w:rPr>
          <w:rFonts w:ascii="微软雅黑" w:hAnsi="微软雅黑" w:eastAsia="微软雅黑"/>
          <w:b w:val="0"/>
          <w:sz w:val="21"/>
        </w:rPr>
        <w:t>面临三大核心痛点：</w:t>
      </w:r>
    </w:p>
    <w:p>
      <w:pPr>
        <w:pStyle w:val="ListBullet"/>
        <w:spacing w:after="40"/>
        <w:ind w:left="567"/>
      </w:pPr>
      <w:r>
        <w:rPr>
          <w:rFonts w:ascii="微软雅黑" w:hAnsi="微软雅黑" w:eastAsia="微软雅黑"/>
          <w:b w:val="0"/>
          <w:sz w:val="21"/>
        </w:rPr>
        <w:t>专业人才匮乏：岩土工程、环境工程专业工程师稀缺，现场人员难以独立完成规范查询与定量计算</w:t>
      </w:r>
    </w:p>
    <w:p>
      <w:pPr>
        <w:pStyle w:val="ListBullet"/>
        <w:spacing w:after="40"/>
        <w:ind w:left="567"/>
      </w:pPr>
      <w:r>
        <w:rPr>
          <w:rFonts w:ascii="微软雅黑" w:hAnsi="微软雅黑" w:eastAsia="微软雅黑"/>
          <w:b w:val="0"/>
          <w:sz w:val="21"/>
        </w:rPr>
        <w:t>LLM 幻觉风险：直接使用通用大模型进行安全诊断，存在数值编造、规范错配等严重隐患</w:t>
      </w:r>
    </w:p>
    <w:p>
      <w:pPr>
        <w:pStyle w:val="ListBullet"/>
        <w:spacing w:after="40"/>
        <w:ind w:left="567"/>
      </w:pPr>
      <w:r>
        <w:rPr>
          <w:rFonts w:ascii="微软雅黑" w:hAnsi="微软雅黑" w:eastAsia="微软雅黑"/>
          <w:b w:val="0"/>
          <w:sz w:val="21"/>
        </w:rPr>
        <w:t>应急响应滞后：从发现异常到形成可执行决策文档往往需要数小时，错过黄金处置窗口</w:t>
      </w:r>
    </w:p>
    <w:p>
      <w:pPr>
        <w:spacing w:line="324" w:lineRule="auto" w:after="80"/>
        <w:ind w:firstLine="420"/>
      </w:pPr>
      <w:r>
        <w:rPr>
          <w:rFonts w:ascii="微软雅黑" w:hAnsi="微软雅黑" w:eastAsia="微软雅黑"/>
          <w:b w:val="0"/>
          <w:sz w:val="21"/>
        </w:rPr>
        <w:t>LandfillMind 针对上述痛点，定位为"现场工程师的 AI 副驾驶"，</w:t>
      </w:r>
      <w:r>
        <w:rPr>
          <w:rFonts w:ascii="微软雅黑" w:hAnsi="微软雅黑" w:eastAsia="微软雅黑"/>
          <w:b w:val="0"/>
          <w:sz w:val="21"/>
        </w:rPr>
        <w:t>以确定性计算保障数值可信，以大语言模型提供交互便利，以交叉复核确保安全底线。</w:t>
      </w:r>
    </w:p>
    <w:p>
      <w:pPr>
        <w:spacing w:before="160" w:after="80"/>
        <w:jc w:val="left"/>
      </w:pPr>
      <w:r>
        <w:rPr>
          <w:rFonts w:ascii="微软雅黑" w:hAnsi="微软雅黑" w:eastAsia="微软雅黑"/>
          <w:b/>
          <w:color w:val="0064A0"/>
          <w:sz w:val="24"/>
        </w:rPr>
        <w:t>2.2 技术方案</w:t>
      </w:r>
    </w:p>
    <w:p>
      <w:pPr>
        <w:spacing w:line="324" w:lineRule="auto" w:after="80"/>
        <w:ind w:firstLine="420"/>
      </w:pPr>
      <w:r>
        <w:rPr>
          <w:rFonts w:ascii="微软雅黑" w:hAnsi="微软雅黑" w:eastAsia="微软雅黑"/>
          <w:b w:val="0"/>
          <w:sz w:val="21"/>
        </w:rPr>
        <w:t>LandfillMind 采用全栈 TypeScript 技术栈，前端基于 React 18 + Vite 5 + Tailwind CSS + Three.js，</w:t>
      </w:r>
      <w:r>
        <w:rPr>
          <w:rFonts w:ascii="微软雅黑" w:hAnsi="微软雅黑" w:eastAsia="微软雅黑"/>
          <w:b w:val="0"/>
          <w:sz w:val="21"/>
        </w:rPr>
        <w:t>后端基于 Node.js + Express，数据持久化采用 sql.js（SQLite WASM），</w:t>
      </w:r>
      <w:r>
        <w:rPr>
          <w:rFonts w:ascii="微软雅黑" w:hAnsi="微软雅黑" w:eastAsia="微软雅黑"/>
          <w:b w:val="0"/>
          <w:sz w:val="21"/>
        </w:rPr>
        <w:t>LLM 接入智谱 GLM-4-Flash（默认免费通道）+ OpenRouter（可选并行通道），SSE 流式通信。</w:t>
      </w:r>
    </w:p>
    <w:p>
      <w:pPr>
        <w:spacing w:before="120" w:after="60"/>
        <w:jc w:val="left"/>
      </w:pPr>
      <w:r>
        <w:rPr>
          <w:rFonts w:ascii="微软雅黑" w:hAnsi="微软雅黑" w:eastAsia="微软雅黑"/>
          <w:b/>
          <w:color w:val="333333"/>
          <w:sz w:val="22"/>
        </w:rPr>
        <w:t>2.2.1 整体架构：双引擎 + 纠偏剧场三层流水线</w:t>
      </w:r>
    </w:p>
    <w:p>
      <w:pPr>
        <w:spacing w:line="324" w:lineRule="auto" w:after="80"/>
        <w:ind w:firstLine="420"/>
      </w:pPr>
      <w:r>
        <w:rPr>
          <w:rFonts w:ascii="微软雅黑" w:hAnsi="微软雅黑" w:eastAsia="微软雅黑"/>
          <w:b w:val="0"/>
          <w:sz w:val="21"/>
        </w:rPr>
        <w:t>系统核心架构如下图所示，可概括为"算—写—校"三层流水线，并辅以多智能体协同、专业工具集、一键应急输出与自进化反馈闭环。</w:t>
      </w:r>
    </w:p>
    <w:p>
      <w:pPr>
        <w:jc w:val="center"/>
      </w:pPr>
      <w:r>
        <w:drawing>
          <wp:inline xmlns:a="http://schemas.openxmlformats.org/drawingml/2006/main" xmlns:pic="http://schemas.openxmlformats.org/drawingml/2006/picture">
            <wp:extent cx="5669280" cy="3464560"/>
            <wp:docPr id="1" name="Picture 1"/>
            <wp:cNvGraphicFramePr>
              <a:graphicFrameLocks noChangeAspect="1"/>
            </wp:cNvGraphicFramePr>
            <a:graphic>
              <a:graphicData uri="http://schemas.openxmlformats.org/drawingml/2006/picture">
                <pic:pic>
                  <pic:nvPicPr>
                    <pic:cNvPr id="0" name="landfillmind-architecture.png"/>
                    <pic:cNvPicPr/>
                  </pic:nvPicPr>
                  <pic:blipFill>
                    <a:blip r:embed="rId9"/>
                    <a:stretch>
                      <a:fillRect/>
                    </a:stretch>
                  </pic:blipFill>
                  <pic:spPr>
                    <a:xfrm>
                      <a:off x="0" y="0"/>
                      <a:ext cx="5669280" cy="3464560"/>
                    </a:xfrm>
                    <a:prstGeom prst="rect"/>
                  </pic:spPr>
                </pic:pic>
              </a:graphicData>
            </a:graphic>
          </wp:inline>
        </w:drawing>
      </w:r>
    </w:p>
    <w:p>
      <w:pPr>
        <w:spacing w:after="160"/>
        <w:jc w:val="center"/>
      </w:pPr>
      <w:r>
        <w:rPr>
          <w:rFonts w:ascii="微软雅黑" w:hAnsi="微软雅黑" w:eastAsia="微软雅黑"/>
          <w:b w:val="0"/>
          <w:color w:val="808080"/>
          <w:sz w:val="18"/>
        </w:rPr>
        <w:t>图 1  LandfillMind v4.2 系统架构图（核心创新：③ AI 纠偏剧场）</w:t>
      </w:r>
    </w:p>
    <w:p>
      <w:pPr>
        <w:spacing w:line="324" w:lineRule="auto" w:after="80"/>
        <w:ind w:firstLine="420"/>
      </w:pPr>
      <w:r>
        <w:rPr>
          <w:rFonts w:ascii="微软雅黑" w:hAnsi="微软雅黑" w:eastAsia="微软雅黑"/>
          <w:b/>
          <w:sz w:val="21"/>
        </w:rPr>
        <w:t>引擎 A · 确定性计算内核（算）：</w:t>
      </w:r>
      <w:r>
        <w:rPr>
          <w:rFonts w:ascii="微软雅黑" w:hAnsi="微软雅黑" w:eastAsia="微软雅黑"/>
          <w:b w:val="0"/>
          <w:sz w:val="21"/>
        </w:rPr>
        <w:t>由 server/calculate.ts（32KB，14 项计算器，超 500 行核心公式）负责。</w:t>
      </w:r>
      <w:r>
        <w:rPr>
          <w:rFonts w:ascii="微软雅黑" w:hAnsi="微软雅黑" w:eastAsia="微软雅黑"/>
          <w:b w:val="0"/>
          <w:sz w:val="21"/>
        </w:rPr>
        <w:t>接收用户输入的场地监测数据（边坡高度、坡角、黏聚力、内摩擦角、渗滤液液位、CH₄ 浓度等），</w:t>
      </w:r>
      <w:r>
        <w:rPr>
          <w:rFonts w:ascii="微软雅黑" w:hAnsi="微软雅黑" w:eastAsia="微软雅黑"/>
          <w:b w:val="0"/>
          <w:sz w:val="21"/>
        </w:rPr>
        <w:t>直接计算安全系数 Fs、产气速率、液位安全高度等关键指标，输出 100% 确定性结果，不存在任何幻觉风险。</w:t>
      </w:r>
    </w:p>
    <w:p>
      <w:pPr>
        <w:spacing w:line="324" w:lineRule="auto" w:after="80"/>
        <w:ind w:firstLine="420"/>
      </w:pPr>
      <w:r>
        <w:rPr>
          <w:rFonts w:ascii="微软雅黑" w:hAnsi="微软雅黑" w:eastAsia="微软雅黑"/>
          <w:b/>
          <w:sz w:val="21"/>
        </w:rPr>
        <w:t>引擎 B · LLM 解释层（写）：</w:t>
      </w:r>
      <w:r>
        <w:rPr>
          <w:rFonts w:ascii="微软雅黑" w:hAnsi="微软雅黑" w:eastAsia="微软雅黑"/>
          <w:b w:val="0"/>
          <w:sz w:val="21"/>
        </w:rPr>
        <w:t>由 server/llm.ts（11KB，双通道路由）负责。默认使用智谱 GLM-4-Flash 免费档，</w:t>
      </w:r>
      <w:r>
        <w:rPr>
          <w:rFonts w:ascii="微软雅黑" w:hAnsi="微软雅黑" w:eastAsia="微软雅黑"/>
          <w:b w:val="0"/>
          <w:sz w:val="21"/>
        </w:rPr>
        <w:t>通过结构化 Prompt 工程（角色设定 + 规范注入 + 输出格式约束 + 禁止模糊措辞），</w:t>
      </w:r>
      <w:r>
        <w:rPr>
          <w:rFonts w:ascii="微软雅黑" w:hAnsi="微软雅黑" w:eastAsia="微软雅黑"/>
          <w:b w:val="0"/>
          <w:sz w:val="21"/>
        </w:rPr>
        <w:t>将引擎 A 的计算结果转化为现场人员可读的自然语言诊断报告。</w:t>
      </w:r>
    </w:p>
    <w:p>
      <w:pPr>
        <w:spacing w:line="324" w:lineRule="auto" w:after="80"/>
        <w:ind w:firstLine="420"/>
      </w:pPr>
      <w:r>
        <w:rPr>
          <w:rFonts w:ascii="微软雅黑" w:hAnsi="微软雅黑" w:eastAsia="微软雅黑"/>
          <w:b/>
          <w:color w:val="C45911"/>
          <w:sz w:val="21"/>
        </w:rPr>
        <w:t>引擎 C · 交叉复核纠偏层（校）—— AI 纠偏剧场：</w:t>
      </w:r>
      <w:r>
        <w:rPr>
          <w:rFonts w:ascii="微软雅黑" w:hAnsi="微软雅黑" w:eastAsia="微软雅黑"/>
          <w:b w:val="0"/>
          <w:sz w:val="21"/>
        </w:rPr>
        <w:t>这是本作品最核心的创新点。由 server/diagnose.ts 的 runDiagnosis() 函数负责，</w:t>
      </w:r>
      <w:r>
        <w:rPr>
          <w:rFonts w:ascii="微软雅黑" w:hAnsi="微软雅黑" w:eastAsia="微软雅黑"/>
          <w:b w:val="0"/>
          <w:sz w:val="21"/>
        </w:rPr>
        <w:t>对引擎 B 的 LLM 输出做正则 + 语义双重校验：(1) 提取 LLM 报告中声称的所有数值；</w:t>
      </w:r>
      <w:r>
        <w:rPr>
          <w:rFonts w:ascii="微软雅黑" w:hAnsi="微软雅黑" w:eastAsia="微软雅黑"/>
          <w:b w:val="0"/>
          <w:sz w:val="21"/>
        </w:rPr>
        <w:t>(2) 与引擎 A 的真实计算值逐项比对；(3) 若偏差超过阈值（如 Fs 偏差 &gt; 5%），自动触发纠偏，</w:t>
      </w:r>
      <w:r>
        <w:rPr>
          <w:rFonts w:ascii="微软雅黑" w:hAnsi="微软雅黑" w:eastAsia="微软雅黑"/>
          <w:b w:val="0"/>
          <w:sz w:val="21"/>
        </w:rPr>
        <w:t>用内核真实值覆盖 LLM 编造值并添加修正标注。界面上以红/绿分屏形式展示对比（AI 报告原文 vs 内核真实结论），</w:t>
      </w:r>
      <w:r>
        <w:rPr>
          <w:rFonts w:ascii="微软雅黑" w:hAnsi="微软雅黑" w:eastAsia="微软雅黑"/>
          <w:b w:val="0"/>
          <w:sz w:val="21"/>
        </w:rPr>
        <w:t>决策过程透明可追溯，真正做到"既利用 LLM 的语言能力，又不被其幻觉所误导"。</w:t>
      </w:r>
    </w:p>
    <w:p>
      <w:pPr>
        <w:spacing w:before="120" w:after="60"/>
        <w:jc w:val="left"/>
      </w:pPr>
      <w:r>
        <w:rPr>
          <w:rFonts w:ascii="微软雅黑" w:hAnsi="微软雅黑" w:eastAsia="微软雅黑"/>
          <w:b/>
          <w:color w:val="333333"/>
          <w:sz w:val="22"/>
        </w:rPr>
        <w:t>2.2.2 Prompt 工程与知识库</w:t>
      </w:r>
    </w:p>
    <w:p>
      <w:pPr>
        <w:spacing w:line="324" w:lineRule="auto" w:after="80"/>
        <w:ind w:firstLine="420"/>
      </w:pPr>
      <w:r>
        <w:rPr>
          <w:rFonts w:ascii="微软雅黑" w:hAnsi="微软雅黑" w:eastAsia="微软雅黑"/>
          <w:b w:val="0"/>
          <w:sz w:val="21"/>
        </w:rPr>
        <w:t>系统内置 199 条行业规范的结构化知识库（data/knowledge.db，352KB），通过 RAG 语义检索 + 同义词扩展（106 条映射表，如"垃圾汤"→"渗滤液"），</w:t>
      </w:r>
      <w:r>
        <w:rPr>
          <w:rFonts w:ascii="微软雅黑" w:hAnsi="微软雅黑" w:eastAsia="微软雅黑"/>
          <w:b w:val="0"/>
          <w:sz w:val="21"/>
        </w:rPr>
        <w:t>在每次对话前动态注入最相关的规范条款。Prompt 设计采用"系统角色 + 领域约束 + 输出模板 + 数值锚定"四层结构，</w:t>
      </w:r>
      <w:r>
        <w:rPr>
          <w:rFonts w:ascii="微软雅黑" w:hAnsi="微软雅黑" w:eastAsia="微软雅黑"/>
          <w:b w:val="0"/>
          <w:sz w:val="21"/>
        </w:rPr>
        <w:t>严格禁止使用"可能""大概"等模糊措辞，所有安全结论必须附带规范条款编号。</w:t>
      </w:r>
    </w:p>
    <w:p>
      <w:pPr>
        <w:spacing w:line="324" w:lineRule="auto" w:after="80"/>
        <w:ind w:firstLine="420"/>
      </w:pPr>
      <w:r>
        <w:rPr>
          <w:rFonts w:ascii="微软雅黑" w:hAnsi="微软雅黑" w:eastAsia="微软雅黑"/>
          <w:b w:val="0"/>
          <w:sz w:val="21"/>
        </w:rPr>
        <w:t>此外实现了 A/B 测试框架：3 个 Prompt 变体并行运行，通过 UCB1 Bandit 算法根据用户👍/👎反馈动态调权，持续优化输出质量。</w:t>
      </w:r>
    </w:p>
    <w:p>
      <w:pPr>
        <w:spacing w:before="120" w:after="60"/>
        <w:jc w:val="left"/>
      </w:pPr>
      <w:r>
        <w:rPr>
          <w:rFonts w:ascii="微软雅黑" w:hAnsi="微软雅黑" w:eastAsia="微软雅黑"/>
          <w:b/>
          <w:color w:val="333333"/>
          <w:sz w:val="22"/>
        </w:rPr>
        <w:t>2.2.3 多智能体协同编排</w:t>
      </w:r>
    </w:p>
    <w:p>
      <w:pPr>
        <w:spacing w:line="324" w:lineRule="auto" w:after="80"/>
        <w:ind w:firstLine="420"/>
      </w:pPr>
      <w:r>
        <w:rPr>
          <w:rFonts w:ascii="微软雅黑" w:hAnsi="微软雅黑" w:eastAsia="微软雅黑"/>
          <w:b w:val="0"/>
          <w:sz w:val="21"/>
        </w:rPr>
        <w:t>对于复杂的多场耦合场景，系统启动 5 路专业 Agent 并行研判：边坡稳定 Agent（CJJ 176-2012）、渗滤液 Agent（GB 16889-2008 §5，HELP 模型）、</w:t>
      </w:r>
      <w:r>
        <w:rPr>
          <w:rFonts w:ascii="微软雅黑" w:hAnsi="微软雅黑" w:eastAsia="微软雅黑"/>
          <w:b w:val="0"/>
          <w:sz w:val="21"/>
        </w:rPr>
        <w:t>填埋气 Agent（GB 16889-2008 §6，LandGEM 模型）、地下水 Agent（HJ 25.6-2019），以及综合研判 Agent（队长）。</w:t>
      </w:r>
      <w:r>
        <w:rPr>
          <w:rFonts w:ascii="微软雅黑" w:hAnsi="微软雅黑" w:eastAsia="微软雅黑"/>
          <w:b w:val="0"/>
          <w:sz w:val="21"/>
        </w:rPr>
        <w:t>5 路 Agent 通过 LRU 缓存策略避免重复计算，最终由队长 Agent 携带 4 位同伴的结论进行冲突消解与综合研判，输出统一结论。</w:t>
      </w:r>
    </w:p>
    <w:p>
      <w:pPr>
        <w:spacing w:before="120" w:after="60"/>
        <w:jc w:val="left"/>
      </w:pPr>
      <w:r>
        <w:rPr>
          <w:rFonts w:ascii="微软雅黑" w:hAnsi="微软雅黑" w:eastAsia="微软雅黑"/>
          <w:b/>
          <w:color w:val="333333"/>
          <w:sz w:val="22"/>
        </w:rPr>
        <w:t>2.2.4 专业工具集</w:t>
      </w:r>
    </w:p>
    <w:p>
      <w:pPr>
        <w:pStyle w:val="ListBullet"/>
        <w:spacing w:after="40"/>
        <w:ind w:left="567"/>
      </w:pPr>
      <w:r>
        <w:rPr>
          <w:rFonts w:ascii="微软雅黑" w:hAnsi="微软雅黑" w:eastAsia="微软雅黑"/>
          <w:b w:val="0"/>
          <w:sz w:val="21"/>
        </w:rPr>
        <w:t>计算中心：14 项独立计算器，包括边坡稳定 Fs、HELP 渗滤液产量、LandGEM 产气、HDPE 膜完整性、地基沉降、气体扩散距离等</w:t>
      </w:r>
    </w:p>
    <w:p>
      <w:pPr>
        <w:pStyle w:val="ListBullet"/>
        <w:spacing w:after="40"/>
        <w:ind w:left="567"/>
      </w:pPr>
      <w:r>
        <w:rPr>
          <w:rFonts w:ascii="微软雅黑" w:hAnsi="微软雅黑" w:eastAsia="微软雅黑"/>
          <w:b w:val="0"/>
          <w:sz w:val="21"/>
        </w:rPr>
        <w:t>3D 仿真：基于 Three.js 的填埋场实时几何模型，隐患点位按严重度自动着色（红/橙/黄/蓝），支持 60FPS 交互旋转与剖切</w:t>
      </w:r>
    </w:p>
    <w:p>
      <w:pPr>
        <w:pStyle w:val="ListBullet"/>
        <w:spacing w:after="40"/>
        <w:ind w:left="567"/>
      </w:pPr>
      <w:r>
        <w:rPr>
          <w:rFonts w:ascii="微软雅黑" w:hAnsi="微软雅黑" w:eastAsia="微软雅黑"/>
          <w:b w:val="0"/>
          <w:sz w:val="21"/>
        </w:rPr>
        <w:t>OGS 数值模拟：内置 OpenGeoSys 5.5 FEM 有限元求解器，AI 对话可直接触发渗流/沉降/产气仿真，输出可视化曲线</w:t>
      </w:r>
    </w:p>
    <w:p>
      <w:pPr>
        <w:pStyle w:val="ListBullet"/>
        <w:spacing w:after="40"/>
        <w:ind w:left="567"/>
      </w:pPr>
      <w:r>
        <w:rPr>
          <w:rFonts w:ascii="微软雅黑" w:hAnsi="微软雅黑" w:eastAsia="微软雅黑"/>
          <w:b w:val="0"/>
          <w:sz w:val="21"/>
        </w:rPr>
        <w:t>专家问答：199 条规范 RAG 检索，支持自然语言提问，自动引用规范条款编号</w:t>
      </w:r>
    </w:p>
    <w:p>
      <w:pPr>
        <w:spacing w:before="120" w:after="60"/>
        <w:jc w:val="left"/>
      </w:pPr>
      <w:r>
        <w:rPr>
          <w:rFonts w:ascii="微软雅黑" w:hAnsi="微软雅黑" w:eastAsia="微软雅黑"/>
          <w:b/>
          <w:color w:val="333333"/>
          <w:sz w:val="22"/>
        </w:rPr>
        <w:t>2.2.5 一键应急决策包</w:t>
      </w:r>
    </w:p>
    <w:p>
      <w:pPr>
        <w:spacing w:line="324" w:lineRule="auto" w:after="80"/>
        <w:ind w:firstLine="420"/>
      </w:pPr>
      <w:r>
        <w:rPr>
          <w:rFonts w:ascii="微软雅黑" w:hAnsi="微软雅黑" w:eastAsia="微软雅黑"/>
          <w:b w:val="0"/>
          <w:sz w:val="21"/>
        </w:rPr>
        <w:t>当系统判定为红色或橙色风险时，可一键生成 A4 五节决策文档：诊断摘要、班前交底、风险矩阵、疏散路线、二维码扫码查看完整报告。</w:t>
      </w:r>
      <w:r>
        <w:rPr>
          <w:rFonts w:ascii="微软雅黑" w:hAnsi="微软雅黑" w:eastAsia="微软雅黑"/>
          <w:b w:val="0"/>
          <w:sz w:val="21"/>
        </w:rPr>
        <w:t>从发现异常到输出可打印文档仅需约 30 秒，显著缩短应急响应时间。</w:t>
      </w:r>
    </w:p>
    <w:p>
      <w:pPr>
        <w:spacing w:before="120" w:after="60"/>
        <w:jc w:val="left"/>
      </w:pPr>
      <w:r>
        <w:rPr>
          <w:rFonts w:ascii="微软雅黑" w:hAnsi="微软雅黑" w:eastAsia="微软雅黑"/>
          <w:b/>
          <w:color w:val="333333"/>
          <w:sz w:val="22"/>
        </w:rPr>
        <w:t>2.2.6 自进化闭环</w:t>
      </w:r>
    </w:p>
    <w:p>
      <w:pPr>
        <w:spacing w:line="324" w:lineRule="auto" w:after="80"/>
        <w:ind w:firstLine="420"/>
      </w:pPr>
      <w:r>
        <w:rPr>
          <w:rFonts w:ascii="微软雅黑" w:hAnsi="微软雅黑" w:eastAsia="微软雅黑"/>
          <w:b w:val="0"/>
          <w:sz w:val="21"/>
        </w:rPr>
        <w:t>系统构建了完整的"用户反馈 → LLM 经验蒸馏 → 生成 KB 草案 → 专家人工审核 → 入库生效"自进化闭环。</w:t>
      </w:r>
      <w:r>
        <w:rPr>
          <w:rFonts w:ascii="微软雅黑" w:hAnsi="微软雅黑" w:eastAsia="微软雅黑"/>
          <w:b w:val="0"/>
          <w:sz w:val="21"/>
        </w:rPr>
        <w:t>知识库从初始 38 条规范已增长至 199 条，并通过 A/B 测试持续优化 Prompt 效果。</w:t>
      </w:r>
    </w:p>
    <w:p>
      <w:pPr>
        <w:spacing w:before="160" w:after="80"/>
        <w:jc w:val="left"/>
      </w:pPr>
      <w:r>
        <w:rPr>
          <w:rFonts w:ascii="微软雅黑" w:hAnsi="微软雅黑" w:eastAsia="微软雅黑"/>
          <w:b/>
          <w:color w:val="0064A0"/>
          <w:sz w:val="24"/>
        </w:rPr>
        <w:t>2.3 创新点</w:t>
      </w:r>
    </w:p>
    <w:p>
      <w:pPr>
        <w:spacing w:line="324" w:lineRule="auto" w:after="80"/>
        <w:ind w:firstLine="420"/>
      </w:pPr>
      <w:r>
        <w:rPr>
          <w:rFonts w:ascii="微软雅黑" w:hAnsi="微软雅黑" w:eastAsia="微软雅黑"/>
          <w:b/>
          <w:color w:val="C45911"/>
          <w:sz w:val="21"/>
        </w:rPr>
        <w:t>创新点 1：双引擎纠偏架构（AI 纠偏剧场）：</w:t>
      </w:r>
      <w:r>
        <w:rPr>
          <w:rFonts w:ascii="微软雅黑" w:hAnsi="微软雅黑" w:eastAsia="微软雅黑"/>
          <w:b w:val="0"/>
          <w:sz w:val="21"/>
        </w:rPr>
        <w:t>首次提出"确定性计算内核 + LLM 解释层 + 交叉复核"三层架构，通过正则+语义双重校验自动捕获并纠正 LLM 数值幻觉，以分屏可视化方式实现决策透明化，解决了 LLM 在安全关键场景中"不敢用"的核心问题。</w:t>
      </w:r>
    </w:p>
    <w:p>
      <w:pPr>
        <w:spacing w:line="324" w:lineRule="auto" w:after="80"/>
        <w:ind w:firstLine="420"/>
      </w:pPr>
      <w:r>
        <w:rPr>
          <w:rFonts w:ascii="微软雅黑" w:hAnsi="微软雅黑" w:eastAsia="微软雅黑"/>
          <w:b/>
          <w:color w:val="C45911"/>
          <w:sz w:val="21"/>
        </w:rPr>
        <w:t>创新点 2：零成本全栈 TypeScript 方案：</w:t>
      </w:r>
      <w:r>
        <w:rPr>
          <w:rFonts w:ascii="微软雅黑" w:hAnsi="微软雅黑" w:eastAsia="微软雅黑"/>
          <w:b w:val="0"/>
          <w:sz w:val="21"/>
        </w:rPr>
        <w:t>前后端统一语言，智谱 GLM-4-Flash 免费 LLM、Render 免费托管、UptimeRobot 免费保活，县级填埋场可零成本部署使用，极大降低了智慧安监技术的门槛。</w:t>
      </w:r>
    </w:p>
    <w:p>
      <w:pPr>
        <w:spacing w:line="324" w:lineRule="auto" w:after="80"/>
        <w:ind w:firstLine="420"/>
      </w:pPr>
      <w:r>
        <w:rPr>
          <w:rFonts w:ascii="微软雅黑" w:hAnsi="微软雅黑" w:eastAsia="微软雅黑"/>
          <w:b/>
          <w:color w:val="C45911"/>
          <w:sz w:val="21"/>
        </w:rPr>
        <w:t>创新点 3：多智能体"5 路并行 + 队长研判"模式：</w:t>
      </w:r>
      <w:r>
        <w:rPr>
          <w:rFonts w:ascii="微软雅黑" w:hAnsi="微软雅黑" w:eastAsia="微软雅黑"/>
          <w:b w:val="0"/>
          <w:sz w:val="21"/>
        </w:rPr>
        <w:t>针对填埋场"水-气-坡-地"多场耦合特点，设计 5 个专业 Agent 并行分析，LRU 缓存优化性能，队长 Agent 冲突消解输出统一结论，兼顾分析深度与结果一致性。</w:t>
      </w:r>
    </w:p>
    <w:p>
      <w:pPr>
        <w:spacing w:line="324" w:lineRule="auto" w:after="80"/>
        <w:ind w:firstLine="420"/>
      </w:pPr>
      <w:r>
        <w:rPr>
          <w:rFonts w:ascii="微软雅黑" w:hAnsi="微软雅黑" w:eastAsia="微软雅黑"/>
          <w:b/>
          <w:color w:val="C45911"/>
          <w:sz w:val="21"/>
        </w:rPr>
        <w:t>创新点 4：规范知识库 + RAG + 同义词扩展：</w:t>
      </w:r>
      <w:r>
        <w:rPr>
          <w:rFonts w:ascii="微软雅黑" w:hAnsi="微软雅黑" w:eastAsia="微软雅黑"/>
          <w:b w:val="0"/>
          <w:sz w:val="21"/>
        </w:rPr>
        <w:t>199 条规范结构化入库，106 条行业黑话同义词映射（如"垃圾汤"→渗滤液），让一线人员用口语也能获得专业级规范引用。</w:t>
      </w:r>
    </w:p>
    <w:p>
      <w:pPr>
        <w:spacing w:line="324" w:lineRule="auto" w:after="80"/>
        <w:ind w:firstLine="420"/>
      </w:pPr>
      <w:r>
        <w:rPr>
          <w:rFonts w:ascii="微软雅黑" w:hAnsi="微软雅黑" w:eastAsia="微软雅黑"/>
          <w:b/>
          <w:color w:val="C45911"/>
          <w:sz w:val="21"/>
        </w:rPr>
        <w:t>创新点 5：一键应急决策包：</w:t>
      </w:r>
      <w:r>
        <w:rPr>
          <w:rFonts w:ascii="微软雅黑" w:hAnsi="微软雅黑" w:eastAsia="微软雅黑"/>
          <w:b w:val="0"/>
          <w:sz w:val="21"/>
        </w:rPr>
        <w:t>30 秒生成 A4 五节可打印应急文档，含风险矩阵与疏散路线，打通从 AI 诊断到现场执行的最后一公里。</w:t>
      </w:r>
    </w:p>
    <w:p>
      <w:pPr>
        <w:spacing w:before="160" w:after="80"/>
        <w:jc w:val="left"/>
      </w:pPr>
      <w:r>
        <w:rPr>
          <w:rFonts w:ascii="微软雅黑" w:hAnsi="微软雅黑" w:eastAsia="微软雅黑"/>
          <w:b/>
          <w:color w:val="0064A0"/>
          <w:sz w:val="24"/>
        </w:rPr>
        <w:t>2.4 作品原型与代码</w:t>
      </w:r>
    </w:p>
    <w:p>
      <w:pPr>
        <w:spacing w:line="324" w:lineRule="auto" w:after="80"/>
        <w:ind w:firstLine="420"/>
      </w:pPr>
      <w:r>
        <w:rPr>
          <w:rFonts w:ascii="微软雅黑" w:hAnsi="微软雅黑" w:eastAsia="微软雅黑"/>
          <w:b w:val="0"/>
          <w:sz w:val="21"/>
        </w:rPr>
        <w:t>作品已完成全功能开发并在线部署。核心代码量：前端约 8000 行（React/TSX），后端约 2000 行（Node.js/TypeScript），</w:t>
      </w:r>
      <w:r>
        <w:rPr>
          <w:rFonts w:ascii="微软雅黑" w:hAnsi="微软雅黑" w:eastAsia="微软雅黑"/>
          <w:b w:val="0"/>
          <w:sz w:val="21"/>
        </w:rPr>
        <w:t>数据库 199 条规范知识，3D 模型与仿真模块约 1500 行。</w:t>
      </w:r>
    </w:p>
    <w:p>
      <w:pPr>
        <w:spacing w:line="324" w:lineRule="auto" w:after="80"/>
        <w:ind w:firstLine="420"/>
      </w:pPr>
      <w:r>
        <w:rPr>
          <w:rFonts w:ascii="微软雅黑" w:hAnsi="微软雅黑" w:eastAsia="微软雅黑"/>
          <w:b/>
          <w:sz w:val="21"/>
        </w:rPr>
        <w:t>主要模块清单：</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882"/>
        <w:gridCol w:w="2882"/>
        <w:gridCol w:w="2882"/>
      </w:tblGrid>
      <w:tr>
        <w:tc>
          <w:tcPr>
            <w:tcW w:type="dxa" w:w="2882"/>
            <w:shd w:fill="0D3B5C" w:val="clear"/>
          </w:tcPr>
          <w:p>
            <w:pPr>
              <w:jc w:val="center"/>
            </w:pPr>
            <w:r>
              <w:rPr>
                <w:color w:val="FFFFFF"/>
              </w:rPr>
            </w:r>
            <w:r>
              <w:rPr>
                <w:rFonts w:ascii="微软雅黑" w:hAnsi="微软雅黑" w:eastAsia="微软雅黑"/>
                <w:b/>
                <w:color w:val="FFFFFF"/>
                <w:sz w:val="20"/>
              </w:rPr>
              <w:t>模块</w:t>
            </w:r>
          </w:p>
        </w:tc>
        <w:tc>
          <w:tcPr>
            <w:tcW w:type="dxa" w:w="2882"/>
            <w:shd w:fill="0D3B5C" w:val="clear"/>
          </w:tcPr>
          <w:p>
            <w:pPr>
              <w:jc w:val="center"/>
            </w:pPr>
            <w:r>
              <w:rPr>
                <w:color w:val="FFFFFF"/>
              </w:rPr>
            </w:r>
            <w:r>
              <w:rPr>
                <w:rFonts w:ascii="微软雅黑" w:hAnsi="微软雅黑" w:eastAsia="微软雅黑"/>
                <w:b/>
                <w:color w:val="FFFFFF"/>
                <w:sz w:val="20"/>
              </w:rPr>
              <w:t>文件</w:t>
            </w:r>
          </w:p>
        </w:tc>
        <w:tc>
          <w:tcPr>
            <w:tcW w:type="dxa" w:w="2882"/>
            <w:shd w:fill="0D3B5C" w:val="clear"/>
          </w:tcPr>
          <w:p>
            <w:pPr>
              <w:jc w:val="center"/>
            </w:pPr>
            <w:r>
              <w:rPr>
                <w:color w:val="FFFFFF"/>
              </w:rPr>
            </w:r>
            <w:r>
              <w:rPr>
                <w:rFonts w:ascii="微软雅黑" w:hAnsi="微软雅黑" w:eastAsia="微软雅黑"/>
                <w:b/>
                <w:color w:val="FFFFFF"/>
                <w:sz w:val="20"/>
              </w:rPr>
              <w:t>功能说明</w:t>
            </w:r>
          </w:p>
        </w:tc>
      </w:tr>
      <w:tr>
        <w:tc>
          <w:tcPr>
            <w:tcW w:type="dxa" w:w="2882"/>
          </w:tcPr>
          <w:p>
            <w:pPr>
              <w:jc w:val="center"/>
            </w:pPr>
            <w:r/>
            <w:r>
              <w:rPr>
                <w:rFonts w:ascii="微软雅黑" w:hAnsi="微软雅黑" w:eastAsia="微软雅黑"/>
                <w:b/>
                <w:sz w:val="20"/>
              </w:rPr>
              <w:t>计算内核</w:t>
            </w:r>
          </w:p>
        </w:tc>
        <w:tc>
          <w:tcPr>
            <w:tcW w:type="dxa" w:w="2882"/>
          </w:tcPr>
          <w:p>
            <w:pPr>
              <w:jc w:val="left"/>
            </w:pPr>
            <w:r/>
            <w:r>
              <w:rPr>
                <w:rFonts w:ascii="微软雅黑" w:hAnsi="微软雅黑" w:eastAsia="微软雅黑"/>
                <w:b w:val="0"/>
                <w:sz w:val="20"/>
              </w:rPr>
              <w:t>server/calculate.ts (32KB)</w:t>
            </w:r>
          </w:p>
        </w:tc>
        <w:tc>
          <w:tcPr>
            <w:tcW w:type="dxa" w:w="2882"/>
          </w:tcPr>
          <w:p>
            <w:pPr>
              <w:jc w:val="left"/>
            </w:pPr>
            <w:r/>
            <w:r>
              <w:rPr>
                <w:rFonts w:ascii="微软雅黑" w:hAnsi="微软雅黑" w:eastAsia="微软雅黑"/>
                <w:b w:val="0"/>
                <w:sz w:val="20"/>
              </w:rPr>
              <w:t>14 项工程计算器，500+ 行核心公式</w:t>
            </w:r>
          </w:p>
        </w:tc>
      </w:tr>
      <w:tr>
        <w:tc>
          <w:tcPr>
            <w:tcW w:type="dxa" w:w="2882"/>
          </w:tcPr>
          <w:p>
            <w:pPr>
              <w:jc w:val="center"/>
            </w:pPr>
            <w:r/>
            <w:r>
              <w:rPr>
                <w:rFonts w:ascii="微软雅黑" w:hAnsi="微软雅黑" w:eastAsia="微软雅黑"/>
                <w:b/>
                <w:sz w:val="20"/>
              </w:rPr>
              <w:t>LLM 路由</w:t>
            </w:r>
          </w:p>
        </w:tc>
        <w:tc>
          <w:tcPr>
            <w:tcW w:type="dxa" w:w="2882"/>
          </w:tcPr>
          <w:p>
            <w:pPr>
              <w:jc w:val="left"/>
            </w:pPr>
            <w:r/>
            <w:r>
              <w:rPr>
                <w:rFonts w:ascii="微软雅黑" w:hAnsi="微软雅黑" w:eastAsia="微软雅黑"/>
                <w:b w:val="0"/>
                <w:sz w:val="20"/>
              </w:rPr>
              <w:t>server/llm.ts (11KB)</w:t>
            </w:r>
          </w:p>
        </w:tc>
        <w:tc>
          <w:tcPr>
            <w:tcW w:type="dxa" w:w="2882"/>
          </w:tcPr>
          <w:p>
            <w:pPr>
              <w:jc w:val="left"/>
            </w:pPr>
            <w:r/>
            <w:r>
              <w:rPr>
                <w:rFonts w:ascii="微软雅黑" w:hAnsi="微软雅黑" w:eastAsia="微软雅黑"/>
                <w:b w:val="0"/>
                <w:sz w:val="20"/>
              </w:rPr>
              <w:t>智谱/OpenRouter 双通道，SSE 流式</w:t>
            </w:r>
          </w:p>
        </w:tc>
      </w:tr>
      <w:tr>
        <w:tc>
          <w:tcPr>
            <w:tcW w:type="dxa" w:w="2882"/>
          </w:tcPr>
          <w:p>
            <w:pPr>
              <w:jc w:val="center"/>
            </w:pPr>
            <w:r/>
            <w:r>
              <w:rPr>
                <w:rFonts w:ascii="微软雅黑" w:hAnsi="微软雅黑" w:eastAsia="微软雅黑"/>
                <w:b/>
                <w:sz w:val="20"/>
              </w:rPr>
              <w:t>纠偏诊断</w:t>
            </w:r>
          </w:p>
        </w:tc>
        <w:tc>
          <w:tcPr>
            <w:tcW w:type="dxa" w:w="2882"/>
          </w:tcPr>
          <w:p>
            <w:pPr>
              <w:jc w:val="left"/>
            </w:pPr>
            <w:r/>
            <w:r>
              <w:rPr>
                <w:rFonts w:ascii="微软雅黑" w:hAnsi="微软雅黑" w:eastAsia="微软雅黑"/>
                <w:b w:val="0"/>
                <w:sz w:val="20"/>
              </w:rPr>
              <w:t>server/diagnose.ts</w:t>
            </w:r>
          </w:p>
        </w:tc>
        <w:tc>
          <w:tcPr>
            <w:tcW w:type="dxa" w:w="2882"/>
          </w:tcPr>
          <w:p>
            <w:pPr>
              <w:jc w:val="left"/>
            </w:pPr>
            <w:r/>
            <w:r>
              <w:rPr>
                <w:rFonts w:ascii="微软雅黑" w:hAnsi="微软雅黑" w:eastAsia="微软雅黑"/>
                <w:b w:val="0"/>
                <w:sz w:val="20"/>
              </w:rPr>
              <w:t>AI 纠偏剧场核心逻辑，正则+语义复核</w:t>
            </w:r>
          </w:p>
        </w:tc>
      </w:tr>
      <w:tr>
        <w:tc>
          <w:tcPr>
            <w:tcW w:type="dxa" w:w="2882"/>
          </w:tcPr>
          <w:p>
            <w:pPr>
              <w:jc w:val="center"/>
            </w:pPr>
            <w:r/>
            <w:r>
              <w:rPr>
                <w:rFonts w:ascii="微软雅黑" w:hAnsi="微软雅黑" w:eastAsia="微软雅黑"/>
                <w:b/>
                <w:sz w:val="20"/>
              </w:rPr>
              <w:t>多智能体</w:t>
            </w:r>
          </w:p>
        </w:tc>
        <w:tc>
          <w:tcPr>
            <w:tcW w:type="dxa" w:w="2882"/>
          </w:tcPr>
          <w:p>
            <w:pPr>
              <w:jc w:val="left"/>
            </w:pPr>
            <w:r/>
            <w:r>
              <w:rPr>
                <w:rFonts w:ascii="微软雅黑" w:hAnsi="微软雅黑" w:eastAsia="微软雅黑"/>
                <w:b w:val="0"/>
                <w:sz w:val="20"/>
              </w:rPr>
              <w:t>server/agents/</w:t>
            </w:r>
          </w:p>
        </w:tc>
        <w:tc>
          <w:tcPr>
            <w:tcW w:type="dxa" w:w="2882"/>
          </w:tcPr>
          <w:p>
            <w:pPr>
              <w:jc w:val="left"/>
            </w:pPr>
            <w:r/>
            <w:r>
              <w:rPr>
                <w:rFonts w:ascii="微软雅黑" w:hAnsi="微软雅黑" w:eastAsia="微软雅黑"/>
                <w:b w:val="0"/>
                <w:sz w:val="20"/>
              </w:rPr>
              <w:t>5 路专业 Agent + 队长编排</w:t>
            </w:r>
          </w:p>
        </w:tc>
      </w:tr>
      <w:tr>
        <w:tc>
          <w:tcPr>
            <w:tcW w:type="dxa" w:w="2882"/>
          </w:tcPr>
          <w:p>
            <w:pPr>
              <w:jc w:val="center"/>
            </w:pPr>
            <w:r/>
            <w:r>
              <w:rPr>
                <w:rFonts w:ascii="微软雅黑" w:hAnsi="微软雅黑" w:eastAsia="微软雅黑"/>
                <w:b/>
                <w:sz w:val="20"/>
              </w:rPr>
              <w:t>知识库</w:t>
            </w:r>
          </w:p>
        </w:tc>
        <w:tc>
          <w:tcPr>
            <w:tcW w:type="dxa" w:w="2882"/>
          </w:tcPr>
          <w:p>
            <w:pPr>
              <w:jc w:val="left"/>
            </w:pPr>
            <w:r/>
            <w:r>
              <w:rPr>
                <w:rFonts w:ascii="微软雅黑" w:hAnsi="微软雅黑" w:eastAsia="微软雅黑"/>
                <w:b w:val="0"/>
                <w:sz w:val="20"/>
              </w:rPr>
              <w:t>data/knowledge.db (352KB)</w:t>
            </w:r>
          </w:p>
        </w:tc>
        <w:tc>
          <w:tcPr>
            <w:tcW w:type="dxa" w:w="2882"/>
          </w:tcPr>
          <w:p>
            <w:pPr>
              <w:jc w:val="left"/>
            </w:pPr>
            <w:r/>
            <w:r>
              <w:rPr>
                <w:rFonts w:ascii="微软雅黑" w:hAnsi="微软雅黑" w:eastAsia="微软雅黑"/>
                <w:b w:val="0"/>
                <w:sz w:val="20"/>
              </w:rPr>
              <w:t>199 条规范，RAG 语义检索</w:t>
            </w:r>
          </w:p>
        </w:tc>
      </w:tr>
      <w:tr>
        <w:tc>
          <w:tcPr>
            <w:tcW w:type="dxa" w:w="2882"/>
          </w:tcPr>
          <w:p>
            <w:pPr>
              <w:jc w:val="center"/>
            </w:pPr>
            <w:r/>
            <w:r>
              <w:rPr>
                <w:rFonts w:ascii="微软雅黑" w:hAnsi="微软雅黑" w:eastAsia="微软雅黑"/>
                <w:b/>
                <w:sz w:val="20"/>
              </w:rPr>
              <w:t>前端主应用</w:t>
            </w:r>
          </w:p>
        </w:tc>
        <w:tc>
          <w:tcPr>
            <w:tcW w:type="dxa" w:w="2882"/>
          </w:tcPr>
          <w:p>
            <w:pPr>
              <w:jc w:val="left"/>
            </w:pPr>
            <w:r/>
            <w:r>
              <w:rPr>
                <w:rFonts w:ascii="微软雅黑" w:hAnsi="微软雅黑" w:eastAsia="微软雅黑"/>
                <w:b w:val="0"/>
                <w:sz w:val="20"/>
              </w:rPr>
              <w:t>src/App.tsx</w:t>
            </w:r>
          </w:p>
        </w:tc>
        <w:tc>
          <w:tcPr>
            <w:tcW w:type="dxa" w:w="2882"/>
          </w:tcPr>
          <w:p>
            <w:pPr>
              <w:jc w:val="left"/>
            </w:pPr>
            <w:r/>
            <w:r>
              <w:rPr>
                <w:rFonts w:ascii="微软雅黑" w:hAnsi="微软雅黑" w:eastAsia="微软雅黑"/>
                <w:b w:val="0"/>
                <w:sz w:val="20"/>
              </w:rPr>
              <w:t>React 主界面与路由</w:t>
            </w:r>
          </w:p>
        </w:tc>
      </w:tr>
      <w:tr>
        <w:tc>
          <w:tcPr>
            <w:tcW w:type="dxa" w:w="2882"/>
          </w:tcPr>
          <w:p>
            <w:pPr>
              <w:jc w:val="center"/>
            </w:pPr>
            <w:r/>
            <w:r>
              <w:rPr>
                <w:rFonts w:ascii="微软雅黑" w:hAnsi="微软雅黑" w:eastAsia="微软雅黑"/>
                <w:b/>
                <w:sz w:val="20"/>
              </w:rPr>
              <w:t>3D 仿真</w:t>
            </w:r>
          </w:p>
        </w:tc>
        <w:tc>
          <w:tcPr>
            <w:tcW w:type="dxa" w:w="2882"/>
          </w:tcPr>
          <w:p>
            <w:pPr>
              <w:jc w:val="left"/>
            </w:pPr>
            <w:r/>
            <w:r>
              <w:rPr>
                <w:rFonts w:ascii="微软雅黑" w:hAnsi="微软雅黑" w:eastAsia="微软雅黑"/>
                <w:b w:val="0"/>
                <w:sz w:val="20"/>
              </w:rPr>
              <w:t>src/components/Landfill3D.tsx</w:t>
            </w:r>
          </w:p>
        </w:tc>
        <w:tc>
          <w:tcPr>
            <w:tcW w:type="dxa" w:w="2882"/>
          </w:tcPr>
          <w:p>
            <w:pPr>
              <w:jc w:val="left"/>
            </w:pPr>
            <w:r/>
            <w:r>
              <w:rPr>
                <w:rFonts w:ascii="微软雅黑" w:hAnsi="微软雅黑" w:eastAsia="微软雅黑"/>
                <w:b w:val="0"/>
                <w:sz w:val="20"/>
              </w:rPr>
              <w:t>Three.js 实时渲染</w:t>
            </w:r>
          </w:p>
        </w:tc>
      </w:tr>
      <w:tr>
        <w:tc>
          <w:tcPr>
            <w:tcW w:type="dxa" w:w="2882"/>
          </w:tcPr>
          <w:p>
            <w:pPr>
              <w:jc w:val="center"/>
            </w:pPr>
            <w:r/>
            <w:r>
              <w:rPr>
                <w:rFonts w:ascii="微软雅黑" w:hAnsi="微软雅黑" w:eastAsia="微软雅黑"/>
                <w:b/>
                <w:sz w:val="20"/>
              </w:rPr>
              <w:t>OGS 模拟</w:t>
            </w:r>
          </w:p>
        </w:tc>
        <w:tc>
          <w:tcPr>
            <w:tcW w:type="dxa" w:w="2882"/>
          </w:tcPr>
          <w:p>
            <w:pPr>
              <w:jc w:val="left"/>
            </w:pPr>
            <w:r/>
            <w:r>
              <w:rPr>
                <w:rFonts w:ascii="微软雅黑" w:hAnsi="微软雅黑" w:eastAsia="微软雅黑"/>
                <w:b w:val="0"/>
                <w:sz w:val="20"/>
              </w:rPr>
              <w:t>server/ogs/</w:t>
            </w:r>
          </w:p>
        </w:tc>
        <w:tc>
          <w:tcPr>
            <w:tcW w:type="dxa" w:w="2882"/>
          </w:tcPr>
          <w:p>
            <w:pPr>
              <w:jc w:val="left"/>
            </w:pPr>
            <w:r/>
            <w:r>
              <w:rPr>
                <w:rFonts w:ascii="微软雅黑" w:hAnsi="微软雅黑" w:eastAsia="微软雅黑"/>
                <w:b w:val="0"/>
                <w:sz w:val="20"/>
              </w:rPr>
              <w:t>OpenGeoSys 5.5 FEM 求解器封装</w:t>
            </w:r>
          </w:p>
        </w:tc>
      </w:tr>
    </w:tbl>
    <w:p>
      <w:pPr>
        <w:spacing w:before="160" w:after="80"/>
        <w:jc w:val="left"/>
      </w:pPr>
      <w:r>
        <w:rPr>
          <w:rFonts w:ascii="微软雅黑" w:hAnsi="微软雅黑" w:eastAsia="微软雅黑"/>
          <w:b/>
          <w:color w:val="0064A0"/>
          <w:sz w:val="24"/>
        </w:rPr>
        <w:t>2.5 应用场景与推广价值</w:t>
      </w:r>
    </w:p>
    <w:p>
      <w:pPr>
        <w:spacing w:line="324" w:lineRule="auto" w:after="80"/>
        <w:ind w:firstLine="420"/>
      </w:pPr>
      <w:r>
        <w:rPr>
          <w:rFonts w:ascii="微软雅黑" w:hAnsi="微软雅黑" w:eastAsia="微软雅黑"/>
          <w:b w:val="0"/>
          <w:sz w:val="21"/>
        </w:rPr>
        <w:t>LandfillMind 可直接应用于全国 1800+ 座生活垃圾填埋场，尤其适合县级及以下缺乏专业工程师的中小型填埋场。</w:t>
      </w:r>
      <w:r>
        <w:rPr>
          <w:rFonts w:ascii="微软雅黑" w:hAnsi="微软雅黑" w:eastAsia="微软雅黑"/>
          <w:b w:val="0"/>
          <w:sz w:val="21"/>
        </w:rPr>
        <w:t>系统零成本部署、开箱即用，一线人员经过 10 分钟培训即可上手使用。</w:t>
      </w:r>
    </w:p>
    <w:p>
      <w:pPr>
        <w:spacing w:line="324" w:lineRule="auto" w:after="80"/>
        <w:ind w:firstLine="420"/>
      </w:pPr>
      <w:r>
        <w:rPr>
          <w:rFonts w:ascii="微软雅黑" w:hAnsi="微软雅黑" w:eastAsia="微软雅黑"/>
          <w:b w:val="0"/>
          <w:sz w:val="21"/>
        </w:rPr>
        <w:t>此外，本作品提出的"双引擎纠偏"架构具有极强的领域迁移性，可推广至矿山安全、化工应急、桥梁隧道监测等</w:t>
      </w:r>
      <w:r>
        <w:rPr>
          <w:rFonts w:ascii="微软雅黑" w:hAnsi="微软雅黑" w:eastAsia="微软雅黑"/>
          <w:b w:val="0"/>
          <w:sz w:val="21"/>
        </w:rPr>
        <w:t>其他对数值准确性要求高的安全关键场景，具备显著的社会效益与产业价值。</w:t>
      </w:r>
    </w:p>
    <w:p>
      <w:pPr>
        <w:spacing w:before="240" w:after="120"/>
        <w:jc w:val="left"/>
      </w:pPr>
      <w:r>
        <w:rPr>
          <w:rFonts w:ascii="微软雅黑" w:hAnsi="微软雅黑" w:eastAsia="微软雅黑"/>
          <w:b/>
          <w:color w:val="00467F"/>
          <w:sz w:val="28"/>
        </w:rPr>
        <w:t>3. 其他说明</w:t>
      </w:r>
    </w:p>
    <w:p>
      <w:pPr>
        <w:spacing w:line="324" w:lineRule="auto" w:after="80"/>
        <w:ind w:firstLine="420"/>
      </w:pPr>
      <w:r>
        <w:rPr>
          <w:rFonts w:ascii="微软雅黑" w:hAnsi="微软雅黑" w:eastAsia="微软雅黑"/>
          <w:b w:val="0"/>
          <w:sz w:val="21"/>
        </w:rPr>
        <w:t>本作品为团队独立开发，所有代码与知识库内容均为团队原创。系统使用的开源组件包括 React、Three.js、OpenGeoSys 等，</w:t>
      </w:r>
      <w:r>
        <w:rPr>
          <w:rFonts w:ascii="微软雅黑" w:hAnsi="微软雅黑" w:eastAsia="微软雅黑"/>
          <w:b w:val="0"/>
          <w:sz w:val="21"/>
        </w:rPr>
        <w:t>均遵循其对应开源许可证。智谱 GLM-4-Flash 为公开免费 API，Render 部署使用免费层服务，无商业 API 费用依赖。</w:t>
      </w:r>
    </w:p>
    <w:p>
      <w:pPr>
        <w:spacing w:line="324" w:lineRule="auto" w:after="80"/>
        <w:ind w:firstLine="420"/>
      </w:pPr>
      <w:r>
        <w:rPr>
          <w:rFonts w:ascii="微软雅黑" w:hAnsi="微软雅黑" w:eastAsia="微软雅黑"/>
          <w:b w:val="0"/>
          <w:sz w:val="21"/>
        </w:rPr>
        <w:t>作品已在实际模拟场景中完成多轮测试，核心计算结果与商用岩土工程软件（如 GeoStudio）对标验证，</w:t>
      </w:r>
      <w:r>
        <w:rPr>
          <w:rFonts w:ascii="微软雅黑" w:hAnsi="微软雅黑" w:eastAsia="微软雅黑"/>
          <w:b w:val="0"/>
          <w:sz w:val="21"/>
        </w:rPr>
        <w:t>安全系数 Fs 计算误差 &lt; 2%，满足工程精度要求。</w:t>
      </w:r>
    </w:p>
    <w:p/>
    <w:p>
      <w:pPr>
        <w:jc w:val="center"/>
      </w:pPr>
      <w:r>
        <w:rPr>
          <w:rFonts w:ascii="微软雅黑" w:hAnsi="微软雅黑" w:eastAsia="微软雅黑"/>
          <w:b w:val="0"/>
          <w:color w:val="808080"/>
          <w:sz w:val="20"/>
        </w:rPr>
        <w:t>— 全文完 —</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