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IV. SYSTEM DESIGN AND ARCHITECTURE</w:t>
      </w:r>
    </w:p>
    <w:p>
      <w:pPr>
        <w:jc w:val="center"/>
      </w:pPr>
      <w:r>
        <w:t>AutiStudy: A Pilot Evaluation of an AI-Powered Virtual Shadow Teacher for Autistic Students in Pakistan</w:t>
      </w:r>
    </w:p>
    <w:p>
      <w:pPr>
        <w:jc w:val="center"/>
      </w:pPr>
      <w:r>
        <w:t>Section 4 — System Design &amp; Architecture | Author: Zoha Khalid | Target length: 1,000–1,200 words (Q2 journal standard)</w:t>
      </w:r>
    </w:p>
    <w:p/>
    <w:p>
      <w:pPr>
        <w:pStyle w:val="Heading1"/>
      </w:pPr>
      <w:r>
        <w:t>4.1 System Overview</w:t>
      </w:r>
    </w:p>
    <w:p>
      <w:r>
        <w:t>AutiStudy is implemented as a four-layer architecture that separates user interaction, API orchestration, curriculum-grounded intelligence, and adaptive tutoring policy. As illustrated in Fig. 1, Layer 1 is the Next.js 14 web frontend (student and parent interfaces, bilingual RTL layout, in-browser visual aids, and client-side computer vision). Layer 2 is a single FastAPI backend (api_server.py) exposed over HTTP on port 8000, which handles authentication, chat persistence, quiz analytics, and multimodal content generation. Layer 3 is the AI core: hybrid retrieval (ChromaDB dense search, BM25 sparse retrieval, reciprocal rank fusion, and cross-encoder re-ranking), GPT-4o Mini generation, OpenAI TTS, and DALL·E-class image generation. Layer 4 is the agentic layer: nine coordinated logical agents (Supervisor, Content, RAG, Critic, Media, Personalisation, Sensory, Recap, and Progress) that together implement real-time adaptation, safety checks, and long-term student memory.</w:t>
      </w:r>
    </w:p>
    <w:p>
      <w:r>
        <w:t>The frontend and backend are maintained in sibling repositories (AutiStudy-React and AutiStudy) and communicate via a typed REST client with Bearer-token authentication. Curriculum markdown derived from Pakistan Single National Curriculum (SNC) textbooks (Grades 4–7: Mathematics, General Science, Computer Science) is ingested into ChromaDB after LLaMA Parse extraction. Production tutoring combines server-side RAG answers with browser-side hybrid emotion fusion (MediaPipe + face-api.js) and a gated comprehension-check protocol (“Did you get it?”) that escalates through flowcharts, read-aloud, images, MCQs, and breathing exercises when understanding is not confirmed.</w:t>
      </w:r>
    </w:p>
    <w:p>
      <w:r>
        <w:t>[Fig. 1 — Four-layer system architecture: Frontend → FastAPI → AI Core → Agentic Layer. Export as vector SVG or ≥300 DPI PNG from draw.io/Figma.]</w:t>
      </w:r>
    </w:p>
    <w:p>
      <w:pPr>
        <w:pStyle w:val="Heading1"/>
      </w:pPr>
      <w:r>
        <w:t>4.2 Frontend Architecture</w:t>
      </w:r>
    </w:p>
    <w:p>
      <w:r>
        <w:t>The student-facing application is autistudy-web (Next.js 14.2.35, App Router, React 18, TypeScript 5). Table I summarises the stack and design rationale for an autism-friendly, low-distraction learning environment.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Layer</w:t>
            </w:r>
          </w:p>
        </w:tc>
        <w:tc>
          <w:tcPr>
            <w:tcW w:type="dxa" w:w="2160"/>
          </w:tcPr>
          <w:p>
            <w:r>
              <w:t>Technology</w:t>
            </w:r>
          </w:p>
        </w:tc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Justification</w:t>
            </w:r>
          </w:p>
        </w:tc>
      </w:tr>
      <w:tr>
        <w:tc>
          <w:tcPr>
            <w:tcW w:type="dxa" w:w="2160"/>
          </w:tcPr>
          <w:p>
            <w:r>
              <w:t>Framework</w:t>
            </w:r>
          </w:p>
        </w:tc>
        <w:tc>
          <w:tcPr>
            <w:tcW w:type="dxa" w:w="2160"/>
          </w:tcPr>
          <w:p>
            <w:r>
              <w:t>Next.js (App Router)</w:t>
            </w:r>
          </w:p>
        </w:tc>
        <w:tc>
          <w:tcPr>
            <w:tcW w:type="dxa" w:w="2160"/>
          </w:tcPr>
          <w:p>
            <w:r>
              <w:t>14.2.35</w:t>
            </w:r>
          </w:p>
        </w:tc>
        <w:tc>
          <w:tcPr>
            <w:tcW w:type="dxa" w:w="2160"/>
          </w:tcPr>
          <w:p>
            <w:r>
              <w:t>Fast initial load; file-based routing for student/parent roles</w:t>
            </w:r>
          </w:p>
        </w:tc>
      </w:tr>
      <w:tr>
        <w:tc>
          <w:tcPr>
            <w:tcW w:type="dxa" w:w="2160"/>
          </w:tcPr>
          <w:p>
            <w:r>
              <w:t>UI</w:t>
            </w:r>
          </w:p>
        </w:tc>
        <w:tc>
          <w:tcPr>
            <w:tcW w:type="dxa" w:w="2160"/>
          </w:tcPr>
          <w:p>
            <w:r>
              <w:t>React</w:t>
            </w:r>
          </w:p>
        </w:tc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Component model; concurrent rendering for smooth UI</w:t>
            </w:r>
          </w:p>
        </w:tc>
      </w:tr>
      <w:tr>
        <w:tc>
          <w:tcPr>
            <w:tcW w:type="dxa" w:w="2160"/>
          </w:tcPr>
          <w:p>
            <w:r>
              <w:t>Language</w:t>
            </w:r>
          </w:p>
        </w:tc>
        <w:tc>
          <w:tcPr>
            <w:tcW w:type="dxa" w:w="2160"/>
          </w:tcPr>
          <w:p>
            <w:r>
              <w:t>TypeScript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Compile-time safety for child-facing flows</w:t>
            </w:r>
          </w:p>
        </w:tc>
      </w:tr>
      <w:tr>
        <w:tc>
          <w:tcPr>
            <w:tcW w:type="dxa" w:w="2160"/>
          </w:tcPr>
          <w:p>
            <w:r>
              <w:t>Styling</w:t>
            </w:r>
          </w:p>
        </w:tc>
        <w:tc>
          <w:tcPr>
            <w:tcW w:type="dxa" w:w="2160"/>
          </w:tcPr>
          <w:p>
            <w:r>
              <w:t>Tailwind CSS</w:t>
            </w:r>
          </w:p>
        </w:tc>
        <w:tc>
          <w:tcPr>
            <w:tcW w:type="dxa" w:w="2160"/>
          </w:tcPr>
          <w:p>
            <w:r>
              <w:t>3.4.1</w:t>
            </w:r>
          </w:p>
        </w:tc>
        <w:tc>
          <w:tcPr>
            <w:tcW w:type="dxa" w:w="2160"/>
          </w:tcPr>
          <w:p>
            <w:r>
              <w:t>Utility-first CSS; CSS variables for real-time sensory themes</w:t>
            </w:r>
          </w:p>
        </w:tc>
      </w:tr>
      <w:tr>
        <w:tc>
          <w:tcPr>
            <w:tcW w:type="dxa" w:w="2160"/>
          </w:tcPr>
          <w:p>
            <w:r>
              <w:t>Animation</w:t>
            </w:r>
          </w:p>
        </w:tc>
        <w:tc>
          <w:tcPr>
            <w:tcW w:type="dxa" w:w="2160"/>
          </w:tcPr>
          <w:p>
            <w:r>
              <w:t>Framer Motion</w:t>
            </w:r>
          </w:p>
        </w:tc>
        <w:tc>
          <w:tcPr>
            <w:tcW w:type="dxa" w:w="2160"/>
          </w:tcPr>
          <w:p>
            <w:r>
              <w:t>12.38</w:t>
            </w:r>
          </w:p>
        </w:tc>
        <w:tc>
          <w:tcPr>
            <w:tcW w:type="dxa" w:w="2160"/>
          </w:tcPr>
          <w:p>
            <w:r>
              <w:t>Transitions disable globally via reduce-motion (sensory-averse users)</w:t>
            </w:r>
          </w:p>
        </w:tc>
      </w:tr>
      <w:tr>
        <w:tc>
          <w:tcPr>
            <w:tcW w:type="dxa" w:w="2160"/>
          </w:tcPr>
          <w:p>
            <w:r>
              <w:t>Scroll</w:t>
            </w:r>
          </w:p>
        </w:tc>
        <w:tc>
          <w:tcPr>
            <w:tcW w:type="dxa" w:w="2160"/>
          </w:tcPr>
          <w:p>
            <w:r>
              <w:t>Lenis</w:t>
            </w:r>
          </w:p>
        </w:tc>
        <w:tc>
          <w:tcPr>
            <w:tcW w:type="dxa" w:w="2160"/>
          </w:tcPr>
          <w:p>
            <w:r>
              <w:t>1.3</w:t>
            </w:r>
          </w:p>
        </w:tc>
        <w:tc>
          <w:tcPr>
            <w:tcW w:type="dxa" w:w="2160"/>
          </w:tcPr>
          <w:p>
            <w:r>
              <w:t>Smooth scroll reduces jarring page jumps</w:t>
            </w:r>
          </w:p>
        </w:tc>
      </w:tr>
      <w:tr>
        <w:tc>
          <w:tcPr>
            <w:tcW w:type="dxa" w:w="2160"/>
          </w:tcPr>
          <w:p>
            <w:r>
              <w:t>Landing</w:t>
            </w:r>
          </w:p>
        </w:tc>
        <w:tc>
          <w:tcPr>
            <w:tcW w:type="dxa" w:w="2160"/>
          </w:tcPr>
          <w:p>
            <w:r>
              <w:t>GSAP</w:t>
            </w:r>
          </w:p>
        </w:tc>
        <w:tc>
          <w:tcPr>
            <w:tcW w:type="dxa" w:w="2160"/>
          </w:tcPr>
          <w:p>
            <w:r>
              <w:t>3.15</w:t>
            </w:r>
          </w:p>
        </w:tc>
        <w:tc>
          <w:tcPr>
            <w:tcW w:type="dxa" w:w="2160"/>
          </w:tcPr>
          <w:p>
            <w:r>
              <w:t>GPU landing animations isolated from tutoring UI</w:t>
            </w:r>
          </w:p>
        </w:tc>
      </w:tr>
      <w:tr>
        <w:tc>
          <w:tcPr>
            <w:tcW w:type="dxa" w:w="2160"/>
          </w:tcPr>
          <w:p>
            <w:r>
              <w:t>Math</w:t>
            </w:r>
          </w:p>
        </w:tc>
        <w:tc>
          <w:tcPr>
            <w:tcW w:type="dxa" w:w="2160"/>
          </w:tcPr>
          <w:p>
            <w:r>
              <w:t>react-markdown + KaTeX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Server-rendered math; normalizeMath() for delimiters</w:t>
            </w:r>
          </w:p>
        </w:tc>
      </w:tr>
      <w:tr>
        <w:tc>
          <w:tcPr>
            <w:tcW w:type="dxa" w:w="2160"/>
          </w:tcPr>
          <w:p>
            <w:r>
              <w:t>Icons</w:t>
            </w:r>
          </w:p>
        </w:tc>
        <w:tc>
          <w:tcPr>
            <w:tcW w:type="dxa" w:w="2160"/>
          </w:tcPr>
          <w:p>
            <w:r>
              <w:t>lucide-react</w:t>
            </w:r>
          </w:p>
        </w:tc>
        <w:tc>
          <w:tcPr>
            <w:tcW w:type="dxa" w:w="2160"/>
          </w:tcPr>
          <w:p>
            <w:r>
              <w:t>1.8</w:t>
            </w:r>
          </w:p>
        </w:tc>
        <w:tc>
          <w:tcPr>
            <w:tcW w:type="dxa" w:w="2160"/>
          </w:tcPr>
          <w:p>
            <w:r>
              <w:t>Accessible icons with ARIA labels</w:t>
            </w:r>
          </w:p>
        </w:tc>
      </w:tr>
      <w:tr>
        <w:tc>
          <w:tcPr>
            <w:tcW w:type="dxa" w:w="2160"/>
          </w:tcPr>
          <w:p>
            <w:r>
              <w:t>Fonts</w:t>
            </w:r>
          </w:p>
        </w:tc>
        <w:tc>
          <w:tcPr>
            <w:tcW w:type="dxa" w:w="2160"/>
          </w:tcPr>
          <w:p>
            <w:r>
              <w:t>Quicksand + Inter</w:t>
            </w:r>
          </w:p>
        </w:tc>
        <w:tc>
          <w:tcPr>
            <w:tcW w:type="dxa" w:w="2160"/>
          </w:tcPr>
          <w:p>
            <w:r>
              <w:t>Google Fonts</w:t>
            </w:r>
          </w:p>
        </w:tc>
        <w:tc>
          <w:tcPr>
            <w:tcW w:type="dxa" w:w="2160"/>
          </w:tcPr>
          <w:p>
            <w:r>
              <w:t>Rounded forms aid dyslexia/ASD readability</w:t>
            </w:r>
          </w:p>
        </w:tc>
      </w:tr>
      <w:tr>
        <w:tc>
          <w:tcPr>
            <w:tcW w:type="dxa" w:w="2160"/>
          </w:tcPr>
          <w:p>
            <w:r>
              <w:t>E2E</w:t>
            </w:r>
          </w:p>
        </w:tc>
        <w:tc>
          <w:tcPr>
            <w:tcW w:type="dxa" w:w="2160"/>
          </w:tcPr>
          <w:p>
            <w:r>
              <w:t>Playwright</w:t>
            </w:r>
          </w:p>
        </w:tc>
        <w:tc>
          <w:tcPr>
            <w:tcW w:type="dxa" w:w="2160"/>
          </w:tcPr>
          <w:p>
            <w:r>
              <w:t>1.59</w:t>
            </w:r>
          </w:p>
        </w:tc>
        <w:tc>
          <w:tcPr>
            <w:tcW w:type="dxa" w:w="2160"/>
          </w:tcPr>
          <w:p>
            <w:r>
              <w:t>Automated login, chat, quiz, parent flows</w:t>
            </w:r>
          </w:p>
        </w:tc>
      </w:tr>
      <w:tr>
        <w:tc>
          <w:tcPr>
            <w:tcW w:type="dxa" w:w="2160"/>
          </w:tcPr>
          <w:p>
            <w:r>
              <w:t>API client</w:t>
            </w:r>
          </w:p>
        </w:tc>
        <w:tc>
          <w:tcPr>
            <w:tcW w:type="dxa" w:w="2160"/>
          </w:tcPr>
          <w:p>
            <w:r>
              <w:t>lib/api/client.ts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Typed fetch; dual tokens (student/parent)</w:t>
            </w:r>
          </w:p>
        </w:tc>
      </w:tr>
    </w:tbl>
    <w:p/>
    <w:p>
      <w:r>
        <w:t>Table I — Frontend technology stack.</w:t>
      </w:r>
    </w:p>
    <w:p>
      <w:r>
        <w:t>Key routes include / (landing), /login and /signup (dual role), /dashboard (stats and subject cards), /chat (AI tutor with URL state machine: ?subject → ?session), /quiz (phase-based MCQs), /analytics (seven-day activity), /parent/dashboard and /parent/report (child metrics and LLM-generated JSON reports). The chat page orchestrates two coordinated subsystems: useAdaptiveTutorAgent (hybrid webcam CV, engagement analyser, preferred answer format hints) and useComprehensionFlow (popup-gated adaptation ladder with scroll/TTS/image timing gates). Raw webcam frames never leave the browser; only derived emotion probabilities influence tutoring policy, preserving privacy for minors.</w:t>
      </w:r>
    </w:p>
    <w:p>
      <w:r>
        <w:t>Eleven in-browser visual aid types (EmojiCounting, MathStepCard, FactorTree, FractionBar, NumberLine, BarChart, PercentageBar, TimesTable, Geometry, Ratio, and DALL·E concept images) render client-side from structured JSON returned by the backend, avoiding extra network latency after the initial response. LocaleProvider enables English/Urdu switching with RTL layout; SettingsContext persists font size, high contrast, focus mode, and animation toggles to localStorage (WCAG-aligned: resize text SC 1.4.4, contrast SC 1.4.3, animation SC 2.3.3).</w:t>
      </w:r>
    </w:p>
    <w:p>
      <w:pPr>
        <w:pStyle w:val="Heading1"/>
      </w:pPr>
      <w:r>
        <w:t>4.3 Backend Architecture</w:t>
      </w:r>
    </w:p>
    <w:p>
      <w:r>
        <w:t>The backend uses FastAPI only (not Flask): a single api_server.py process with uvicorn, CORS for localhost:3000/3001, and a 16-worker ThreadPoolExecutor (run_in_thread) so blocking ChromaDB, EasyOCR, and bcrypt operations do not stall the async event loop. Authentication employs 32-character hex Bearer tokens (SHA-256 derived, seven-day TTL) with bcrypt password hashing (12 rounds; legacy SHA-256 migration on login). Persistence is file-based JSON under data/ (users, sessions, chats, parents, agent_memory) plus quiz_data/ per student—appropriate for a research prototype shared with a legacy Streamlit UI.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Group</w:t>
            </w:r>
          </w:p>
        </w:tc>
        <w:tc>
          <w:tcPr>
            <w:tcW w:type="dxa" w:w="4320"/>
          </w:tcPr>
          <w:p>
            <w:r>
              <w:t>Representative endpoints</w:t>
            </w:r>
          </w:p>
        </w:tc>
      </w:tr>
      <w:tr>
        <w:tc>
          <w:tcPr>
            <w:tcW w:type="dxa" w:w="4320"/>
          </w:tcPr>
          <w:p>
            <w:r>
              <w:t>Public</w:t>
            </w:r>
          </w:p>
        </w:tc>
        <w:tc>
          <w:tcPr>
            <w:tcW w:type="dxa" w:w="4320"/>
          </w:tcPr>
          <w:p>
            <w:r>
              <w:t>GET /, /api/health, /api/chat/config</w:t>
            </w:r>
          </w:p>
        </w:tc>
      </w:tr>
      <w:tr>
        <w:tc>
          <w:tcPr>
            <w:tcW w:type="dxa" w:w="4320"/>
          </w:tcPr>
          <w:p>
            <w:r>
              <w:t>Student auth</w:t>
            </w:r>
          </w:p>
        </w:tc>
        <w:tc>
          <w:tcPr>
            <w:tcW w:type="dxa" w:w="4320"/>
          </w:tcPr>
          <w:p>
            <w:r>
              <w:t>POST /api/auth/register, /login, /logout; GET /api/auth/me; POST /api/auth/child/signup (multipart B-Form)</w:t>
            </w:r>
          </w:p>
        </w:tc>
      </w:tr>
      <w:tr>
        <w:tc>
          <w:tcPr>
            <w:tcW w:type="dxa" w:w="4320"/>
          </w:tcPr>
          <w:p>
            <w:r>
              <w:t>Parent auth</w:t>
            </w:r>
          </w:p>
        </w:tc>
        <w:tc>
          <w:tcPr>
            <w:tcW w:type="dxa" w:w="4320"/>
          </w:tcPr>
          <w:p>
            <w:r>
              <w:t>POST /api/auth/parent/signup, /login; GET /api/parent/dashboard, /report</w:t>
            </w:r>
          </w:p>
        </w:tc>
      </w:tr>
      <w:tr>
        <w:tc>
          <w:tcPr>
            <w:tcW w:type="dxa" w:w="4320"/>
          </w:tcPr>
          <w:p>
            <w:r>
              <w:t>Dashboard</w:t>
            </w:r>
          </w:p>
        </w:tc>
        <w:tc>
          <w:tcPr>
            <w:tcW w:type="dxa" w:w="4320"/>
          </w:tcPr>
          <w:p>
            <w:r>
              <w:t>GET /api/users/me/stats, /subjects, /recent-chats, /recent-quizzes</w:t>
            </w:r>
          </w:p>
        </w:tc>
      </w:tr>
      <w:tr>
        <w:tc>
          <w:tcPr>
            <w:tcW w:type="dxa" w:w="4320"/>
          </w:tcPr>
          <w:p>
            <w:r>
              <w:t>Chat</w:t>
            </w:r>
          </w:p>
        </w:tc>
        <w:tc>
          <w:tcPr>
            <w:tcW w:type="dxa" w:w="4320"/>
          </w:tcPr>
          <w:p>
            <w:r>
              <w:t>GET/POST /api/chat/sessions; POST .../messages, /image, /speech, /quiz</w:t>
            </w:r>
          </w:p>
        </w:tc>
      </w:tr>
      <w:tr>
        <w:tc>
          <w:tcPr>
            <w:tcW w:type="dxa" w:w="4320"/>
          </w:tcPr>
          <w:p>
            <w:r>
              <w:t>Quiz &amp; analytics</w:t>
            </w:r>
          </w:p>
        </w:tc>
        <w:tc>
          <w:tcPr>
            <w:tcW w:type="dxa" w:w="4320"/>
          </w:tcPr>
          <w:p>
            <w:r>
              <w:t>GET /api/quiz/chapters; POST /generate, /submit; GET /api/analytics</w:t>
            </w:r>
          </w:p>
        </w:tc>
      </w:tr>
      <w:tr>
        <w:tc>
          <w:tcPr>
            <w:tcW w:type="dxa" w:w="4320"/>
          </w:tcPr>
          <w:p>
            <w:r>
              <w:t>Teaching agent</w:t>
            </w:r>
          </w:p>
        </w:tc>
        <w:tc>
          <w:tcPr>
            <w:tcW w:type="dxa" w:w="4320"/>
          </w:tcPr>
          <w:p>
            <w:r>
              <w:t>POST /api/agent/generate-content, /step-mcqs; GET /api/agent/memory; POST /session-summary</w:t>
            </w:r>
          </w:p>
        </w:tc>
      </w:tr>
      <w:tr>
        <w:tc>
          <w:tcPr>
            <w:tcW w:type="dxa" w:w="4320"/>
          </w:tcPr>
          <w:p>
            <w:r>
              <w:t>Legacy CV API</w:t>
            </w:r>
          </w:p>
        </w:tc>
        <w:tc>
          <w:tcPr>
            <w:tcW w:type="dxa" w:w="4320"/>
          </w:tcPr>
          <w:p>
            <w:r>
              <w:t>POST /api/agent/analyze-emotion (GPT-4o Mini Vision on JPEG frames)</w:t>
            </w:r>
          </w:p>
        </w:tc>
      </w:tr>
    </w:tbl>
    <w:p/>
    <w:p>
      <w:r>
        <w:t>Table II — REST API endpoint groups.</w:t>
      </w:r>
    </w:p>
    <w:p>
      <w:r>
        <w:t>chat_engine.py bridges the API to utils/llm.py and utils/rag.py. Each chat message triggers intent-aware retrieval, prompt construction with grade/subject context, and gpt-4o-mini generation (max ~600 tokens, temperature 0.7). Visual aids are routed deterministically by utils/visual_aids.py (regex priority, no LLM) before optional DALL·E fallback. Generated images are cached under temp_generated_images/ and served at /api/generated-images/.</w:t>
      </w:r>
    </w:p>
    <w:p>
      <w:pPr>
        <w:pStyle w:val="Heading1"/>
      </w:pPr>
      <w:r>
        <w:t>4.4 Data Collection and LLaMA Parse Ingestion</w:t>
      </w:r>
    </w:p>
    <w:p>
      <w:r>
        <w:t>Curriculum data comprise Pakistan SNC textbook PDFs for Grades 4–7 (Mathematics, General Science, Computer Science). Initial OCR (EasyOCR + OpenCV) achieved only ~45% usable text quality—mathematical notation, Urdu script, and tables were frequently malformed. LLaMA Parse (LlamaIndex document parser) raised extraction quality to ~98%, preserving LaTeX, headings, tables, and Urdu structure. Chunks are semantic segments with metadata: Chapter Name, Section Title, Page Number, and Block Type (Definition, Procedure, Example, Practice, Explanation). Procedure and Explanation blocks receive higher retrieval weights because they align with procedural tutoring queries.</w:t>
      </w:r>
    </w:p>
    <w:p>
      <w:r>
        <w:t>Because Urdu subword tokenization consumes more OpenAI tokens per word than Latin text, chunk sizes should be reported in both characters and estimated tokens (e.g., ~800 characters ≈ ~200 English tokens vs. ~350 tokens for equivalent Urdu content). This justifies the k=6 context limit at generation time (Salemi &amp; Zamani). Table III (Dataset Statistics) should list books ingested, total pages/chunks, vocabulary size, and block-type distribution once computed from the ChromaDB collection ptb_textbooks.</w:t>
      </w:r>
    </w:p>
    <w:p>
      <w:r>
        <w:t>Known limitation: math_parse_7.md exists on disk but is not registered in BOOK_MAP, so Grade 7 Mathematics quiz chapters are unavailable in the current build.</w:t>
      </w:r>
    </w:p>
    <w:p>
      <w:pPr>
        <w:pStyle w:val="Heading1"/>
      </w:pPr>
      <w:r>
        <w:t>4.5 Hybrid RAG Pipeline (Science and Computer Science)</w:t>
      </w:r>
    </w:p>
    <w:p>
      <w:r>
        <w:t>Science and Computer Science share a hybrid retrieval pipeline (see Fig. 2). Step 1 applies rule-based intent detection (definition, example, procedure, problem-solving). Step 2 runs parallel dense semantic search (ChromaDB, all-MiniLM-L6-v2) and BM25 sparse retrieval—weighted 65% dense / 35% BM25 for Computer Science; Science uses reciprocal rank fusion (RRF, k=60) after parallel retrieval. Step 3 merges ranked lists via RRF. Step 4 applies keyword gating and metadata filtering so block types match detected intent. Step 5 re-ranks the top 40 candidates with cross-encoder/ms-marco-MiniLM-L-6-v2 and selects top k=6 documents. Step 6 injects these chunks into GPT-4o Mini for a curriculum-aligned answer. Offline evaluation reports Retrieval Precision@5 of 87% and Answer Relevance of 91% versus OCR-based baselines (+45% and +36% respectively).</w:t>
      </w:r>
    </w:p>
    <w:p>
      <w:pPr>
        <w:pStyle w:val="Heading1"/>
      </w:pPr>
      <w:r>
        <w:t>4.6 RAT Pipeline (Mathematics)</w:t>
      </w:r>
    </w:p>
    <w:p>
      <w:r>
        <w:t>Mathematics uses Retrieval-Augmented Thinking (RAT) in evaluation: GPT-4o Mini first decomposes a problem via chain-of-thought into sub-questions; each sub-query searches ChromaDB independently; retrieved Procedure blocks verify intermediate steps; a step-by-step explanation is synthesised. This design achieves MRR = 1.00 for procedural queries versus 0.255 for dense-only RAG in offline tests—because sub-queries align with Procedure metadata rather than concept definitions.</w:t>
      </w:r>
    </w:p>
    <w:p>
      <w:r>
        <w:t>Important implementation note: RAT is currently disabled in the production API (use_rat flag) due to latency from multiple cross-encoder passes per sub-query. Live maths tutoring uses the optimised hybrid RAG path (65% dense + 35% BM25) until RAT is parallelised or cached. Fig. 3 should depict the RAT pipeline for the paper; evaluation metrics come from offline benchmarks.</w:t>
      </w:r>
    </w:p>
    <w:p>
      <w:pPr>
        <w:pStyle w:val="Heading1"/>
      </w:pPr>
      <w:r>
        <w:t>4.7 Nine-Agent Agentic Architecture</w:t>
      </w:r>
    </w:p>
    <w:p>
      <w:r>
        <w:t>AutiStudy coordinates nine logical agents (Fig. 4) to mirror a human shadow teacher: routing, retrieval, critique, media, personalisation, sensory UI, session recap, and progress reporting. At the design level, LangGraph StateGraph orchestrates agent hand-offs; in the deployed prototype, equivalent behaviour is distributed across FastAPI modules and React state machines.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Agent</w:t>
            </w:r>
          </w:p>
        </w:tc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Implementation</w:t>
            </w:r>
          </w:p>
        </w:tc>
      </w:tr>
      <w:tr>
        <w:tc>
          <w:tcPr>
            <w:tcW w:type="dxa" w:w="2880"/>
          </w:tcPr>
          <w:p>
            <w:r>
              <w:t>Supervisor</w:t>
            </w:r>
          </w:p>
        </w:tc>
        <w:tc>
          <w:tcPr>
            <w:tcW w:type="dxa" w:w="2880"/>
          </w:tcPr>
          <w:p>
            <w:r>
              <w:t>Routes queries to RAG or RAT; coordinates adaptation</w:t>
            </w:r>
          </w:p>
        </w:tc>
        <w:tc>
          <w:tcPr>
            <w:tcW w:type="dxa" w:w="2880"/>
          </w:tcPr>
          <w:p>
            <w:r>
              <w:t>api_server + chat_engine orchestration</w:t>
            </w:r>
          </w:p>
        </w:tc>
      </w:tr>
      <w:tr>
        <w:tc>
          <w:tcPr>
            <w:tcW w:type="dxa" w:w="2880"/>
          </w:tcPr>
          <w:p>
            <w:r>
              <w:t>Content</w:t>
            </w:r>
          </w:p>
        </w:tc>
        <w:tc>
          <w:tcPr>
            <w:tcW w:type="dxa" w:w="2880"/>
          </w:tcPr>
          <w:p>
            <w:r>
              <w:t>Intent detection; builds retrieval plan</w:t>
            </w:r>
          </w:p>
        </w:tc>
        <w:tc>
          <w:tcPr>
            <w:tcW w:type="dxa" w:w="2880"/>
          </w:tcPr>
          <w:p>
            <w:r>
              <w:t>Rule-based classifier + gpt-4o-mini</w:t>
            </w:r>
          </w:p>
        </w:tc>
      </w:tr>
      <w:tr>
        <w:tc>
          <w:tcPr>
            <w:tcW w:type="dxa" w:w="2880"/>
          </w:tcPr>
          <w:p>
            <w:r>
              <w:t>RAG</w:t>
            </w:r>
          </w:p>
        </w:tc>
        <w:tc>
          <w:tcPr>
            <w:tcW w:type="dxa" w:w="2880"/>
          </w:tcPr>
          <w:p>
            <w:r>
              <w:t>Hybrid retrieval and re-ranking</w:t>
            </w:r>
          </w:p>
        </w:tc>
        <w:tc>
          <w:tcPr>
            <w:tcW w:type="dxa" w:w="2880"/>
          </w:tcPr>
          <w:p>
            <w:r>
              <w:t>utils/rag.py — ChromaDB, BM25, MS-Marco</w:t>
            </w:r>
          </w:p>
        </w:tc>
      </w:tr>
      <w:tr>
        <w:tc>
          <w:tcPr>
            <w:tcW w:type="dxa" w:w="2880"/>
          </w:tcPr>
          <w:p>
            <w:r>
              <w:t>Critic</w:t>
            </w:r>
          </w:p>
        </w:tc>
        <w:tc>
          <w:tcPr>
            <w:tcW w:type="dxa" w:w="2880"/>
          </w:tcPr>
          <w:p>
            <w:r>
              <w:t>Accuracy, clarity, age-appropriateness (CoT)</w:t>
            </w:r>
          </w:p>
        </w:tc>
        <w:tc>
          <w:tcPr>
            <w:tcW w:type="dxa" w:w="2880"/>
          </w:tcPr>
          <w:p>
            <w:r>
              <w:t>Prompt rules + relevance thresholds</w:t>
            </w:r>
          </w:p>
        </w:tc>
      </w:tr>
      <w:tr>
        <w:tc>
          <w:tcPr>
            <w:tcW w:type="dxa" w:w="2880"/>
          </w:tcPr>
          <w:p>
            <w:r>
              <w:t>Media</w:t>
            </w:r>
          </w:p>
        </w:tc>
        <w:tc>
          <w:tcPr>
            <w:tcW w:type="dxa" w:w="2880"/>
          </w:tcPr>
          <w:p>
            <w:r>
              <w:t>Images (gpt-image chain) and TTS (tts-1)</w:t>
            </w:r>
          </w:p>
        </w:tc>
        <w:tc>
          <w:tcPr>
            <w:tcW w:type="dxa" w:w="2880"/>
          </w:tcPr>
          <w:p>
            <w:r>
              <w:t>utils/llm.py, visual_aids.py</w:t>
            </w:r>
          </w:p>
        </w:tc>
      </w:tr>
      <w:tr>
        <w:tc>
          <w:tcPr>
            <w:tcW w:type="dxa" w:w="2880"/>
          </w:tcPr>
          <w:p>
            <w:r>
              <w:t>Personalisation</w:t>
            </w:r>
          </w:p>
        </w:tc>
        <w:tc>
          <w:tcPr>
            <w:tcW w:type="dxa" w:w="2880"/>
          </w:tcPr>
          <w:p>
            <w:r>
              <w:t>Difficulty from quiz history</w:t>
            </w:r>
          </w:p>
        </w:tc>
        <w:tc>
          <w:tcPr>
            <w:tcW w:type="dxa" w:w="2880"/>
          </w:tcPr>
          <w:p>
            <w:r>
              <w:t>agent_memory JSON + analytics</w:t>
            </w:r>
          </w:p>
        </w:tc>
      </w:tr>
      <w:tr>
        <w:tc>
          <w:tcPr>
            <w:tcW w:type="dxa" w:w="2880"/>
          </w:tcPr>
          <w:p>
            <w:r>
              <w:t>Sensory</w:t>
            </w:r>
          </w:p>
        </w:tc>
        <w:tc>
          <w:tcPr>
            <w:tcW w:type="dxa" w:w="2880"/>
          </w:tcPr>
          <w:p>
            <w:r>
              <w:t>Font, contrast, motion, sound toggles</w:t>
            </w:r>
          </w:p>
        </w:tc>
        <w:tc>
          <w:tcPr>
            <w:tcW w:type="dxa" w:w="2880"/>
          </w:tcPr>
          <w:p>
            <w:r>
              <w:t>SettingsContext + CSS variables (React)</w:t>
            </w:r>
          </w:p>
        </w:tc>
      </w:tr>
      <w:tr>
        <w:tc>
          <w:tcPr>
            <w:tcW w:type="dxa" w:w="2880"/>
          </w:tcPr>
          <w:p>
            <w:r>
              <w:t>Recap</w:t>
            </w:r>
          </w:p>
        </w:tc>
        <w:tc>
          <w:tcPr>
            <w:tcW w:type="dxa" w:w="2880"/>
          </w:tcPr>
          <w:p>
            <w:r>
              <w:t>Session continuity summaries</w:t>
            </w:r>
          </w:p>
        </w:tc>
        <w:tc>
          <w:tcPr>
            <w:tcW w:type="dxa" w:w="2880"/>
          </w:tcPr>
          <w:p>
            <w:r>
              <w:t>gpt-4o-mini via session-summary endpoint</w:t>
            </w:r>
          </w:p>
        </w:tc>
      </w:tr>
      <w:tr>
        <w:tc>
          <w:tcPr>
            <w:tcW w:type="dxa" w:w="2880"/>
          </w:tcPr>
          <w:p>
            <w:r>
              <w:t>Progress</w:t>
            </w:r>
          </w:p>
        </w:tc>
        <w:tc>
          <w:tcPr>
            <w:tcW w:type="dxa" w:w="2880"/>
          </w:tcPr>
          <w:p>
            <w:r>
              <w:t>Long-term memory; parent dashboard</w:t>
            </w:r>
          </w:p>
        </w:tc>
        <w:tc>
          <w:tcPr>
            <w:tcW w:type="dxa" w:w="2880"/>
          </w:tcPr>
          <w:p>
            <w:r>
              <w:t>agent_memory/{md5}.json, parent APIs</w:t>
            </w:r>
          </w:p>
        </w:tc>
      </w:tr>
    </w:tbl>
    <w:p/>
    <w:p>
      <w:r>
        <w:t>Table III — Nine-agent roles and technologies.</w:t>
      </w:r>
    </w:p>
    <w:p>
      <w:r>
        <w:t>The browser adaptive tutor extends the Sensory and Supervisor roles: HybridEmotionEngine fuses MediaPipe blendshapes (~15 FPS) with face-api.js CNN expressions (~2 FPS), smoothed over 3–8 s buffers. ComprehensionStateMachine and TutorComprehensionFlow implement the five-round ladder (flowchart → read-aloud → image → recall/teaching MCQs → breathing). POST /api/agent/generate-content produces adaptation text; POST /api/agent/step-mcqs supports default, teaching, and appreciation modes. A legacy ReAct Media Agent (POST /api/agent/run, GPT-4o function calling, max three iterations) remains for full tool orchestration but is separate from the primary popup-gated flow.</w:t>
      </w:r>
    </w:p>
    <w:p>
      <w:pPr>
        <w:pStyle w:val="Heading1"/>
      </w:pPr>
      <w:r>
        <w:t>4.8 Security and Prompt-Injection Defence</w:t>
      </w:r>
    </w:p>
    <w:p>
      <w:r>
        <w:t>Because AutiStudy serves minors, defence-in-depth is applied. The Critic agent concept evaluates answers for curriculum alignment and age-appropriateness before display. Content-agent intent classification rejects out-of-scope queries (non Maths/Science/Computer Science) with a boundary message. Subject keyword gating filters retrieved chunks from unrelated subjects. System prompts are fixed at the API layer; user text is passed only in user-role messages to reduce role-confusion attacks. RAG relevance scoring (threshold 0.35 with subject keywords, 0.55 without) blocks off-textbook queries (~85% detection vs. ~20% baseline in internal tests). Student-facing agents have no web browsing, code execution, or arbitrary external APIs—attack surface is limited to the curriculum knowledge base. Camera consent is stored locally (autistudy_camera_consent); CNIC data from B-Form OCR is used for registration verification and not retained in plaintext after account creation. The debug endpoint /api/debug/openai-ping must be removed before production.</w:t>
      </w:r>
    </w:p>
    <w:p>
      <w:pPr>
        <w:pStyle w:val="Heading1"/>
      </w:pPr>
      <w:r>
        <w:t>Figures and Tables Checklist (Section IV)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Fig. 1</w:t>
            </w:r>
          </w:p>
        </w:tc>
        <w:tc>
          <w:tcPr>
            <w:tcW w:type="dxa" w:w="2880"/>
          </w:tcPr>
          <w:p>
            <w:r>
              <w:t>Four-layer architecture (Frontend → FastAPI → AI Core → Agents)</w:t>
            </w:r>
          </w:p>
        </w:tc>
        <w:tc>
          <w:tcPr>
            <w:tcW w:type="dxa" w:w="2880"/>
          </w:tcPr>
          <w:p>
            <w:r>
              <w:t>To export ≥300 DPI</w:t>
            </w:r>
          </w:p>
        </w:tc>
      </w:tr>
      <w:tr>
        <w:tc>
          <w:tcPr>
            <w:tcW w:type="dxa" w:w="2880"/>
          </w:tcPr>
          <w:p>
            <w:r>
              <w:t>Fig. 2</w:t>
            </w:r>
          </w:p>
        </w:tc>
        <w:tc>
          <w:tcPr>
            <w:tcW w:type="dxa" w:w="2880"/>
          </w:tcPr>
          <w:p>
            <w:r>
              <w:t>Hybrid RAG pipeline (Science/CS)</w:t>
            </w:r>
          </w:p>
        </w:tc>
        <w:tc>
          <w:tcPr>
            <w:tcW w:type="dxa" w:w="2880"/>
          </w:tcPr>
          <w:p>
            <w:r>
              <w:t>To export ≥300 DPI</w:t>
            </w:r>
          </w:p>
        </w:tc>
      </w:tr>
      <w:tr>
        <w:tc>
          <w:tcPr>
            <w:tcW w:type="dxa" w:w="2880"/>
          </w:tcPr>
          <w:p>
            <w:r>
              <w:t>Fig. 3</w:t>
            </w:r>
          </w:p>
        </w:tc>
        <w:tc>
          <w:tcPr>
            <w:tcW w:type="dxa" w:w="2880"/>
          </w:tcPr>
          <w:p>
            <w:r>
              <w:t>RAT pipeline (Mathematics)</w:t>
            </w:r>
          </w:p>
        </w:tc>
        <w:tc>
          <w:tcPr>
            <w:tcW w:type="dxa" w:w="2880"/>
          </w:tcPr>
          <w:p>
            <w:r>
              <w:t>To export ≥300 DPI</w:t>
            </w:r>
          </w:p>
        </w:tc>
      </w:tr>
      <w:tr>
        <w:tc>
          <w:tcPr>
            <w:tcW w:type="dxa" w:w="2880"/>
          </w:tcPr>
          <w:p>
            <w:r>
              <w:t>Fig. 4</w:t>
            </w:r>
          </w:p>
        </w:tc>
        <w:tc>
          <w:tcPr>
            <w:tcW w:type="dxa" w:w="2880"/>
          </w:tcPr>
          <w:p>
            <w:r>
              <w:t>Nine-agent architecture</w:t>
            </w:r>
          </w:p>
        </w:tc>
        <w:tc>
          <w:tcPr>
            <w:tcW w:type="dxa" w:w="2880"/>
          </w:tcPr>
          <w:p>
            <w:r>
              <w:t>To export ≥300 DPI</w:t>
            </w:r>
          </w:p>
        </w:tc>
      </w:tr>
      <w:tr>
        <w:tc>
          <w:tcPr>
            <w:tcW w:type="dxa" w:w="2880"/>
          </w:tcPr>
          <w:p>
            <w:r>
              <w:t>Table I</w:t>
            </w:r>
          </w:p>
        </w:tc>
        <w:tc>
          <w:tcPr>
            <w:tcW w:type="dxa" w:w="2880"/>
          </w:tcPr>
          <w:p>
            <w:r>
              <w:t>Frontend stack</w:t>
            </w:r>
          </w:p>
        </w:tc>
        <w:tc>
          <w:tcPr>
            <w:tcW w:type="dxa" w:w="2880"/>
          </w:tcPr>
          <w:p>
            <w:r>
              <w:t>Included above</w:t>
            </w:r>
          </w:p>
        </w:tc>
      </w:tr>
      <w:tr>
        <w:tc>
          <w:tcPr>
            <w:tcW w:type="dxa" w:w="2880"/>
          </w:tcPr>
          <w:p>
            <w:r>
              <w:t>Table II</w:t>
            </w:r>
          </w:p>
        </w:tc>
        <w:tc>
          <w:tcPr>
            <w:tcW w:type="dxa" w:w="2880"/>
          </w:tcPr>
          <w:p>
            <w:r>
              <w:t>API endpoint groups</w:t>
            </w:r>
          </w:p>
        </w:tc>
        <w:tc>
          <w:tcPr>
            <w:tcW w:type="dxa" w:w="2880"/>
          </w:tcPr>
          <w:p>
            <w:r>
              <w:t>Included above</w:t>
            </w:r>
          </w:p>
        </w:tc>
      </w:tr>
      <w:tr>
        <w:tc>
          <w:tcPr>
            <w:tcW w:type="dxa" w:w="2880"/>
          </w:tcPr>
          <w:p>
            <w:r>
              <w:t>Table III</w:t>
            </w:r>
          </w:p>
        </w:tc>
        <w:tc>
          <w:tcPr>
            <w:tcW w:type="dxa" w:w="2880"/>
          </w:tcPr>
          <w:p>
            <w:r>
              <w:t>Nine-agent mapping</w:t>
            </w:r>
          </w:p>
        </w:tc>
        <w:tc>
          <w:tcPr>
            <w:tcW w:type="dxa" w:w="2880"/>
          </w:tcPr>
          <w:p>
            <w:r>
              <w:t>Included above</w:t>
            </w:r>
          </w:p>
        </w:tc>
      </w:tr>
      <w:tr>
        <w:tc>
          <w:tcPr>
            <w:tcW w:type="dxa" w:w="2880"/>
          </w:tcPr>
          <w:p>
            <w:r>
              <w:t>Table (paper)</w:t>
            </w:r>
          </w:p>
        </w:tc>
        <w:tc>
          <w:tcPr>
            <w:tcW w:type="dxa" w:w="2880"/>
          </w:tcPr>
          <w:p>
            <w:r>
              <w:t>Dataset statistics (Section 6.2)</w:t>
            </w:r>
          </w:p>
        </w:tc>
        <w:tc>
          <w:tcPr>
            <w:tcW w:type="dxa" w:w="2880"/>
          </w:tcPr>
          <w:p>
            <w:r>
              <w:t>Fill from ChromaDB</w:t>
            </w:r>
          </w:p>
        </w:tc>
      </w:tr>
    </w:tbl>
    <w:p/>
    <w:p/>
    <w:p>
      <w:pPr>
        <w:jc w:val="center"/>
      </w:pPr>
      <w:r>
        <w:t>Document generated from AutiStudy_Final_Research_Guide.pdf (Section 4) and aligned with AutiStudy / AutiStudy-React implementation (v4.1 adaptive-agent, May 2026).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2D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