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EOR MVP 0.4.5 核心数据（影响力/金钱/土地）功能说明书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本文档总结2026年2月18日下午讨论的EOR MVP 0.4.5版本中，影响力、金钱、土地三大核心数据的关联关系、核心流程及相关规则，适配当前项目轻量落地需求，为后续开发、测试及迭代提供依据，全程贴合项目现有闭环设计，不新增冗余功能。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文档范围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仅覆盖2月18日下午明确的三大核心数据（影响力、金钱、土地），包含各数据的定义、来源、去向，三者之间的联动逻辑，以及相关核心流程（土地分配、金钱流转、影响力作用），不涉及未讨论的事件、人物权谋等扩展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核心数据定义及基础规则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土地（核心资产，隐式承载人口、粮食功能）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定义：罗马对外征服获得的核心资产，分为国家公地（未分配）和元老私产（已分配/抢购），间接代表人口规模、粮食生产力，是金钱和影响力的核心基础，同时承担运营开销关联责任。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基础规则：土地数量决定金钱产出上限和运营开销高低，正常情况下土地收益（税收等）＞运营开销，受自然灾害、暴乱事件冲击时，土地产出会临时锐减。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金钱（流通资源，分双层归属）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定义：游戏内核心流通资源，分为国库（国家层面）和个人财富（玩家层面），双层归属独立核算，各自有明确的来源和去向，是维持国家运转、玩家政治操作的核心支撑。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基础规则：国家破产（国库余额持续为负且无法逆转）则游戏失败；个人破产（个人财富持续为负且无人借钱续命）则玩家人物消失。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影响力（政治资本，核心决策依据）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定义：玩家及元老的政治资本，核心作用是决定元老院法案通过成功率，尤其是土地分配、公地抢购等关键操作，同时影响老兵支持度、元老态度等隐性关联项，是链接土地和金钱的核心桥梁。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基础规则：影响力越高，获得土地资源、推动核心法案的概率越高；影响力不足则无法参与公地抢购、无法推动土地分配法案，甚至会失去政治话语权。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三大核心数据关联关系（核心逻辑）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核心闭环：</w:t>
      </w:r>
      <w:r>
        <w:rPr>
          <w:rFonts w:eastAsia="等线" w:ascii="Arial" w:cs="Arial" w:hAnsi="Arial"/>
          <w:b w:val="true"/>
          <w:sz w:val="22"/>
        </w:rPr>
        <w:t>征服→土地→金钱/影响力→决策（土地分配/抢购）→再征服</w:t>
      </w:r>
      <w:r>
        <w:rPr>
          <w:rFonts w:eastAsia="等线" w:ascii="Arial" w:cs="Arial" w:hAnsi="Arial"/>
          <w:sz w:val="22"/>
        </w:rPr>
        <w:t>，三者相互支撑、相互约束，形成完整的游戏核心循环，具体关联如下：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土地→金钱：土地是金钱的核心来源，分给平民的土地产生稳定税收（国库收入），公地出售（抢购）产生一次性国库收入，出租元老的公地产生少量稳定国库收入；土地数量越多，金钱产出上限越高。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土地→影响力：分给老兵的土地可提升老兵支持度，直接增加玩家影响力；元老抢购的私产土地越多，元老自身影响力提升（作为AI对手成长机制）。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金钱→影响力：玩家可使用个人财富进行政治操作（未落地细节暂不扩展），间接提升影响力；国库金钱支撑战争（征兵），战争胜利获得土地，进而间接提升影响力。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影响力→土地：元老院土地分配、公地抢购均按影响力排序，影响力越高，获得土地（公地抢购）、决定土地分配方式（法案通过）的优先级越高；影响力不足则无法获取优质土地资源。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土地/金钱→运营开销：国家疆域越大（土地总量越多），国家运营开销越高；玩家个人土地越多，个人运营开销越高；运营开销直接消耗对应归属的金钱（国库/个人财富）。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核心关联流程（2月18日明确版本）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土地流程（核心：征服→分配→抢购→交易）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土地来源：战场胜利后，获得新征服领土，自动转化为国家公地，进入公地池等待分配/抢购。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土地分配：需在元老院提交法案，法案通过成功率由玩家影响力决定，分配有3个核心选项（MVP轻量版）：</w:t>
        <w:br/>
        <w:t xml:space="preserve">      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分给老兵：玩家获得老兵支持度，直接提升自身影响力，国库短期收入减少（无税收）。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分给平民：国库获得稳定税收（长期金钱来源），降低暴动风险。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公地出售：按元老（含玩家）影响力排序，影响力越高，抢购优先级越高，抢购成功后公地转为元老私产，国库获得一次性收入。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土地交易：元老私产土地可在罗马广场进行交易，交易双方为元老（玩家可参与），本质是金钱与影响力的直接交换（土地=金钱+影响力）。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金钱流程（核心：产出→消耗→闭环）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4.2.1 金钱来源（3类，均与土地强关联）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战争战利品：战场胜利后，直接获得一次性金钱（国库收入），与征服土地数量正相关。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土地税收（包税制）：分给平民的土地，按土地数量×固定系数，定期产生税收，归入国库，是国库最稳定的收入来源。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公地出售收入：公地按元老影响力排序抢购，抢购金额归入国库，属于一次性收入。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4.2.2 金钱去向（分双层，用途明确）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国库金钱用途：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征兵：支撑战场征战，是战争的必需消耗，与征兵数量正相关。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公共工程：主要为水利、道路建设，可降低自然灾害冲击、减少暴动风险（间接提升土地产出稳定性）。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国家运营开销：与国家疆域（土地总量）正相关，定期自动扣除，是国库的固定消耗。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个人财富用途：</w:t>
        <w:br/>
        <w:t xml:space="preserve">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土地交易：在罗马广场买卖元老私产土地，是个人获取土地、提升影响力的核心途径。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庆典：在公民大会举办庆典，消耗个人金钱，用于稳定局势（间接降低暴动风险）。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个人运营开销：与个人拥有的土地数量正相关，定期自动扣除，是个人财富的固定消耗。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影响力流程（核心：获取→作用→循环）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影响力获取（核心与土地、金钱关联）：</w:t>
        <w:br/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土地关联：分给老兵的土地越多，老兵支持度越高，玩家影响力提升越明显。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金钱关联：后续可通过个人财富进行政治操作（暂不落地）提升，当前版本主要依赖土地分配。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其他：元老抢购土地越多，自身影响力提升（AI对手成长）。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影响力作用（核心为土地相关决策）：</w:t>
        <w:br/>
        <w:t xml:space="preserve">      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元老院法案：决定土地分配、公地出售等法案的通过成功率，影响力≥阈值可确保法案通过。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公地抢购：按影响力排序，影响力越高，抢购公地的优先级越高，可优先获得优质土地资源。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隐性作用：影响力越高，老兵、平民支持度越高，暴动、叛乱风险越低（间接支撑金钱和土地稳定）。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异常情况处理（核心规则）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事件冲击（自然灾害、暴乱）：触发后，土地产出临时锐减（金钱收入减少），运营开销不变，可能导致国库/个人财富短期赤字，甚至引发破产风险。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国家破产：国库余额持续为负，且无法通过土地产出、战争战利品逆转，判定为游戏失败。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个人破产：个人财富持续为负，且无其他元老借钱续命，判定为玩家人物消失，游戏结束（玩家可重新开启）。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影响力不足：无法推动土地分配法案、无法参与公地抢购，长期会导致土地、金钱无法增长，陷入发展停滞。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补充说明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本文档严格遵循2月18日下午讨论内容，贴合EOR MVP 0.4.5轻量落地需求，不新增未讨论的功能或规则；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土地隐式承载人口、粮食功能，无需单独新增人口、粮食数据，相关效果（饥荒、人口不足）均通过土地产出下降、暴动风险上升体现；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三大核心数据的关联逻辑、流程均已适配现有项目闭环，可直接用于后续开发编码，无需额外调整核心框架。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00511">
    <w:lvl>
      <w:numFmt w:val="bullet"/>
      <w:suff w:val="tab"/>
      <w:lvlText w:val="•"/>
      <w:rPr>
        <w:color w:val="3370ff"/>
      </w:rPr>
    </w:lvl>
  </w:abstractNum>
  <w:abstractNum w:abstractNumId="3600512">
    <w:lvl>
      <w:numFmt w:val="bullet"/>
      <w:suff w:val="tab"/>
      <w:lvlText w:val="•"/>
      <w:rPr>
        <w:color w:val="3370ff"/>
      </w:rPr>
    </w:lvl>
  </w:abstractNum>
  <w:abstractNum w:abstractNumId="3600513">
    <w:lvl>
      <w:numFmt w:val="bullet"/>
      <w:suff w:val="tab"/>
      <w:lvlText w:val="•"/>
      <w:rPr>
        <w:color w:val="3370ff"/>
      </w:rPr>
    </w:lvl>
  </w:abstractNum>
  <w:abstractNum w:abstractNumId="3600514">
    <w:lvl>
      <w:numFmt w:val="bullet"/>
      <w:suff w:val="tab"/>
      <w:lvlText w:val="•"/>
      <w:rPr>
        <w:color w:val="3370ff"/>
      </w:rPr>
    </w:lvl>
  </w:abstractNum>
  <w:abstractNum w:abstractNumId="3600515">
    <w:lvl>
      <w:numFmt w:val="bullet"/>
      <w:suff w:val="tab"/>
      <w:lvlText w:val="•"/>
      <w:rPr>
        <w:color w:val="3370ff"/>
      </w:rPr>
    </w:lvl>
  </w:abstractNum>
  <w:abstractNum w:abstractNumId="3600516">
    <w:lvl>
      <w:start w:val="1"/>
      <w:numFmt w:val="decimal"/>
      <w:suff w:val="tab"/>
      <w:lvlText w:val="%1."/>
      <w:rPr>
        <w:color w:val="3370ff"/>
      </w:rPr>
    </w:lvl>
  </w:abstractNum>
  <w:abstractNum w:abstractNumId="3600517">
    <w:lvl>
      <w:start w:val="2"/>
      <w:numFmt w:val="decimal"/>
      <w:suff w:val="tab"/>
      <w:lvlText w:val="%1."/>
      <w:rPr>
        <w:color w:val="3370ff"/>
      </w:rPr>
    </w:lvl>
  </w:abstractNum>
  <w:abstractNum w:abstractNumId="3600518">
    <w:lvl>
      <w:numFmt w:val="bullet"/>
      <w:suff w:val="tab"/>
      <w:lvlText w:val="￮"/>
      <w:rPr>
        <w:color w:val="3370ff"/>
      </w:rPr>
    </w:lvl>
  </w:abstractNum>
  <w:abstractNum w:abstractNumId="3600519">
    <w:lvl>
      <w:numFmt w:val="bullet"/>
      <w:suff w:val="tab"/>
      <w:lvlText w:val="￮"/>
      <w:rPr>
        <w:color w:val="3370ff"/>
      </w:rPr>
    </w:lvl>
  </w:abstractNum>
  <w:abstractNum w:abstractNumId="3600520">
    <w:lvl>
      <w:numFmt w:val="bullet"/>
      <w:suff w:val="tab"/>
      <w:lvlText w:val="￮"/>
      <w:rPr>
        <w:color w:val="3370ff"/>
      </w:rPr>
    </w:lvl>
  </w:abstractNum>
  <w:abstractNum w:abstractNumId="3600521">
    <w:lvl>
      <w:start w:val="3"/>
      <w:numFmt w:val="decimal"/>
      <w:suff w:val="tab"/>
      <w:lvlText w:val="%1."/>
      <w:rPr>
        <w:color w:val="3370ff"/>
      </w:rPr>
    </w:lvl>
  </w:abstractNum>
  <w:abstractNum w:abstractNumId="3600522">
    <w:lvl>
      <w:start w:val="1"/>
      <w:numFmt w:val="decimal"/>
      <w:suff w:val="tab"/>
      <w:lvlText w:val="%1."/>
      <w:rPr>
        <w:color w:val="3370ff"/>
      </w:rPr>
    </w:lvl>
  </w:abstractNum>
  <w:abstractNum w:abstractNumId="3600523">
    <w:lvl>
      <w:start w:val="2"/>
      <w:numFmt w:val="decimal"/>
      <w:suff w:val="tab"/>
      <w:lvlText w:val="%1."/>
      <w:rPr>
        <w:color w:val="3370ff"/>
      </w:rPr>
    </w:lvl>
  </w:abstractNum>
  <w:abstractNum w:abstractNumId="3600524">
    <w:lvl>
      <w:start w:val="3"/>
      <w:numFmt w:val="decimal"/>
      <w:suff w:val="tab"/>
      <w:lvlText w:val="%1."/>
      <w:rPr>
        <w:color w:val="3370ff"/>
      </w:rPr>
    </w:lvl>
  </w:abstractNum>
  <w:abstractNum w:abstractNumId="3600525">
    <w:lvl>
      <w:start w:val="1"/>
      <w:numFmt w:val="decimal"/>
      <w:suff w:val="tab"/>
      <w:lvlText w:val="%1."/>
      <w:rPr>
        <w:color w:val="3370ff"/>
      </w:rPr>
    </w:lvl>
  </w:abstractNum>
  <w:abstractNum w:abstractNumId="3600526">
    <w:lvl>
      <w:numFmt w:val="bullet"/>
      <w:suff w:val="tab"/>
      <w:lvlText w:val="￮"/>
      <w:rPr>
        <w:color w:val="3370ff"/>
      </w:rPr>
    </w:lvl>
  </w:abstractNum>
  <w:abstractNum w:abstractNumId="3600527">
    <w:lvl>
      <w:numFmt w:val="bullet"/>
      <w:suff w:val="tab"/>
      <w:lvlText w:val="￮"/>
      <w:rPr>
        <w:color w:val="3370ff"/>
      </w:rPr>
    </w:lvl>
  </w:abstractNum>
  <w:abstractNum w:abstractNumId="3600528">
    <w:lvl>
      <w:numFmt w:val="bullet"/>
      <w:suff w:val="tab"/>
      <w:lvlText w:val="￮"/>
      <w:rPr>
        <w:color w:val="3370ff"/>
      </w:rPr>
    </w:lvl>
  </w:abstractNum>
  <w:abstractNum w:abstractNumId="3600529">
    <w:lvl>
      <w:start w:val="2"/>
      <w:numFmt w:val="decimal"/>
      <w:suff w:val="tab"/>
      <w:lvlText w:val="%1."/>
      <w:rPr>
        <w:color w:val="3370ff"/>
      </w:rPr>
    </w:lvl>
  </w:abstractNum>
  <w:abstractNum w:abstractNumId="3600530">
    <w:lvl>
      <w:numFmt w:val="bullet"/>
      <w:suff w:val="tab"/>
      <w:lvlText w:val="￮"/>
      <w:rPr>
        <w:color w:val="3370ff"/>
      </w:rPr>
    </w:lvl>
  </w:abstractNum>
  <w:abstractNum w:abstractNumId="3600531">
    <w:lvl>
      <w:numFmt w:val="bullet"/>
      <w:suff w:val="tab"/>
      <w:lvlText w:val="￮"/>
      <w:rPr>
        <w:color w:val="3370ff"/>
      </w:rPr>
    </w:lvl>
  </w:abstractNum>
  <w:abstractNum w:abstractNumId="3600532">
    <w:lvl>
      <w:numFmt w:val="bullet"/>
      <w:suff w:val="tab"/>
      <w:lvlText w:val="￮"/>
      <w:rPr>
        <w:color w:val="3370ff"/>
      </w:rPr>
    </w:lvl>
  </w:abstractNum>
  <w:abstractNum w:abstractNumId="3600533">
    <w:lvl>
      <w:start w:val="1"/>
      <w:numFmt w:val="decimal"/>
      <w:suff w:val="tab"/>
      <w:lvlText w:val="%1."/>
      <w:rPr>
        <w:color w:val="3370ff"/>
      </w:rPr>
    </w:lvl>
  </w:abstractNum>
  <w:abstractNum w:abstractNumId="3600534">
    <w:lvl>
      <w:numFmt w:val="bullet"/>
      <w:suff w:val="tab"/>
      <w:lvlText w:val="￮"/>
      <w:rPr>
        <w:color w:val="3370ff"/>
      </w:rPr>
    </w:lvl>
  </w:abstractNum>
  <w:abstractNum w:abstractNumId="3600535">
    <w:lvl>
      <w:numFmt w:val="bullet"/>
      <w:suff w:val="tab"/>
      <w:lvlText w:val="￮"/>
      <w:rPr>
        <w:color w:val="3370ff"/>
      </w:rPr>
    </w:lvl>
  </w:abstractNum>
  <w:abstractNum w:abstractNumId="3600536">
    <w:lvl>
      <w:numFmt w:val="bullet"/>
      <w:suff w:val="tab"/>
      <w:lvlText w:val="￮"/>
      <w:rPr>
        <w:color w:val="3370ff"/>
      </w:rPr>
    </w:lvl>
  </w:abstractNum>
  <w:abstractNum w:abstractNumId="3600537">
    <w:lvl>
      <w:start w:val="2"/>
      <w:numFmt w:val="decimal"/>
      <w:suff w:val="tab"/>
      <w:lvlText w:val="%1."/>
      <w:rPr>
        <w:color w:val="3370ff"/>
      </w:rPr>
    </w:lvl>
  </w:abstractNum>
  <w:abstractNum w:abstractNumId="3600538">
    <w:lvl>
      <w:numFmt w:val="bullet"/>
      <w:suff w:val="tab"/>
      <w:lvlText w:val="￮"/>
      <w:rPr>
        <w:color w:val="3370ff"/>
      </w:rPr>
    </w:lvl>
  </w:abstractNum>
  <w:abstractNum w:abstractNumId="3600539">
    <w:lvl>
      <w:numFmt w:val="bullet"/>
      <w:suff w:val="tab"/>
      <w:lvlText w:val="￮"/>
      <w:rPr>
        <w:color w:val="3370ff"/>
      </w:rPr>
    </w:lvl>
  </w:abstractNum>
  <w:abstractNum w:abstractNumId="3600540">
    <w:lvl>
      <w:numFmt w:val="bullet"/>
      <w:suff w:val="tab"/>
      <w:lvlText w:val="￮"/>
      <w:rPr>
        <w:color w:val="3370ff"/>
      </w:rPr>
    </w:lvl>
  </w:abstractNum>
  <w:abstractNum w:abstractNumId="3600541">
    <w:lvl>
      <w:numFmt w:val="bullet"/>
      <w:suff w:val="tab"/>
      <w:lvlText w:val="•"/>
      <w:rPr>
        <w:color w:val="3370ff"/>
      </w:rPr>
    </w:lvl>
  </w:abstractNum>
  <w:abstractNum w:abstractNumId="3600542">
    <w:lvl>
      <w:numFmt w:val="bullet"/>
      <w:suff w:val="tab"/>
      <w:lvlText w:val="•"/>
      <w:rPr>
        <w:color w:val="3370ff"/>
      </w:rPr>
    </w:lvl>
  </w:abstractNum>
  <w:abstractNum w:abstractNumId="3600543">
    <w:lvl>
      <w:numFmt w:val="bullet"/>
      <w:suff w:val="tab"/>
      <w:lvlText w:val="•"/>
      <w:rPr>
        <w:color w:val="3370ff"/>
      </w:rPr>
    </w:lvl>
  </w:abstractNum>
  <w:abstractNum w:abstractNumId="3600544">
    <w:lvl>
      <w:numFmt w:val="bullet"/>
      <w:suff w:val="tab"/>
      <w:lvlText w:val="•"/>
      <w:rPr>
        <w:color w:val="3370ff"/>
      </w:rPr>
    </w:lvl>
  </w:abstractNum>
  <w:num w:numId="1">
    <w:abstractNumId w:val="3600511"/>
  </w:num>
  <w:num w:numId="2">
    <w:abstractNumId w:val="3600512"/>
  </w:num>
  <w:num w:numId="3">
    <w:abstractNumId w:val="3600513"/>
  </w:num>
  <w:num w:numId="4">
    <w:abstractNumId w:val="3600514"/>
  </w:num>
  <w:num w:numId="5">
    <w:abstractNumId w:val="3600515"/>
  </w:num>
  <w:num w:numId="6">
    <w:abstractNumId w:val="3600516"/>
  </w:num>
  <w:num w:numId="7">
    <w:abstractNumId w:val="3600517"/>
  </w:num>
  <w:num w:numId="8">
    <w:abstractNumId w:val="3600518"/>
  </w:num>
  <w:num w:numId="9">
    <w:abstractNumId w:val="3600519"/>
  </w:num>
  <w:num w:numId="10">
    <w:abstractNumId w:val="3600520"/>
  </w:num>
  <w:num w:numId="11">
    <w:abstractNumId w:val="3600521"/>
  </w:num>
  <w:num w:numId="12">
    <w:abstractNumId w:val="3600522"/>
  </w:num>
  <w:num w:numId="13">
    <w:abstractNumId w:val="3600523"/>
  </w:num>
  <w:num w:numId="14">
    <w:abstractNumId w:val="3600524"/>
  </w:num>
  <w:num w:numId="15">
    <w:abstractNumId w:val="3600525"/>
  </w:num>
  <w:num w:numId="16">
    <w:abstractNumId w:val="3600526"/>
  </w:num>
  <w:num w:numId="17">
    <w:abstractNumId w:val="3600527"/>
  </w:num>
  <w:num w:numId="18">
    <w:abstractNumId w:val="3600528"/>
  </w:num>
  <w:num w:numId="19">
    <w:abstractNumId w:val="3600529"/>
  </w:num>
  <w:num w:numId="20">
    <w:abstractNumId w:val="3600530"/>
  </w:num>
  <w:num w:numId="21">
    <w:abstractNumId w:val="3600531"/>
  </w:num>
  <w:num w:numId="22">
    <w:abstractNumId w:val="3600532"/>
  </w:num>
  <w:num w:numId="23">
    <w:abstractNumId w:val="3600533"/>
  </w:num>
  <w:num w:numId="24">
    <w:abstractNumId w:val="3600534"/>
  </w:num>
  <w:num w:numId="25">
    <w:abstractNumId w:val="3600535"/>
  </w:num>
  <w:num w:numId="26">
    <w:abstractNumId w:val="3600536"/>
  </w:num>
  <w:num w:numId="27">
    <w:abstractNumId w:val="3600537"/>
  </w:num>
  <w:num w:numId="28">
    <w:abstractNumId w:val="3600538"/>
  </w:num>
  <w:num w:numId="29">
    <w:abstractNumId w:val="3600539"/>
  </w:num>
  <w:num w:numId="30">
    <w:abstractNumId w:val="3600540"/>
  </w:num>
  <w:num w:numId="31">
    <w:abstractNumId w:val="3600541"/>
  </w:num>
  <w:num w:numId="32">
    <w:abstractNumId w:val="3600542"/>
  </w:num>
  <w:num w:numId="33">
    <w:abstractNumId w:val="3600543"/>
  </w:num>
  <w:num w:numId="34">
    <w:abstractNumId w:val="36005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2026-02-20T22:53:45Z</dcterms:created>
  <dc:creator>Apache POI</dc:creator>
</cp:coreProperties>
</file>