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before="0" w:after="160"/>
        <w:jc w:val="center"/>
      </w:pPr>
      <w:r>
        <w:rPr>
          <w:rFonts w:ascii="仿宋" w:hAnsi="仿宋" w:eastAsia="仿宋"/>
          <w:b/>
          <w:color w:val="1F4E79"/>
          <w:sz w:val="32"/>
        </w:rPr>
        <w:t>第一届“星火杯”教育智能体设计大赛作品说明文档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项目名称：</w:t>
      </w:r>
      <w:r>
        <w:rPr>
          <w:rFonts w:ascii="仿宋" w:hAnsi="仿宋" w:eastAsia="仿宋"/>
          <w:b w:val="0"/>
          <w:sz w:val="21"/>
        </w:rPr>
        <w:t>智学助手：面向高等代数教材学习的自适应教育智能体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项目负责人：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团队成员：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指导老师：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80" w:after="120"/>
        <w:shd w:fill="EAF2F8"/>
      </w:pPr>
      <w:r>
        <w:rPr>
          <w:rFonts w:ascii="仿宋" w:hAnsi="仿宋" w:eastAsia="仿宋"/>
          <w:b/>
          <w:color w:val="1F4E79"/>
          <w:sz w:val="21"/>
        </w:rPr>
        <w:t>作品定位：围绕高等代数教材阅读中的“看不懂、问不准、练不会、难跟踪”问题，构建一个能读教材页、能追踪学习状态、能给出递进练习的教育智能体。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一、作品概述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“智学助手”是一款面向高等代数学习者的 AI 助教系统。学生在系统中打开教材 PDF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作品已部署在线体验地址：http://8.134.195.113。系统采用 React + FastAPI 架构，接入 DashScope/Qwen 系列模型，使用 SQLite 存储业务数据，并基于 Neo4j 构建高等代数知识图谱。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二、目标用户与应用场景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与通用聊天工具相比，本作品强调“教材页锚定”和“知识边界控制”：智能体知道学生正在阅读哪一页、该页属于哪一节、当前节允许使用哪些前置知识，从而减少脱离教材、超纲讲解或泛泛回答的问题。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三、智能体设计与核心功能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1.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教材页锚定问答</w:t>
      </w:r>
      <w:r>
        <w:rPr>
          <w:rFonts w:ascii="仿宋" w:hAnsi="仿宋" w:eastAsia="仿宋"/>
          <w:b w:val="0"/>
          <w:sz w:val="21"/>
        </w:rPr>
        <w:t>：支持 PDF 阅读、文字提问和截图提问，系统根据页码映射获取当前章节上下文，流式返回思考过程与讲解内容。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2.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知识图谱约束</w:t>
      </w:r>
      <w:r>
        <w:rPr>
          <w:rFonts w:ascii="仿宋" w:hAnsi="仿宋" w:eastAsia="仿宋"/>
          <w:b w:val="0"/>
          <w:sz w:val="21"/>
        </w:rPr>
        <w:t>：基于 Neo4j 的 Concept、Theorem、Formula 节点及 PREREQUISITE_OF 关系，动态生成知识白名单并检测前置知识缺口。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3.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自适应学习画像</w:t>
      </w:r>
      <w:r>
        <w:rPr>
          <w:rFonts w:ascii="仿宋" w:hAnsi="仿宋" w:eastAsia="仿宋"/>
          <w:b w:val="0"/>
          <w:sz w:val="21"/>
        </w:rPr>
        <w:t>：从问答与练习行为中生成五维数学素养画像，追踪每个概念 stage 0-5 的掌握阶段，并展示薄弱概念的前后置关系。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4.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递进练习闭环</w:t>
      </w:r>
      <w:r>
        <w:rPr>
          <w:rFonts w:ascii="仿宋" w:hAnsi="仿宋" w:eastAsia="仿宋"/>
          <w:b w:val="0"/>
          <w:sz w:val="21"/>
        </w:rPr>
        <w:t>：围绕当前教材页生成练习题，提供三阶段提示、答案批改、错因分析和后续补强建议，形成“问答-诊断-练习-反馈”的学习闭环。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5.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持续学习记录</w:t>
      </w:r>
      <w:r>
        <w:rPr>
          <w:rFonts w:ascii="仿宋" w:hAnsi="仿宋" w:eastAsia="仿宋"/>
          <w:b w:val="0"/>
          <w:sz w:val="21"/>
        </w:rPr>
        <w:t>：页面标记系统会在教材页上保留历史提问位置，支持学生回看问题、答案和追问过程；登录用户可跨会话保存学习进度。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i w:val="0"/>
          <w:color w:val="1F4E79"/>
          <w:sz w:val="24"/>
        </w:rPr>
        <w:t>四、应用效果与创新价值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理论依据。</w:t>
      </w:r>
      <w:r>
        <w:rPr>
          <w:rFonts w:ascii="仿宋" w:hAnsi="仿宋" w:eastAsia="仿宋"/>
          <w:b w:val="0"/>
          <w:i w:val="0"/>
          <w:sz w:val="21"/>
        </w:rPr>
        <w:t>本作品的教育价值可从“精准诊断—适切支架—持续反馈”的导学链条加以理解。Bloom（1984）提出，一对一辅导之所以显著优于常规课堂，关键在于纠正性反馈、针对性解释、主动参与和前序知识不跳过。“智学助手”将这些教师导学行为嵌入教材学习场景：系统先依据教材页码和知识图谱定位学生所处内容，再结合学习画像判断其可能卡住的前置概念，从而把 AI 答疑从“给出答案”转化为“围绕学生当前理解状态组织支持”。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教学机制。</w:t>
      </w:r>
      <w:r>
        <w:rPr>
          <w:rFonts w:ascii="仿宋" w:hAnsi="仿宋" w:eastAsia="仿宋"/>
          <w:b w:val="0"/>
          <w:i w:val="0"/>
          <w:sz w:val="21"/>
        </w:rPr>
        <w:t>系统设计借鉴最近发展区与脚手架理论。Vygotsky（1978）强调教学应发生在学生独立完成与完全不会之间的最近发展区，Wood、Bruner 和 Ross（1976）进一步将这种支持概括为根据学生表现动态调节帮助程度。本项目中的四级认知学徒脚手架对应 Collins、Brown 和 Newman（1989）所提出的 modeling、coaching、scaffolding 与 fading 思路：当学生基础薄弱时，系统提供示范和分步解释；当学生逐渐接近掌握时，系统转向提示、追问和逐步放手，以促进主动建构而非被动接受。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教育技术实现。</w:t>
      </w:r>
      <w:r>
        <w:rPr>
          <w:rFonts w:ascii="仿宋" w:hAnsi="仿宋" w:eastAsia="仿宋"/>
          <w:b w:val="0"/>
          <w:i w:val="0"/>
          <w:sz w:val="21"/>
        </w:rPr>
        <w:t>在教育技术学意义上，作品将高等代数知识图谱转化为领域模型，将五维素养画像与概念 stage 转化为学习者模型，再由问答、练习、错因分析和知识地图构成适应性反馈。知识追踪研究表明，学习系统需要围绕知识组件持续估计学生掌握状态（Corbett &amp; Anderson, 1995）；导学系统研究也区分了选题与路径安排的 outer loop 以及步骤级提示反馈的 inner loop（VanLehn, 2006）。本作品正是在教材页锚定、前置知识链和练习反馈之间建立这种双层支持机制。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创新价值。</w:t>
      </w:r>
      <w:r>
        <w:rPr>
          <w:rFonts w:ascii="仿宋" w:hAnsi="仿宋" w:eastAsia="仿宋"/>
          <w:b w:val="0"/>
          <w:i w:val="0"/>
          <w:sz w:val="21"/>
        </w:rPr>
        <w:t>与一般生成式问答工具相比，本作品强调可解释、可追踪、可调节的教育智能体设计。开放学习者模型研究指出，让学生看到系统对其知识状态的判断，有助于促进元认知与自我调节学习（Bull &amp; Kay, 2007）。因此，系统不仅生成解答，还通过学习画像、薄弱概念和知识图谱向学生呈现“为什么这样学、下一步补什么”。同时，ChatBack 研究显示，引导式自我纠错比直接给出答案更有利于学习，并且反馈放在独立界面中更易被学生接受（Liang et al., 2023）。这为本项目后续优化练习批改、提示分层和诊断面板提供了明确依据。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应用效果预期。</w:t>
      </w:r>
      <w:r>
        <w:rPr>
          <w:rFonts w:ascii="仿宋" w:hAnsi="仿宋" w:eastAsia="仿宋"/>
          <w:b w:val="0"/>
          <w:i w:val="0"/>
          <w:sz w:val="21"/>
        </w:rPr>
        <w:t>生成式 AI 教学应用的系统综述表明，AI 工具在提升教学效率、学习参与和个性化支持方面具有潜力，但也面临准确性、依赖性和长期效果证据不足等挑战（Wang et al., 2025；Younas et al., 2025）。因此，本作品将 AI 定位为教师教学与学生自主学习的补充工具，并通过教材约束、知识边界、学习画像和可追溯记录降低“泛化回答”和“过度依赖”的风险。后续评价将重点收集学生提问质量、概念理解变化、练习修正过程和教师观察反馈，以形成更完整的教育效果证据。</w:t>
      </w:r>
    </w:p>
    <w:p>
      <w:pPr>
        <w:spacing w:line="259" w:lineRule="auto" w:before="40" w:after="40"/>
      </w:pPr>
      <w:r>
        <w:rPr>
          <w:rFonts w:ascii="仿宋" w:hAnsi="仿宋" w:eastAsia="仿宋"/>
          <w:b/>
          <w:i w:val="0"/>
          <w:color w:val="1F4E79"/>
          <w:sz w:val="21"/>
        </w:rPr>
        <w:t>参考文献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Bloom, B. S. (1984). The 2 sigma problem: The search for methods of group instruction as effective as one-to-one tutoring. Educational Researcher, 13(6), 4-16.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Bull, S., &amp; Kay, J. (2007). Student models that invite the learner in: The SMILI open learner modelling framework. International Journal of Artificial Intelligence in Education, 17(2), 89-120.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Collins, A., Brown, J. S., &amp; Newman, S. E. (1989). Cognitive apprenticeship: Teaching the crafts of reading, writing, and mathematics. In L. B. Resnick (Ed.), Knowing, learning, and instruction (pp. 453-494).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Corbett, A. T., &amp; Anderson, J. R. (1995). Knowledge tracing: Modeling the acquisition of procedural knowledge. User Modeling and User-Adapted Interaction, 4(4), 253-278.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Liang, K.-H., et al. (2023). ChatBack: Investigating strategies of providing synchronous grammatical error feedback in a GUI-based language learning social chatbot. Proceedings of the 18th Workshop on BEA, 83-99.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VanLehn, K. (2006). The behavior of tutoring systems. International Journal of Artificial Intelligence in Education, 16(3), 227-265.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Vygotsky, L. S. (1978). Mind in society: The development of higher psychological processes. Harvard University Press.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Wang, X., Zainuddin, Z., &amp; Chin, H. L. (2025). Generative artificial intelligence in pedagogical practices: A systematic review of empirical studies (2022-2024). Cogent Education, 12(1), 2485499.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Wood, D., Bruner, J. S., &amp; Ross, G. (1976). The role of tutoring in problem solving. Journal of Child Psychology and Psychiatry, 17(2), 89-100.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Younas, M., El-Dakhs, D. A. S., &amp; Noor, U. (2025). The impact of artificial intelligence-based learning tools in academic innovation. Frontiers in Education, 10, 1689205.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五、补充说明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本作品定位为教师教学与学生自主学习的补充工具，而非替代教师。系统承担高频、个性化、过程性支持任务，教师仍然负责学习目标设计、课堂组织、价值引导和关键困难诊断。这样的“人机协同”定位符合当前生成式 AI 教育应用研究中关于教师主导、技术赋能和伦理审慎的基本共识。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作品后续改进将优先围绕教育效果证据展开：一是补充真实学习场景中的使用数据和学生访谈，观察系统是否能减少无效提问、提高概念解释质量；二是优化提示与批改策略，更多采用引导式自我纠错，避免学生直接依赖标准答案；三是增强学习者模型的可解释性，让学生理解系统为何推荐某个概念或练习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从推广角度看，高等代数是一个前置依赖强、概念结构清晰、学习困难典型的课程场景。如果该模式在高等代数中得到验证，其“教材页锚定—知识图谱—学习者模型—自适应反馈”的设计路径，可迁移到线性代数、数学分析、大学物理等结构化课程，为高校智能导学系统建设提供参考。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仿宋" w:hAnsi="仿宋" w:eastAsia="仿宋"/>
          <w:b/>
          <w:color w:val="1F4E79"/>
          <w:sz w:val="28"/>
        </w:rPr>
        <w:t>附图  智学助手教育智能体结构示意图</w:t>
      </w:r>
    </w:p>
    <w:p>
      <w:pPr>
        <w:spacing w:before="0" w:after="200" w:line="240" w:lineRule="auto"/>
        <w:jc w:val="center"/>
      </w:pPr>
      <w:r>
        <w:rPr>
          <w:rFonts w:ascii="仿宋" w:hAnsi="仿宋" w:eastAsia="仿宋"/>
          <w:b w:val="0"/>
          <w:color w:val="555555"/>
          <w:sz w:val="20"/>
        </w:rPr>
        <w:t>以教材约束为边界，以学习者状态为依据，以持续反馈促进理解深化</w:t>
      </w:r>
    </w:p>
    <w:tbl>
      <w:tblPr>
        <w:tblW w:type="dxa" w:w="9344"/>
        <w:jc w:val="center"/>
        <w:tblLayout w:type="fixed"/>
        <w:tblLook w:firstColumn="1" w:firstRow="1" w:lastColumn="0" w:lastRow="0" w:noHBand="0" w:noVBand="1" w:val="04A0"/>
      </w:tblPr>
      <w:tblGrid>
        <w:gridCol w:w="4"/>
        <w:gridCol w:w="1"/>
        <w:gridCol w:w="4"/>
        <w:gridCol w:w="1"/>
        <w:gridCol w:w="4"/>
      </w:tblGrid>
      <w:tr>
        <w:tc>
          <w:tcPr>
            <w:tcW w:type="dxa" w:w="9346"/>
            <w:vAlign w:val="center"/>
            <w:shd w:fill="1F4E79"/>
            <w:gridSpan w:val="5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教育目标：精准诊断　适切支架　持续反馈</w:t>
            </w:r>
          </w:p>
        </w:tc>
      </w:tr>
      <w:tr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c>
          <w:tcPr>
            <w:tcW w:type="dxa" w:w="2808"/>
            <w:vAlign w:val="center"/>
            <w:shd w:fill="EAF3F8"/>
            <w:tcBorders>
              <w:top w:val="single" w:sz="12" w:space="0" w:color="8BAFC5"/>
              <w:left w:val="single" w:sz="12" w:space="0" w:color="8BAFC5"/>
              <w:bottom w:val="single" w:sz="12" w:space="0" w:color="8BAFC5"/>
              <w:right w:val="single" w:sz="12" w:space="0" w:color="8BAFC5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1F4E79"/>
                <w:sz w:val="21"/>
              </w:rPr>
              <w:t>一　学习入口</w:t>
            </w:r>
            <w:r>
              <w:br/>
            </w:r>
            <w:r>
              <w:rPr>
                <w:rFonts w:ascii="仿宋" w:hAnsi="仿宋" w:eastAsia="仿宋"/>
                <w:b w:val="0"/>
                <w:color w:val="323232"/>
                <w:sz w:val="18"/>
              </w:rPr>
              <w:t>教材阅读</w:t>
              <w:br/>
              <w:t>文字提问</w:t>
              <w:br/>
              <w:t>截图求助</w:t>
            </w:r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→</w:t>
            </w:r>
          </w:p>
        </w:tc>
        <w:tc>
          <w:tcPr>
            <w:tcW w:type="dxa" w:w="2808"/>
            <w:vAlign w:val="center"/>
            <w:shd w:fill="F3F8EA"/>
            <w:tcBorders>
              <w:top w:val="single" w:sz="12" w:space="0" w:color="9BB77D"/>
              <w:left w:val="single" w:sz="12" w:space="0" w:color="9BB77D"/>
              <w:bottom w:val="single" w:sz="12" w:space="0" w:color="9BB77D"/>
              <w:right w:val="single" w:sz="12" w:space="0" w:color="9BB77D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437032"/>
                <w:sz w:val="21"/>
              </w:rPr>
              <w:t>二　知识基础</w:t>
            </w:r>
            <w:r>
              <w:br/>
            </w:r>
            <w:r>
              <w:rPr>
                <w:rFonts w:ascii="仿宋" w:hAnsi="仿宋" w:eastAsia="仿宋"/>
                <w:b w:val="0"/>
                <w:color w:val="323232"/>
                <w:sz w:val="18"/>
              </w:rPr>
              <w:t>页码锚定</w:t>
              <w:br/>
              <w:t>知识图谱</w:t>
              <w:br/>
              <w:t>前置关系</w:t>
            </w:r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→</w:t>
            </w:r>
          </w:p>
        </w:tc>
        <w:tc>
          <w:tcPr>
            <w:tcW w:type="dxa" w:w="2808"/>
            <w:vAlign w:val="center"/>
            <w:shd w:fill="FFF4E6"/>
            <w:tcBorders>
              <w:top w:val="single" w:sz="12" w:space="0" w:color="D8AA64"/>
              <w:left w:val="single" w:sz="12" w:space="0" w:color="D8AA64"/>
              <w:bottom w:val="single" w:sz="12" w:space="0" w:color="D8AA64"/>
              <w:right w:val="single" w:sz="12" w:space="0" w:color="D8AA64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8B591D"/>
                <w:sz w:val="21"/>
              </w:rPr>
              <w:t>三　学习者诊断</w:t>
            </w:r>
            <w:r>
              <w:br/>
            </w:r>
            <w:r>
              <w:rPr>
                <w:rFonts w:ascii="仿宋" w:hAnsi="仿宋" w:eastAsia="仿宋"/>
                <w:b w:val="0"/>
                <w:color w:val="323232"/>
                <w:sz w:val="18"/>
              </w:rPr>
              <w:t>掌握阶段</w:t>
              <w:br/>
              <w:t>薄弱概念</w:t>
              <w:br/>
              <w:t>学习记录</w:t>
            </w:r>
          </w:p>
        </w:tc>
      </w:tr>
      <w:tr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</w:tr>
      <w:tr>
        <w:tc>
          <w:tcPr>
            <w:tcW w:type="dxa" w:w="2808"/>
            <w:vAlign w:val="center"/>
            <w:shd w:fill="FFF4E6"/>
            <w:tcBorders>
              <w:top w:val="single" w:sz="12" w:space="0" w:color="D8AA64"/>
              <w:left w:val="single" w:sz="12" w:space="0" w:color="D8AA64"/>
              <w:bottom w:val="single" w:sz="12" w:space="0" w:color="D8AA64"/>
              <w:right w:val="single" w:sz="12" w:space="0" w:color="D8AA64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8B591D"/>
                <w:sz w:val="21"/>
              </w:rPr>
              <w:t>六　反馈更新</w:t>
            </w:r>
            <w:r>
              <w:br/>
            </w:r>
            <w:r>
              <w:rPr>
                <w:rFonts w:ascii="仿宋" w:hAnsi="仿宋" w:eastAsia="仿宋"/>
                <w:b w:val="0"/>
                <w:color w:val="323232"/>
                <w:sz w:val="18"/>
              </w:rPr>
              <w:t>画像回写</w:t>
              <w:br/>
              <w:t>补弱建议</w:t>
              <w:br/>
              <w:t>策略调整</w:t>
            </w:r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←</w:t>
            </w:r>
          </w:p>
        </w:tc>
        <w:tc>
          <w:tcPr>
            <w:tcW w:type="dxa" w:w="2808"/>
            <w:vAlign w:val="center"/>
            <w:shd w:fill="F3F8EA"/>
            <w:tcBorders>
              <w:top w:val="single" w:sz="12" w:space="0" w:color="9BB77D"/>
              <w:left w:val="single" w:sz="12" w:space="0" w:color="9BB77D"/>
              <w:bottom w:val="single" w:sz="12" w:space="0" w:color="9BB77D"/>
              <w:right w:val="single" w:sz="12" w:space="0" w:color="9BB77D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437032"/>
                <w:sz w:val="21"/>
              </w:rPr>
              <w:t>五　练习评价</w:t>
            </w:r>
            <w:r>
              <w:br/>
            </w:r>
            <w:r>
              <w:rPr>
                <w:rFonts w:ascii="仿宋" w:hAnsi="仿宋" w:eastAsia="仿宋"/>
                <w:b w:val="0"/>
                <w:color w:val="323232"/>
                <w:sz w:val="18"/>
              </w:rPr>
              <w:t>按页出题</w:t>
              <w:br/>
              <w:t>过程批改</w:t>
              <w:br/>
              <w:t>错因分析</w:t>
            </w:r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←</w:t>
            </w:r>
          </w:p>
        </w:tc>
        <w:tc>
          <w:tcPr>
            <w:tcW w:type="dxa" w:w="2808"/>
            <w:vAlign w:val="center"/>
            <w:shd w:fill="EAF3F8"/>
            <w:tcBorders>
              <w:top w:val="single" w:sz="12" w:space="0" w:color="8BAFC5"/>
              <w:left w:val="single" w:sz="12" w:space="0" w:color="8BAFC5"/>
              <w:bottom w:val="single" w:sz="12" w:space="0" w:color="8BAFC5"/>
              <w:right w:val="single" w:sz="12" w:space="0" w:color="8BAFC5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1F4E79"/>
                <w:sz w:val="21"/>
              </w:rPr>
              <w:t>四　导学支持</w:t>
            </w:r>
            <w:r>
              <w:br/>
            </w:r>
            <w:r>
              <w:rPr>
                <w:rFonts w:ascii="仿宋" w:hAnsi="仿宋" w:eastAsia="仿宋"/>
                <w:b w:val="0"/>
                <w:color w:val="323232"/>
                <w:sz w:val="18"/>
              </w:rPr>
              <w:t>分步讲解</w:t>
              <w:br/>
              <w:t>提示追问</w:t>
              <w:br/>
              <w:t>支架调节</w:t>
            </w:r>
          </w:p>
        </w:tc>
      </w:tr>
      <w:tr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461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808"/>
            <w:vAlign w:val="center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c>
          <w:tcPr>
            <w:tcW w:type="dxa" w:w="9346"/>
            <w:vAlign w:val="center"/>
            <w:shd w:fill="EEF2F5"/>
            <w:gridSpan w:val="5"/>
            <w:tcBorders>
              <w:top w:val="single" w:sz="12" w:space="0" w:color="B8C7D3"/>
              <w:left w:val="single" w:sz="12" w:space="0" w:color="B8C7D3"/>
              <w:bottom w:val="single" w:sz="12" w:space="0" w:color="B8C7D3"/>
              <w:right w:val="single" w:sz="12" w:space="0" w:color="B8C7D3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仿宋" w:hAnsi="仿宋" w:eastAsia="仿宋"/>
                <w:b/>
                <w:color w:val="3C3C3C"/>
                <w:sz w:val="22"/>
              </w:rPr>
              <w:t>评价证据：提问质量　概念变化　错因分布　后续建议</w:t>
            </w:r>
          </w:p>
        </w:tc>
      </w:tr>
    </w:tbl>
    <w:p>
      <w:pPr>
        <w:spacing w:before="160" w:after="0" w:line="240" w:lineRule="auto"/>
        <w:jc w:val="center"/>
      </w:pPr>
      <w:r>
        <w:rPr>
          <w:rFonts w:ascii="仿宋" w:hAnsi="仿宋" w:eastAsia="仿宋"/>
          <w:b w:val="0"/>
          <w:color w:val="5F5F5F"/>
          <w:sz w:val="18"/>
        </w:rPr>
        <w:t>注：图中直线箭头表示学习支持的主要推进方向，反馈更新用于形成下一轮学习建议。</w:t>
      </w:r>
    </w:p>
    <w:sectPr w:rsidR="00FC693F" w:rsidRPr="0006063C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