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11DB95">
      <w:pPr>
        <w:pStyle w:val="31"/>
        <w:jc w:val="center"/>
      </w:pPr>
      <w:r>
        <w:rPr>
          <w:rFonts w:ascii="黑体" w:hAnsi="黑体" w:eastAsia="黑体"/>
          <w:b/>
          <w:i w:val="0"/>
          <w:sz w:val="36"/>
        </w:rPr>
        <w:t>智学助手教材知识图谱设计说明</w:t>
      </w:r>
    </w:p>
    <w:p w14:paraId="28CC653B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本文档用于向知识图谱、教育人工智能及数学教育相关方向专家征询意见。当前方案处于 v4.1 验证阶段，已基于《高等代数》教材的局部章节完成初步工程验证，并导入 Neo4j 进行可视化检查。本文档重点说明设计思路、抽取流程、关键规则、应用场景及仍需专家指导的问题；具体实验数量统计暂不纳入本征询稿，可作为内部实验记录另行整理。</w:t>
      </w:r>
    </w:p>
    <w:p w14:paraId="7715C2D9">
      <w:pPr>
        <w:pStyle w:val="3"/>
      </w:pPr>
      <w:r>
        <w:rPr>
          <w:rFonts w:ascii="黑体" w:hAnsi="黑体" w:eastAsia="黑体"/>
          <w:b/>
          <w:i w:val="0"/>
          <w:sz w:val="30"/>
        </w:rPr>
        <w:t>一、项目背景与建设定位</w:t>
      </w:r>
    </w:p>
    <w:p w14:paraId="57ECBFCB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智学助手中的教材知识图谱，定位并非展示型知识网络，而是面向智能学习服务的底层结构化支撑。其核心任务是把教材中的概念、定义、定理、公式、方法、题型及其相互关系组织成可计算、可追溯、可用于教学决策的数据结构。</w:t>
      </w:r>
      <w:bookmarkStart w:id="0" w:name="_GoBack"/>
      <w:bookmarkEnd w:id="0"/>
    </w:p>
    <w:p w14:paraId="3A378BF0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从应用目标看，本知识图谱主要服务以下三类场景：</w:t>
      </w:r>
    </w:p>
    <w:p w14:paraId="30B31EB4">
      <w:pPr>
        <w:pStyle w:val="14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学生在解题受阻时，追溯可能缺失的前置知识点。</w:t>
      </w:r>
    </w:p>
    <w:p w14:paraId="0085E621">
      <w:pPr>
        <w:pStyle w:val="14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根据教材章节顺序和知识依赖关系，生成学习路径或复习路径。</w:t>
      </w:r>
    </w:p>
    <w:p w14:paraId="39156711">
      <w:pPr>
        <w:pStyle w:val="14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围绕某一知识点推荐相关例题、解题方法和题型。</w:t>
      </w:r>
    </w:p>
    <w:p w14:paraId="292BEBA8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因此，本方案关注的重点不是尽可能生成更多关系，而是使不同用途的关系具有清晰的层次和边界。学习路径所需的前置关系、定理证明中的推导关系、例题中的应用关系，在教学作用和使用场景上并不相同；若混合处理，可能导致路径生成过密、诊断依据不清、推荐结果难以解释。</w:t>
      </w:r>
    </w:p>
    <w:p w14:paraId="4C0B8187">
      <w:pPr>
        <w:jc w:val="center"/>
      </w:pPr>
      <w:r>
        <w:drawing>
          <wp:inline distT="0" distB="0" distL="114300" distR="114300">
            <wp:extent cx="5989320" cy="2432685"/>
            <wp:effectExtent l="0" t="0" r="1143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433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8C7FE">
      <w:pPr>
        <w:jc w:val="center"/>
      </w:pPr>
      <w:r>
        <w:rPr>
          <w:rFonts w:ascii="宋体" w:hAnsi="宋体" w:eastAsia="宋体"/>
          <w:i/>
          <w:sz w:val="20"/>
        </w:rPr>
        <w:t>图1 教材知识图谱的应用定位</w:t>
      </w:r>
    </w:p>
    <w:p w14:paraId="49E6EA54">
      <w:pPr>
        <w:pStyle w:val="3"/>
      </w:pPr>
      <w:r>
        <w:rPr>
          <w:rFonts w:ascii="黑体" w:hAnsi="黑体" w:eastAsia="黑体"/>
          <w:b/>
          <w:i w:val="0"/>
          <w:sz w:val="30"/>
        </w:rPr>
        <w:t>二、总体设计思路</w:t>
      </w:r>
    </w:p>
    <w:p w14:paraId="081DA8A3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本方案采用“LLM 辅助生成候选项，自动校验程序进行质量控制，人工复核处理不确定样本”的总体路线。其基本考虑是：</w:t>
      </w:r>
    </w:p>
    <w:p w14:paraId="792CD4DF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仅依靠规则抽取，难以覆盖数学教材中较为复杂的自然语言表达、隐含命名和跨句推导。</w:t>
      </w:r>
    </w:p>
    <w:p w14:paraId="44B25ADB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完全依赖 LLM 直接生成最终图谱，则可能出现过度推断、关系方向错误、例题结论误抽、知识点粒度漂移等问题。</w:t>
      </w:r>
    </w:p>
    <w:p w14:paraId="775E83B2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因此，LLM 更适合承担“发现候选内容”的任务；最终是否进入知识图谱，需要经过命名规范、来源范围、教材原文依据、关系方向、关系分层等多重约束。</w:t>
      </w:r>
    </w:p>
    <w:p w14:paraId="5413F600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在该思路下，LLM 的输出不直接写入最终图数据库，而是先形成候选知识点和候选关系。自动校验程序对候选项进行准入检查；确定性较高且符合规则的内容进入图谱，不确定内容进入人工复核清单，明显不符合规则的内容不进入图谱。</w:t>
      </w:r>
    </w:p>
    <w:p w14:paraId="5AB0A9FD">
      <w:pPr>
        <w:jc w:val="center"/>
      </w:pPr>
      <w:r>
        <w:drawing>
          <wp:inline distT="0" distB="0" distL="114300" distR="114300">
            <wp:extent cx="5989320" cy="3368675"/>
            <wp:effectExtent l="0" t="0" r="1143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6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A10BB">
      <w:pPr>
        <w:jc w:val="center"/>
      </w:pPr>
      <w:r>
        <w:rPr>
          <w:rFonts w:ascii="宋体" w:hAnsi="宋体" w:eastAsia="宋体"/>
          <w:i/>
          <w:sz w:val="20"/>
        </w:rPr>
        <w:t>图2 总体处理流程</w:t>
      </w:r>
    </w:p>
    <w:p w14:paraId="6CE30F6A">
      <w:pPr>
        <w:pStyle w:val="3"/>
      </w:pPr>
      <w:r>
        <w:rPr>
          <w:rFonts w:ascii="黑体" w:hAnsi="黑体" w:eastAsia="黑体"/>
          <w:b/>
          <w:i w:val="0"/>
          <w:sz w:val="30"/>
        </w:rPr>
        <w:t>三、工程落地方式：候选生成与准入控制</w:t>
      </w:r>
    </w:p>
    <w:p w14:paraId="600F102E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在工程实现上，本方案并不把“抽取”理解为一次性生成最终结果，而是拆分为“候选生成”和“准入控制”两个阶段。</w:t>
      </w:r>
    </w:p>
    <w:p w14:paraId="5018B00E">
      <w:pPr>
        <w:pStyle w:val="4"/>
      </w:pPr>
      <w:r>
        <w:rPr>
          <w:rFonts w:ascii="黑体" w:hAnsi="黑体" w:eastAsia="黑体"/>
          <w:b/>
          <w:i w:val="0"/>
          <w:sz w:val="26"/>
        </w:rPr>
        <w:t>1. 候选生成</w:t>
      </w:r>
    </w:p>
    <w:p w14:paraId="05BC2091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LLM 按统一提示要求阅读教材片段，提出可能具有图谱价值的知识点或关系。每个候选知识点通常包含以下信息：</w:t>
      </w:r>
    </w:p>
    <w:tbl>
      <w:tblPr>
        <w:tblStyle w:val="33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67B14F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vAlign w:val="center"/>
          </w:tcPr>
          <w:p w14:paraId="4AB1487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信息项</w:t>
            </w:r>
          </w:p>
        </w:tc>
        <w:tc>
          <w:tcPr>
            <w:tcW w:w="4824" w:type="dxa"/>
            <w:vAlign w:val="center"/>
          </w:tcPr>
          <w:p w14:paraId="53A889B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含义</w:t>
            </w:r>
          </w:p>
        </w:tc>
      </w:tr>
      <w:tr w14:paraId="2F22C6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vAlign w:val="center"/>
          </w:tcPr>
          <w:p w14:paraId="04C47A2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候选名称</w:t>
            </w:r>
          </w:p>
        </w:tc>
        <w:tc>
          <w:tcPr>
            <w:tcW w:w="4824" w:type="dxa"/>
            <w:vAlign w:val="center"/>
          </w:tcPr>
          <w:p w14:paraId="4E45518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尽量使用学生可理解、可检索的语义名称</w:t>
            </w:r>
          </w:p>
        </w:tc>
      </w:tr>
      <w:tr w14:paraId="736E61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vAlign w:val="center"/>
          </w:tcPr>
          <w:p w14:paraId="0880372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候选类型</w:t>
            </w:r>
          </w:p>
        </w:tc>
        <w:tc>
          <w:tcPr>
            <w:tcW w:w="4824" w:type="dxa"/>
            <w:vAlign w:val="center"/>
          </w:tcPr>
          <w:p w14:paraId="43B5416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判断其属于概念、定义、定理、公式、方法、题型、属性值，或仅适合作为原文依据</w:t>
            </w:r>
          </w:p>
        </w:tc>
      </w:tr>
      <w:tr w14:paraId="38FB2A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vAlign w:val="center"/>
          </w:tcPr>
          <w:p w14:paraId="152B5A6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候选角色</w:t>
            </w:r>
          </w:p>
        </w:tc>
        <w:tc>
          <w:tcPr>
            <w:tcW w:w="4824" w:type="dxa"/>
            <w:vAlign w:val="center"/>
          </w:tcPr>
          <w:p w14:paraId="4F45002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判断其是否可能成为正式知识点，还是只作为属性值、方法候选、题型候选或原文依据</w:t>
            </w:r>
          </w:p>
        </w:tc>
      </w:tr>
      <w:tr w14:paraId="6F831F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vAlign w:val="center"/>
          </w:tcPr>
          <w:p w14:paraId="2AD90A2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教材原文依据</w:t>
            </w:r>
          </w:p>
        </w:tc>
        <w:tc>
          <w:tcPr>
            <w:tcW w:w="4824" w:type="dxa"/>
            <w:vAlign w:val="center"/>
          </w:tcPr>
          <w:p w14:paraId="694FC58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给出能够回到教材的连续原文片段</w:t>
            </w:r>
          </w:p>
        </w:tc>
      </w:tr>
      <w:tr w14:paraId="2D49CE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vAlign w:val="center"/>
          </w:tcPr>
          <w:p w14:paraId="3B2A58E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置信度</w:t>
            </w:r>
          </w:p>
        </w:tc>
        <w:tc>
          <w:tcPr>
            <w:tcW w:w="4824" w:type="dxa"/>
            <w:vAlign w:val="center"/>
          </w:tcPr>
          <w:p w14:paraId="02AD0B8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表示 LLM 对该候选项稳定性的判断</w:t>
            </w:r>
          </w:p>
        </w:tc>
      </w:tr>
      <w:tr w14:paraId="1AF14C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vAlign w:val="center"/>
          </w:tcPr>
          <w:p w14:paraId="5D386F9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别名与来源标签</w:t>
            </w:r>
          </w:p>
        </w:tc>
        <w:tc>
          <w:tcPr>
            <w:tcW w:w="4824" w:type="dxa"/>
            <w:vAlign w:val="center"/>
          </w:tcPr>
          <w:p w14:paraId="7049AA0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保存“定理1”“公式2”等教材编号，但不把编号作为知识点名称</w:t>
            </w:r>
          </w:p>
        </w:tc>
      </w:tr>
    </w:tbl>
    <w:p w14:paraId="2648A509"/>
    <w:p w14:paraId="40D27A6D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示意如下：</w:t>
      </w:r>
    </w:p>
    <w:tbl>
      <w:tblPr>
        <w:tblStyle w:val="33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7AA623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48" w:type="dxa"/>
          </w:tcPr>
          <w:p w14:paraId="42AF9852"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>候选名称：对换改变 n 元排列的奇偶性</w:t>
            </w:r>
            <w:r>
              <w:br w:type="textWrapping"/>
            </w:r>
            <w:r>
              <w:rPr>
                <w:rFonts w:ascii="Consolas" w:hAnsi="Consolas" w:eastAsia="Consolas"/>
                <w:sz w:val="20"/>
              </w:rPr>
              <w:t>候选类型：定理</w:t>
            </w:r>
            <w:r>
              <w:br w:type="textWrapping"/>
            </w:r>
            <w:r>
              <w:rPr>
                <w:rFonts w:ascii="Consolas" w:hAnsi="Consolas" w:eastAsia="Consolas"/>
                <w:sz w:val="20"/>
              </w:rPr>
              <w:t>候选角色：正式知识点</w:t>
            </w:r>
            <w:r>
              <w:br w:type="textWrapping"/>
            </w:r>
            <w:r>
              <w:rPr>
                <w:rFonts w:ascii="Consolas" w:hAnsi="Consolas" w:eastAsia="Consolas"/>
                <w:sz w:val="20"/>
              </w:rPr>
              <w:t>教材原文依据：教材中对应的定理表述</w:t>
            </w:r>
            <w:r>
              <w:br w:type="textWrapping"/>
            </w:r>
            <w:r>
              <w:rPr>
                <w:rFonts w:ascii="Consolas" w:hAnsi="Consolas" w:eastAsia="Consolas"/>
                <w:sz w:val="20"/>
              </w:rPr>
              <w:t>别名/来源标签：定理1</w:t>
            </w:r>
            <w:r>
              <w:br w:type="textWrapping"/>
            </w:r>
            <w:r>
              <w:rPr>
                <w:rFonts w:ascii="Consolas" w:hAnsi="Consolas" w:eastAsia="Consolas"/>
                <w:sz w:val="20"/>
              </w:rPr>
              <w:t>置信度：较高</w:t>
            </w:r>
          </w:p>
        </w:tc>
      </w:tr>
    </w:tbl>
    <w:p w14:paraId="57FE2ECE"/>
    <w:p w14:paraId="27BFE3CA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这一阶段强调“充分提出可能项”，但不意味着全部候选项都会进入最终图谱。</w:t>
      </w:r>
    </w:p>
    <w:p w14:paraId="23D42150">
      <w:pPr>
        <w:pStyle w:val="4"/>
      </w:pPr>
      <w:r>
        <w:rPr>
          <w:rFonts w:ascii="黑体" w:hAnsi="黑体" w:eastAsia="黑体"/>
          <w:b/>
          <w:i w:val="0"/>
          <w:sz w:val="26"/>
        </w:rPr>
        <w:t>2. 准入控制</w:t>
      </w:r>
    </w:p>
    <w:p w14:paraId="09FB5CDE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自动校验程序对候选项进行多方面检查，主要包括：</w:t>
      </w:r>
    </w:p>
    <w:p w14:paraId="3978871F">
      <w:pPr>
        <w:pStyle w:val="14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名称检查：编号定理、编号公式不能直接以“定理1”“公式2”等形式作为知识点名称。</w:t>
      </w:r>
    </w:p>
    <w:p w14:paraId="0D90E802">
      <w:pPr>
        <w:pStyle w:val="14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类型检查：知识点类型必须属于预设范围，且与教材来源范围相匹配。</w:t>
      </w:r>
    </w:p>
    <w:p w14:paraId="24DA009F">
      <w:pPr>
        <w:pStyle w:val="14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来源范围检查：正文可产生正式知识点；典型例题主要产生方法、题型或应用原文依据；习题在当前阶段暂不参与抽取。</w:t>
      </w:r>
    </w:p>
    <w:p w14:paraId="7D94B3F8">
      <w:pPr>
        <w:pStyle w:val="14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教材原文依据检查：候选项应能回溯到教材片段中的原文表述。</w:t>
      </w:r>
    </w:p>
    <w:p w14:paraId="1F359258">
      <w:pPr>
        <w:pStyle w:val="14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置信度检查：低置信度候选项不进入图谱；中等置信度候选项进入人工复核；高置信度且无其他问题的候选项可自动准入。</w:t>
      </w:r>
    </w:p>
    <w:p w14:paraId="14164B3B">
      <w:pPr>
        <w:pStyle w:val="14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同义合并检查：目前只自动合并“名称相同且类型相同”的知识点；疑似同义、上下位或粒度重叠的情况进入人工复核。</w:t>
      </w:r>
    </w:p>
    <w:p w14:paraId="7E3084D7">
      <w:pPr>
        <w:pStyle w:val="14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属性值检查：“唯一解”“无解”“零解”等默认作为属性值处理，只有满足特定条件时才升级为独立知识点。</w:t>
      </w:r>
    </w:p>
    <w:p w14:paraId="116AECB5">
      <w:pPr>
        <w:jc w:val="center"/>
      </w:pPr>
      <w:r>
        <w:drawing>
          <wp:inline distT="0" distB="0" distL="114300" distR="114300">
            <wp:extent cx="5989320" cy="3106420"/>
            <wp:effectExtent l="0" t="0" r="11430" b="177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10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AA44D">
      <w:pPr>
        <w:jc w:val="center"/>
      </w:pPr>
      <w:r>
        <w:rPr>
          <w:rFonts w:ascii="宋体" w:hAnsi="宋体" w:eastAsia="宋体"/>
          <w:i/>
          <w:sz w:val="20"/>
        </w:rPr>
        <w:t>图3 候选知识点准入控制流程</w:t>
      </w:r>
    </w:p>
    <w:p w14:paraId="1CB91366">
      <w:pPr>
        <w:pStyle w:val="3"/>
      </w:pPr>
      <w:r>
        <w:rPr>
          <w:rFonts w:ascii="黑体" w:hAnsi="黑体" w:eastAsia="黑体"/>
          <w:b/>
          <w:i w:val="0"/>
          <w:sz w:val="30"/>
        </w:rPr>
        <w:t>四、抽取流程设计</w:t>
      </w:r>
    </w:p>
    <w:p w14:paraId="7A98792F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当前 v4.1 流程分为六个步骤。</w:t>
      </w:r>
    </w:p>
    <w:p w14:paraId="055B7023">
      <w:pPr>
        <w:jc w:val="center"/>
      </w:pPr>
      <w:r>
        <w:drawing>
          <wp:inline distT="0" distB="0" distL="114300" distR="114300">
            <wp:extent cx="5989320" cy="2677160"/>
            <wp:effectExtent l="0" t="0" r="1143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67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79E3B">
      <w:pPr>
        <w:jc w:val="center"/>
      </w:pPr>
      <w:r>
        <w:rPr>
          <w:rFonts w:ascii="宋体" w:hAnsi="宋体" w:eastAsia="宋体"/>
          <w:i/>
          <w:sz w:val="20"/>
        </w:rPr>
        <w:t>图4 v4.1 抽取流程</w:t>
      </w:r>
    </w:p>
    <w:p w14:paraId="3D021A6E">
      <w:pPr>
        <w:pStyle w:val="4"/>
      </w:pPr>
      <w:r>
        <w:rPr>
          <w:rFonts w:ascii="黑体" w:hAnsi="黑体" w:eastAsia="黑体"/>
          <w:b/>
          <w:i w:val="0"/>
          <w:sz w:val="26"/>
        </w:rPr>
        <w:t>第一步：教材切分</w:t>
      </w:r>
    </w:p>
    <w:p w14:paraId="5D4B2337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将结构化教材文本切分为相对独立的教材片段，并标记其来源范围：</w:t>
      </w:r>
    </w:p>
    <w:p w14:paraId="18A1CA01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正文内容：用于抽取正式知识点及其核心关系。</w:t>
      </w:r>
    </w:p>
    <w:p w14:paraId="35D6E377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典型例题：主要用于抽取方法、题型和应用原文依据。</w:t>
      </w:r>
    </w:p>
    <w:p w14:paraId="636958EA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习题：当前阶段暂不参与抽取，以降低题干噪声对知识点抽取的影响。</w:t>
      </w:r>
    </w:p>
    <w:p w14:paraId="410F9554">
      <w:pPr>
        <w:pStyle w:val="4"/>
      </w:pPr>
      <w:r>
        <w:rPr>
          <w:rFonts w:ascii="黑体" w:hAnsi="黑体" w:eastAsia="黑体"/>
          <w:b/>
          <w:i w:val="0"/>
          <w:sz w:val="26"/>
        </w:rPr>
        <w:t>第二步：知识点候选生成</w:t>
      </w:r>
    </w:p>
    <w:p w14:paraId="0D99DC93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由 LLM 从教材片段中提出候选知识点。候选类型包括：</w:t>
      </w:r>
    </w:p>
    <w:p w14:paraId="28225E27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概念</w:t>
      </w:r>
    </w:p>
    <w:p w14:paraId="746693CA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定义</w:t>
      </w:r>
    </w:p>
    <w:p w14:paraId="6B2D8086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定理</w:t>
      </w:r>
    </w:p>
    <w:p w14:paraId="7366A914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公式</w:t>
      </w:r>
    </w:p>
    <w:p w14:paraId="128AD975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方法</w:t>
      </w:r>
    </w:p>
    <w:p w14:paraId="76A992DE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题型</w:t>
      </w:r>
    </w:p>
    <w:p w14:paraId="56F02586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属性值</w:t>
      </w:r>
    </w:p>
    <w:p w14:paraId="135B490A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仅作为原文依据的内容</w:t>
      </w:r>
    </w:p>
    <w:p w14:paraId="48247FFF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其中，典型例题的处理范围受到严格限制：典型例题可以产生“方法”和“题型”类候选，但不允许把例题中的具体结论抽取为正式定理、公式、定义或概念。</w:t>
      </w:r>
    </w:p>
    <w:p w14:paraId="16724240">
      <w:pPr>
        <w:pStyle w:val="4"/>
      </w:pPr>
      <w:r>
        <w:rPr>
          <w:rFonts w:ascii="黑体" w:hAnsi="黑体" w:eastAsia="黑体"/>
          <w:b/>
          <w:i w:val="0"/>
          <w:sz w:val="26"/>
        </w:rPr>
        <w:t>第三步：知识点准入与规范化</w:t>
      </w:r>
    </w:p>
    <w:p w14:paraId="414B8F48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该步骤对候选知识点进行准入判断与规范化处理，主要包括：</w:t>
      </w:r>
    </w:p>
    <w:p w14:paraId="44625D7C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语义命名：编号只是教材来源标签，不能作为知识点名称；若教材只有编号而无通用名称，则需生成学生可理解、可检索的语义名称。</w:t>
      </w:r>
    </w:p>
    <w:p w14:paraId="3CE446B3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同义合并：当前阶段采用保守合并策略，避免因自动合并过度造成知识点边界混乱。</w:t>
      </w:r>
    </w:p>
    <w:p w14:paraId="4FA7482D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属性值判断：默认将“唯一解”“无解”“零解”等状态作为属性值；只有在教材单独定义、有独立判别准则、参与多重关系或后文专题展开时，才升级为独立知识点。</w:t>
      </w:r>
    </w:p>
    <w:p w14:paraId="4CE87080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人工复核：对命名不稳定、来源依据不足、粒度边界不清或类型判断不确定的候选项进行人工复核。</w:t>
      </w:r>
    </w:p>
    <w:p w14:paraId="1E42F1DD">
      <w:pPr>
        <w:pStyle w:val="4"/>
      </w:pPr>
      <w:r>
        <w:rPr>
          <w:rFonts w:ascii="黑体" w:hAnsi="黑体" w:eastAsia="黑体"/>
          <w:b/>
          <w:i w:val="0"/>
          <w:sz w:val="26"/>
        </w:rPr>
        <w:t>第四步：关系候选生成</w:t>
      </w:r>
    </w:p>
    <w:p w14:paraId="6F1D9F2D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关系候选只在已准入的知识点之间生成，避免 LLM 自行创造关系两端的知识点。主要关系类型包括：</w:t>
      </w:r>
    </w:p>
    <w:p w14:paraId="3631909D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前置关系：A 是理解 B 的直接必要前置。</w:t>
      </w:r>
    </w:p>
    <w:p w14:paraId="48A73AD8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推导关系：B 由 A 推出、证明、特化或改写得到。</w:t>
      </w:r>
    </w:p>
    <w:p w14:paraId="3D7E573E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应用关系：A 可用于解决或处理 B。</w:t>
      </w:r>
    </w:p>
    <w:p w14:paraId="3ADF43B5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关系方向采用统一约定：若 A 指向 B，则表示 A 对 B 具有前置、推导来源或应用支撑作用，而不是简单表示教材中的出现顺序。</w:t>
      </w:r>
    </w:p>
    <w:p w14:paraId="35974BDD">
      <w:pPr>
        <w:pStyle w:val="4"/>
      </w:pPr>
      <w:r>
        <w:rPr>
          <w:rFonts w:ascii="黑体" w:hAnsi="黑体" w:eastAsia="黑体"/>
          <w:b/>
          <w:i w:val="0"/>
          <w:sz w:val="26"/>
        </w:rPr>
        <w:t>第五步：关系校验、人工复核与分层</w:t>
      </w:r>
    </w:p>
    <w:p w14:paraId="2319F4F5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关系候选生成后，需要进一步检查：</w:t>
      </w:r>
    </w:p>
    <w:p w14:paraId="28DFF4BD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关系两端是否均来自已准入知识点。</w:t>
      </w:r>
    </w:p>
    <w:p w14:paraId="4E4CDAA2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关系方向是否符合预设定义。</w:t>
      </w:r>
    </w:p>
    <w:p w14:paraId="5CB16747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教材原文依据是否能够支持该关系。</w:t>
      </w:r>
    </w:p>
    <w:p w14:paraId="39F45D23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前置关系是否满足“直接必要”的强标准。</w:t>
      </w:r>
    </w:p>
    <w:p w14:paraId="6557401D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典型例题相关关系是否仅进入应用索引层。</w:t>
      </w:r>
    </w:p>
    <w:p w14:paraId="09AC83F0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不确定关系是否应提交人工复核。</w:t>
      </w:r>
    </w:p>
    <w:p w14:paraId="759B72FC">
      <w:pPr>
        <w:pStyle w:val="4"/>
      </w:pPr>
      <w:r>
        <w:rPr>
          <w:rFonts w:ascii="黑体" w:hAnsi="黑体" w:eastAsia="黑体"/>
          <w:b/>
          <w:i w:val="0"/>
          <w:sz w:val="26"/>
        </w:rPr>
        <w:t>第六步：导入图数据库并可视化验证</w:t>
      </w:r>
    </w:p>
    <w:p w14:paraId="78775584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通过脚本将通过准入的知识点和关系导入 Neo4j。默认视图以“主导航图”为主，其余层可按需要单独导入和查看，以避免证明细节或例题应用关系干扰学习路径生成。</w:t>
      </w:r>
    </w:p>
    <w:p w14:paraId="38EFD66F">
      <w:pPr>
        <w:pStyle w:val="3"/>
      </w:pPr>
      <w:r>
        <w:rPr>
          <w:rFonts w:ascii="黑体" w:hAnsi="黑体" w:eastAsia="黑体"/>
          <w:b/>
          <w:i w:val="0"/>
          <w:sz w:val="30"/>
        </w:rPr>
        <w:t>五、关键设计规则</w:t>
      </w:r>
    </w:p>
    <w:p w14:paraId="62F7026A">
      <w:pPr>
        <w:pStyle w:val="4"/>
      </w:pPr>
      <w:r>
        <w:rPr>
          <w:rFonts w:ascii="黑体" w:hAnsi="黑体" w:eastAsia="黑体"/>
          <w:b/>
          <w:i w:val="0"/>
          <w:sz w:val="26"/>
        </w:rPr>
        <w:t>1. 定理与公式的语义命名</w:t>
      </w:r>
    </w:p>
    <w:p w14:paraId="4EE5DA2D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数学教材中的定理、命题、推论、公式往往以编号形式出现，如“定理1”“命题2”“公式3”。此类编号具有来源定位作用，但不适合作为知识图谱中的正式名称。正式名称应尽量反映其数学内容，便于学生理解、检索和复习。</w:t>
      </w:r>
    </w:p>
    <w:p w14:paraId="4D84A745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处理原则如下：</w:t>
      </w:r>
    </w:p>
    <w:p w14:paraId="008A2CB1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若教材中已有通用名称，则采用通用名称。</w:t>
      </w:r>
    </w:p>
    <w:p w14:paraId="6BD587D1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若教材中只有编号但内容重要，则生成语义名称。</w:t>
      </w:r>
    </w:p>
    <w:p w14:paraId="4DEFE9F3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编号保留为别名或来源标签，用于回溯教材位置。</w:t>
      </w:r>
    </w:p>
    <w:tbl>
      <w:tblPr>
        <w:tblStyle w:val="33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34609D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vAlign w:val="center"/>
          </w:tcPr>
          <w:p w14:paraId="2AADAFC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教材呈现</w:t>
            </w:r>
          </w:p>
        </w:tc>
        <w:tc>
          <w:tcPr>
            <w:tcW w:w="4824" w:type="dxa"/>
            <w:vAlign w:val="center"/>
          </w:tcPr>
          <w:p w14:paraId="2E9C4F4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图谱命名</w:t>
            </w:r>
          </w:p>
        </w:tc>
      </w:tr>
      <w:tr w14:paraId="155154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vAlign w:val="center"/>
          </w:tcPr>
          <w:p w14:paraId="6FE5687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定理1：任意矩阵可经初等行变换化为阶梯形矩阵</w:t>
            </w:r>
          </w:p>
        </w:tc>
        <w:tc>
          <w:tcPr>
            <w:tcW w:w="4824" w:type="dxa"/>
            <w:vAlign w:val="center"/>
          </w:tcPr>
          <w:p w14:paraId="6B6E900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矩阵可化为阶梯形</w:t>
            </w:r>
          </w:p>
        </w:tc>
      </w:tr>
      <w:tr w14:paraId="2F8BBE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vAlign w:val="center"/>
          </w:tcPr>
          <w:p w14:paraId="4467F8A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定理5：单调有界数列必收敛</w:t>
            </w:r>
          </w:p>
        </w:tc>
        <w:tc>
          <w:tcPr>
            <w:tcW w:w="4824" w:type="dxa"/>
            <w:vAlign w:val="center"/>
          </w:tcPr>
          <w:p w14:paraId="1C4A1DB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单调有界收敛准则</w:t>
            </w:r>
          </w:p>
        </w:tc>
      </w:tr>
      <w:tr w14:paraId="4D4A52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vAlign w:val="center"/>
          </w:tcPr>
          <w:p w14:paraId="7A1C506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牛顿-莱布尼茨公式</w:t>
            </w:r>
          </w:p>
        </w:tc>
        <w:tc>
          <w:tcPr>
            <w:tcW w:w="4824" w:type="dxa"/>
            <w:vAlign w:val="center"/>
          </w:tcPr>
          <w:p w14:paraId="794E52A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牛顿-莱布尼茨公式</w:t>
            </w:r>
          </w:p>
        </w:tc>
      </w:tr>
    </w:tbl>
    <w:p w14:paraId="2B8AEA05"/>
    <w:p w14:paraId="14C4E1D5">
      <w:pPr>
        <w:pStyle w:val="4"/>
      </w:pPr>
      <w:r>
        <w:rPr>
          <w:rFonts w:ascii="黑体" w:hAnsi="黑体" w:eastAsia="黑体"/>
          <w:b/>
          <w:i w:val="0"/>
          <w:sz w:val="26"/>
        </w:rPr>
        <w:t>2. 属性值与独立知识点的边界</w:t>
      </w:r>
    </w:p>
    <w:p w14:paraId="7ADC7A36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“唯一解”“无解”“无穷多个解”等状态类表达，默认不单独抽取为概念知识点，而是优先作为某一对象的属性值。例如，线性方程组可以具有“有唯一解”“无解”“有无穷多个解”等状态。</w:t>
      </w:r>
    </w:p>
    <w:p w14:paraId="485D687F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但若满足以下条件之一，可考虑升级为独立知识点：</w:t>
      </w:r>
    </w:p>
    <w:tbl>
      <w:tblPr>
        <w:tblStyle w:val="33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7BEC4A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vAlign w:val="center"/>
          </w:tcPr>
          <w:p w14:paraId="68FD2C6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升级条件</w:t>
            </w:r>
          </w:p>
        </w:tc>
        <w:tc>
          <w:tcPr>
            <w:tcW w:w="4824" w:type="dxa"/>
            <w:vAlign w:val="center"/>
          </w:tcPr>
          <w:p w14:paraId="179710B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示例</w:t>
            </w:r>
          </w:p>
        </w:tc>
      </w:tr>
      <w:tr w14:paraId="783524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vAlign w:val="center"/>
          </w:tcPr>
          <w:p w14:paraId="11F8EAC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教材对该状态单独给出定义</w:t>
            </w:r>
          </w:p>
        </w:tc>
        <w:tc>
          <w:tcPr>
            <w:tcW w:w="4824" w:type="dxa"/>
            <w:vAlign w:val="center"/>
          </w:tcPr>
          <w:p w14:paraId="33FA760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齐次线性方程组的零解</w:t>
            </w:r>
          </w:p>
        </w:tc>
      </w:tr>
      <w:tr w14:paraId="04F240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vAlign w:val="center"/>
          </w:tcPr>
          <w:p w14:paraId="40CB442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具有独立判别准则</w:t>
            </w:r>
          </w:p>
        </w:tc>
        <w:tc>
          <w:tcPr>
            <w:tcW w:w="4824" w:type="dxa"/>
            <w:vAlign w:val="center"/>
          </w:tcPr>
          <w:p w14:paraId="7F2E3DC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无解等价于增广矩阵秩大于系数矩阵秩</w:t>
            </w:r>
          </w:p>
        </w:tc>
      </w:tr>
      <w:tr w14:paraId="0BCA09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vAlign w:val="center"/>
          </w:tcPr>
          <w:p w14:paraId="095A07A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参与多个关系</w:t>
            </w:r>
          </w:p>
        </w:tc>
        <w:tc>
          <w:tcPr>
            <w:tcW w:w="4824" w:type="dxa"/>
            <w:vAlign w:val="center"/>
          </w:tcPr>
          <w:p w14:paraId="71A14FB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作为多个定理或方法之间的桥接知识点</w:t>
            </w:r>
          </w:p>
        </w:tc>
      </w:tr>
      <w:tr w14:paraId="03D6DF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vAlign w:val="center"/>
          </w:tcPr>
          <w:p w14:paraId="1468DC9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后文以该状态为主题展开</w:t>
            </w:r>
          </w:p>
        </w:tc>
        <w:tc>
          <w:tcPr>
            <w:tcW w:w="4824" w:type="dxa"/>
            <w:vAlign w:val="center"/>
          </w:tcPr>
          <w:p w14:paraId="086D24A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整节讨论某类解的结构</w:t>
            </w:r>
          </w:p>
        </w:tc>
      </w:tr>
    </w:tbl>
    <w:p w14:paraId="64481865"/>
    <w:p w14:paraId="40124D21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该规则的目的，是避免把大量状态词误抽为概念，同时保留确有教学意义和关系连接价值的状态类知识。</w:t>
      </w:r>
    </w:p>
    <w:p w14:paraId="72892418">
      <w:pPr>
        <w:pStyle w:val="4"/>
      </w:pPr>
      <w:r>
        <w:rPr>
          <w:rFonts w:ascii="黑体" w:hAnsi="黑体" w:eastAsia="黑体"/>
          <w:b/>
          <w:i w:val="0"/>
          <w:sz w:val="26"/>
        </w:rPr>
        <w:t>3. 典型例题的处理</w:t>
      </w:r>
    </w:p>
    <w:p w14:paraId="528A6077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早期方案曾完全跳过典型例题，以降低“例题答案被误抽为定理”的风险。但智学助手需要支持按知识点推荐例题、方法和题型，因此 v4.1 对典型例题采用有限抽取策略：</w:t>
      </w:r>
    </w:p>
    <w:p w14:paraId="0F376767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典型例题不产生正式概念、定义、定理、公式。</w:t>
      </w:r>
    </w:p>
    <w:p w14:paraId="4A31B40B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典型例题可以产生方法和题型。</w:t>
      </w:r>
    </w:p>
    <w:p w14:paraId="1FEA3A1E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典型例题产生的关系只进入应用索引层，不进入学习路径主图。</w:t>
      </w:r>
    </w:p>
    <w:p w14:paraId="0C3A84E3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典型例题中抽出的通用方法，原则上先进入人工复核，再决定是否入图。</w:t>
      </w:r>
    </w:p>
    <w:p w14:paraId="3D3C79A3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该策略试图在“降低噪声”和“保留应用价值”之间取得平衡。</w:t>
      </w:r>
    </w:p>
    <w:p w14:paraId="1AF393AE">
      <w:pPr>
        <w:pStyle w:val="4"/>
      </w:pPr>
      <w:r>
        <w:rPr>
          <w:rFonts w:ascii="黑体" w:hAnsi="黑体" w:eastAsia="黑体"/>
          <w:b/>
          <w:i w:val="0"/>
          <w:sz w:val="26"/>
        </w:rPr>
        <w:t>4. 三层关系结构</w:t>
      </w:r>
    </w:p>
    <w:p w14:paraId="394B4391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为适配不同教学应用，本方案将关系分为三层：</w:t>
      </w:r>
    </w:p>
    <w:tbl>
      <w:tblPr>
        <w:tblStyle w:val="33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2"/>
        <w:gridCol w:w="2412"/>
        <w:gridCol w:w="2412"/>
        <w:gridCol w:w="2412"/>
      </w:tblGrid>
      <w:tr w14:paraId="129296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12" w:type="dxa"/>
            <w:vAlign w:val="center"/>
          </w:tcPr>
          <w:p w14:paraId="00F3042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中文名称</w:t>
            </w:r>
          </w:p>
        </w:tc>
        <w:tc>
          <w:tcPr>
            <w:tcW w:w="2412" w:type="dxa"/>
            <w:vAlign w:val="center"/>
          </w:tcPr>
          <w:p w14:paraId="20C52B4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系统内部代号</w:t>
            </w:r>
          </w:p>
        </w:tc>
        <w:tc>
          <w:tcPr>
            <w:tcW w:w="2412" w:type="dxa"/>
            <w:vAlign w:val="center"/>
          </w:tcPr>
          <w:p w14:paraId="4162FEE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主要用途</w:t>
            </w:r>
          </w:p>
        </w:tc>
        <w:tc>
          <w:tcPr>
            <w:tcW w:w="2412" w:type="dxa"/>
            <w:vAlign w:val="center"/>
          </w:tcPr>
          <w:p w14:paraId="0838C22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主要关系</w:t>
            </w:r>
          </w:p>
        </w:tc>
      </w:tr>
      <w:tr w14:paraId="68616D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12" w:type="dxa"/>
            <w:vAlign w:val="center"/>
          </w:tcPr>
          <w:p w14:paraId="03A8D6F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主导航图</w:t>
            </w:r>
          </w:p>
        </w:tc>
        <w:tc>
          <w:tcPr>
            <w:tcW w:w="2412" w:type="dxa"/>
            <w:vAlign w:val="center"/>
          </w:tcPr>
          <w:p w14:paraId="15C3294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main</w:t>
            </w:r>
          </w:p>
        </w:tc>
        <w:tc>
          <w:tcPr>
            <w:tcW w:w="2412" w:type="dxa"/>
            <w:vAlign w:val="center"/>
          </w:tcPr>
          <w:p w14:paraId="65214BE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学习路径生成、缺漏知识诊断</w:t>
            </w:r>
          </w:p>
        </w:tc>
        <w:tc>
          <w:tcPr>
            <w:tcW w:w="2412" w:type="dxa"/>
            <w:vAlign w:val="center"/>
          </w:tcPr>
          <w:p w14:paraId="3FB3D51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强前置关系，少量核心推导关系</w:t>
            </w:r>
          </w:p>
        </w:tc>
      </w:tr>
      <w:tr w14:paraId="296852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12" w:type="dxa"/>
            <w:vAlign w:val="center"/>
          </w:tcPr>
          <w:p w14:paraId="6B87C35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证明追踪层</w:t>
            </w:r>
          </w:p>
        </w:tc>
        <w:tc>
          <w:tcPr>
            <w:tcW w:w="2412" w:type="dxa"/>
            <w:vAlign w:val="center"/>
          </w:tcPr>
          <w:p w14:paraId="2B37278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proof_trace</w:t>
            </w:r>
          </w:p>
        </w:tc>
        <w:tc>
          <w:tcPr>
            <w:tcW w:w="2412" w:type="dxa"/>
            <w:vAlign w:val="center"/>
          </w:tcPr>
          <w:p w14:paraId="1450C61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解释定理或公式的证明来源</w:t>
            </w:r>
          </w:p>
        </w:tc>
        <w:tc>
          <w:tcPr>
            <w:tcW w:w="2412" w:type="dxa"/>
            <w:vAlign w:val="center"/>
          </w:tcPr>
          <w:p w14:paraId="7F950D6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局部证明依赖、推导链</w:t>
            </w:r>
          </w:p>
        </w:tc>
      </w:tr>
      <w:tr w14:paraId="7A4E2E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12" w:type="dxa"/>
            <w:vAlign w:val="center"/>
          </w:tcPr>
          <w:p w14:paraId="5E2BD05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应用索引层</w:t>
            </w:r>
          </w:p>
        </w:tc>
        <w:tc>
          <w:tcPr>
            <w:tcW w:w="2412" w:type="dxa"/>
            <w:vAlign w:val="center"/>
          </w:tcPr>
          <w:p w14:paraId="178E611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application_index</w:t>
            </w:r>
          </w:p>
        </w:tc>
        <w:tc>
          <w:tcPr>
            <w:tcW w:w="2412" w:type="dxa"/>
            <w:vAlign w:val="center"/>
          </w:tcPr>
          <w:p w14:paraId="0AA1886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推荐例题、方法和题型</w:t>
            </w:r>
          </w:p>
        </w:tc>
        <w:tc>
          <w:tcPr>
            <w:tcW w:w="2412" w:type="dxa"/>
            <w:vAlign w:val="center"/>
          </w:tcPr>
          <w:p w14:paraId="1C816DE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应用关系</w:t>
            </w:r>
          </w:p>
        </w:tc>
      </w:tr>
    </w:tbl>
    <w:p w14:paraId="6FFED6B0"/>
    <w:p w14:paraId="34603F3A">
      <w:pPr>
        <w:jc w:val="center"/>
      </w:pPr>
      <w:r>
        <w:drawing>
          <wp:inline distT="0" distB="0" distL="114300" distR="114300">
            <wp:extent cx="5989320" cy="3668395"/>
            <wp:effectExtent l="0" t="0" r="1143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668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111A7">
      <w:pPr>
        <w:jc w:val="center"/>
      </w:pPr>
      <w:r>
        <w:rPr>
          <w:rFonts w:ascii="宋体" w:hAnsi="宋体" w:eastAsia="宋体"/>
          <w:i/>
          <w:sz w:val="20"/>
        </w:rPr>
        <w:t>图5 三层关系结构</w:t>
      </w:r>
    </w:p>
    <w:p w14:paraId="56C1E9B4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主导航图采用相对严格的准入标准，以保证学习路径可读、可解释；证明追踪层用于保留局部推导信息；应用索引层用于支撑例题、方法和题型推荐。三层之间既相互关联，又在用途上保持区分。</w:t>
      </w:r>
    </w:p>
    <w:p w14:paraId="731F1BD4">
      <w:pPr>
        <w:pStyle w:val="4"/>
      </w:pPr>
      <w:r>
        <w:rPr>
          <w:rFonts w:ascii="黑体" w:hAnsi="黑体" w:eastAsia="黑体"/>
          <w:b/>
          <w:i w:val="0"/>
          <w:sz w:val="26"/>
        </w:rPr>
        <w:t>5. 前置关系采用强标准</w:t>
      </w:r>
    </w:p>
    <w:p w14:paraId="603E73C5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前置关系仅表示“理解目标知识点所必需的直接前置知识”。以下情况不自动构成前置关系：</w:t>
      </w:r>
    </w:p>
    <w:p w14:paraId="39A1E0E9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A 仅在教材中早于 B 出现。</w:t>
      </w:r>
    </w:p>
    <w:p w14:paraId="56F750A4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A 与 B 在同一节中并列出现。</w:t>
      </w:r>
    </w:p>
    <w:p w14:paraId="673EF897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A 只是 B 的证明中使用过的工具。</w:t>
      </w:r>
    </w:p>
    <w:p w14:paraId="452A5406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A 与 B 主题相关，但不是理解 B 的必要条件。</w:t>
      </w:r>
    </w:p>
    <w:p w14:paraId="0CE8856C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若上述关系具有保留价值，可优先放入证明追踪层或应用索引层，而不直接进入主导航图。该设计旨在避免学习路径过密，保证路径推荐和缺漏诊断的解释性。</w:t>
      </w:r>
    </w:p>
    <w:p w14:paraId="2BF5B479">
      <w:pPr>
        <w:pStyle w:val="3"/>
      </w:pPr>
      <w:r>
        <w:rPr>
          <w:rFonts w:ascii="黑体" w:hAnsi="黑体" w:eastAsia="黑体"/>
          <w:b/>
          <w:i w:val="0"/>
          <w:sz w:val="30"/>
        </w:rPr>
        <w:t>六、当前验证方式与工程边界</w:t>
      </w:r>
    </w:p>
    <w:p w14:paraId="3B053FB9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当前已基于《高等代数》教材的局部章节进行初步验证，并导入本地 Neo4j 进行可视化检查。对外征询稿暂不列出具体数量统计；如专家需要，可另行提供内部实验记录。</w:t>
      </w:r>
    </w:p>
    <w:p w14:paraId="43911E3D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阶段性验证主要关注以下方面：</w:t>
      </w:r>
    </w:p>
    <w:p w14:paraId="5D3B3644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是否能够区分教材正文、典型例题和习题，并采用不同抽取策略。</w:t>
      </w:r>
    </w:p>
    <w:p w14:paraId="746F60F2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是否能够将“定理1”“公式2”等编号保留为来源标签，而非作为正式知识点名称。</w:t>
      </w:r>
    </w:p>
    <w:p w14:paraId="6DE237BD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是否能够分别查看主导航图、证明追踪层和应用索引层。</w:t>
      </w:r>
    </w:p>
    <w:p w14:paraId="502A5E4D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是否能够利用主导航图观察学习路径和前置知识。</w:t>
      </w:r>
    </w:p>
    <w:p w14:paraId="494EF31B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是否能够在应用索引层中查看知识点、方法和题型之间的关联。</w:t>
      </w:r>
    </w:p>
    <w:p w14:paraId="3C18A26F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是否能够将不确定样本提交人工复核，减少自动抽取结果中的不稳定项。</w:t>
      </w:r>
    </w:p>
    <w:p w14:paraId="62C13ACC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当前仍存在若干工程边界：</w:t>
      </w:r>
    </w:p>
    <w:p w14:paraId="4F246C2D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同义合并策略较为保守，疑似同义、上下位和粒度重叠问题仍依赖人工复核。</w:t>
      </w:r>
    </w:p>
    <w:p w14:paraId="2A9B475A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典型例题中的方法和题型具有应用价值，但也存在误抽风险，需要进一步完善准入标准。</w:t>
      </w:r>
    </w:p>
    <w:p w14:paraId="009D6E2E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证明追踪层可能出现粒度偏细的问题，需要专家判断哪些证明依赖具有保留价值。</w:t>
      </w:r>
    </w:p>
    <w:p w14:paraId="72BC577E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应用索引层需要在更多章节上验证覆盖度和稳定性。</w:t>
      </w:r>
    </w:p>
    <w:p w14:paraId="4B47B5A8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主导航图采用强前置标准，有利于保持路径简明，但也可能遗漏部分弱关联知识。</w:t>
      </w:r>
    </w:p>
    <w:p w14:paraId="50E3F47D">
      <w:pPr>
        <w:pStyle w:val="3"/>
      </w:pPr>
      <w:r>
        <w:rPr>
          <w:rFonts w:ascii="黑体" w:hAnsi="黑体" w:eastAsia="黑体"/>
          <w:b/>
          <w:i w:val="0"/>
          <w:sz w:val="30"/>
        </w:rPr>
        <w:t>七、应用场域</w:t>
      </w:r>
    </w:p>
    <w:p w14:paraId="5C141EBA">
      <w:pPr>
        <w:pStyle w:val="4"/>
      </w:pPr>
      <w:r>
        <w:rPr>
          <w:rFonts w:ascii="黑体" w:hAnsi="黑体" w:eastAsia="黑体"/>
          <w:b/>
          <w:i w:val="0"/>
          <w:sz w:val="26"/>
        </w:rPr>
        <w:t>1. 知识缺漏诊断</w:t>
      </w:r>
    </w:p>
    <w:p w14:paraId="02C78668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当学生在某道题上出现困难时，系统可先识别题目涉及的目标知识点或题型，再沿主导航图反向追溯必要前置知识，从而辅助判断学生可能缺失的知识环节。</w:t>
      </w:r>
    </w:p>
    <w:p w14:paraId="21DD087C">
      <w:pPr>
        <w:jc w:val="center"/>
      </w:pPr>
      <w:r>
        <w:drawing>
          <wp:inline distT="0" distB="0" distL="114300" distR="114300">
            <wp:extent cx="5989320" cy="1946275"/>
            <wp:effectExtent l="0" t="0" r="11430" b="158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946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CFADF">
      <w:pPr>
        <w:jc w:val="center"/>
      </w:pPr>
      <w:r>
        <w:rPr>
          <w:rFonts w:ascii="宋体" w:hAnsi="宋体" w:eastAsia="宋体"/>
          <w:i/>
          <w:sz w:val="20"/>
        </w:rPr>
        <w:t>图6 知识缺漏诊断流程</w:t>
      </w:r>
    </w:p>
    <w:p w14:paraId="0A85C6FD">
      <w:pPr>
        <w:pStyle w:val="4"/>
      </w:pPr>
      <w:r>
        <w:rPr>
          <w:rFonts w:ascii="黑体" w:hAnsi="黑体" w:eastAsia="黑体"/>
          <w:b/>
          <w:i w:val="0"/>
          <w:sz w:val="26"/>
        </w:rPr>
        <w:t>2. 学习路径生成</w:t>
      </w:r>
    </w:p>
    <w:p w14:paraId="1D312BD9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系统可结合教材章节顺序和主导航图中的前置关系，为某一章节、某一知识点或某一学习目标生成学习路径。主导航图采用较严格标准，适合作为默认路径骨架。</w:t>
      </w:r>
    </w:p>
    <w:p w14:paraId="59ECE3B1">
      <w:pPr>
        <w:pStyle w:val="4"/>
      </w:pPr>
      <w:r>
        <w:rPr>
          <w:rFonts w:ascii="黑体" w:hAnsi="黑体" w:eastAsia="黑体"/>
          <w:b/>
          <w:i w:val="0"/>
          <w:sz w:val="26"/>
        </w:rPr>
        <w:t>3. 例题、方法和题型推荐</w:t>
      </w:r>
    </w:p>
    <w:p w14:paraId="6D9BC11C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应用索引层可支持以下问题：</w:t>
      </w:r>
    </w:p>
    <w:p w14:paraId="53D7767D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学习某一知识点后，适合练习哪些题型？</w:t>
      </w:r>
    </w:p>
    <w:p w14:paraId="66F034A0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某类题型通常使用哪些方法？</w:t>
      </w:r>
    </w:p>
    <w:p w14:paraId="4887C458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某一定理或公式在教材例题中如何被应用？</w:t>
      </w:r>
    </w:p>
    <w:p w14:paraId="74A86F3C">
      <w:pPr>
        <w:jc w:val="center"/>
      </w:pPr>
      <w:r>
        <w:drawing>
          <wp:inline distT="0" distB="0" distL="114300" distR="114300">
            <wp:extent cx="5989320" cy="2235835"/>
            <wp:effectExtent l="0" t="0" r="11430" b="1206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236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83F51">
      <w:pPr>
        <w:jc w:val="center"/>
      </w:pPr>
      <w:r>
        <w:rPr>
          <w:rFonts w:ascii="宋体" w:hAnsi="宋体" w:eastAsia="宋体"/>
          <w:i/>
          <w:sz w:val="20"/>
        </w:rPr>
        <w:t>图7 应用索引层推荐逻辑</w:t>
      </w:r>
    </w:p>
    <w:p w14:paraId="70859085">
      <w:pPr>
        <w:pStyle w:val="4"/>
      </w:pPr>
      <w:r>
        <w:rPr>
          <w:rFonts w:ascii="黑体" w:hAnsi="黑体" w:eastAsia="黑体"/>
          <w:b/>
          <w:i w:val="0"/>
          <w:sz w:val="26"/>
        </w:rPr>
        <w:t>4. 证明解释</w:t>
      </w:r>
    </w:p>
    <w:p w14:paraId="3070D148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证明追踪层用于解释定理、公式或重要结论的来源，可辅助回答：</w:t>
      </w:r>
    </w:p>
    <w:p w14:paraId="5089F2CE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该定理由哪些已有结论推出？</w:t>
      </w:r>
    </w:p>
    <w:p w14:paraId="210BC47D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证明过程中依赖了哪些性质、公式或方法？</w:t>
      </w:r>
    </w:p>
    <w:p w14:paraId="20ADD553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某个公式在教材中如何得到？</w:t>
      </w:r>
    </w:p>
    <w:p w14:paraId="4BA2E197">
      <w:pPr>
        <w:pStyle w:val="3"/>
      </w:pPr>
      <w:r>
        <w:rPr>
          <w:rFonts w:ascii="黑体" w:hAnsi="黑体" w:eastAsia="黑体"/>
          <w:b/>
          <w:i w:val="0"/>
          <w:sz w:val="30"/>
        </w:rPr>
        <w:t>八、拟请专家重点指导的问题</w:t>
      </w:r>
    </w:p>
    <w:p w14:paraId="7328EEC6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为进一步完善方案，拟重点请教以下问题：</w:t>
      </w:r>
    </w:p>
    <w:p w14:paraId="60E69C24">
      <w:pPr>
        <w:pStyle w:val="14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三层关系结构是否合理，是否符合教育知识图谱在学习路径、诊断和推荐场景中的使用需求？</w:t>
      </w:r>
    </w:p>
    <w:p w14:paraId="31D7533E">
      <w:pPr>
        <w:pStyle w:val="14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主导航图采用强前置标准是否过严，是否可能影响学习路径的完整性？</w:t>
      </w:r>
    </w:p>
    <w:p w14:paraId="659744D8">
      <w:pPr>
        <w:pStyle w:val="14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证明追踪层是否应继续保留前置关系，还是应统一表述为推导关系或证明依赖关系？</w:t>
      </w:r>
    </w:p>
    <w:p w14:paraId="25AD788F">
      <w:pPr>
        <w:pStyle w:val="14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典型例题只进入应用索引层、不进入主导航图，这一处理是否合理？</w:t>
      </w:r>
    </w:p>
    <w:p w14:paraId="367C6A19">
      <w:pPr>
        <w:pStyle w:val="14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当前知识点粒度是否适合学生诊断和学习路径生成？</w:t>
      </w:r>
    </w:p>
    <w:p w14:paraId="4E443989">
      <w:pPr>
        <w:pStyle w:val="14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属性值与独立知识点之间的升级条件是否合理？</w:t>
      </w:r>
    </w:p>
    <w:p w14:paraId="67BA6F5E">
      <w:pPr>
        <w:pStyle w:val="14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后续评价应如何设计？例如专家标注一致性、学习路径可用性、诊断准确率、推荐例题命中率等。</w:t>
      </w:r>
    </w:p>
    <w:p w14:paraId="6894D274">
      <w:pPr>
        <w:pStyle w:val="14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若后续扩展到多本教材，是否应先分别构建单本教材图谱，再进行跨教材统一归并？</w:t>
      </w:r>
    </w:p>
    <w:p w14:paraId="04E0E11A">
      <w:pPr>
        <w:pStyle w:val="3"/>
      </w:pPr>
      <w:r>
        <w:rPr>
          <w:rFonts w:ascii="黑体" w:hAnsi="黑体" w:eastAsia="黑体"/>
          <w:b/>
          <w:i w:val="0"/>
          <w:sz w:val="30"/>
        </w:rPr>
        <w:t>九、当前阶段判断与后续计划</w:t>
      </w:r>
    </w:p>
    <w:p w14:paraId="01C2FE92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从局部章节验证情况看，三层图谱结构具备初步可行性：</w:t>
      </w:r>
    </w:p>
    <w:p w14:paraId="0004E083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主导航图适合承载学习路径和缺漏诊断，但前置关系标准仍需专家进一步判断。</w:t>
      </w:r>
    </w:p>
    <w:p w14:paraId="086402E2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证明追踪层能够保留局部推导信息，但需要继续控制粒度。</w:t>
      </w:r>
    </w:p>
    <w:p w14:paraId="098BBBDA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应用索引层能够表达“方法/定理/公式到题型”的应用关系，但覆盖度需要在更多章节中验证。</w:t>
      </w:r>
    </w:p>
    <w:p w14:paraId="12D16775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下一阶段计划是在专家反馈基础上，进一步修订知识点粒度标准、关系分层规则和人工复核规范，再扩展到更多章节和教材版本。</w:t>
      </w:r>
    </w:p>
    <w:sectPr>
      <w:pgSz w:w="12240" w:h="15840"/>
      <w:pgMar w:top="1181" w:right="1296" w:bottom="1181" w:left="129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Anonymou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nonymous">
    <w:panose1 w:val="02000409000000000000"/>
    <w:charset w:val="00"/>
    <w:family w:val="auto"/>
    <w:pitch w:val="default"/>
    <w:sig w:usb0="80000007" w:usb1="00000000" w:usb2="00000000" w:usb3="00000000" w:csb0="20000111" w:csb1="4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3001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000000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00000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00000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000000"/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000000"/>
      <w:sz w:val="20"/>
      <w:szCs w:val="20"/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000000"/>
      <w:sz w:val="20"/>
      <w:szCs w:val="20"/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  <w:rPr>
      <w:rFonts w:ascii="宋体" w:hAnsi="宋体" w:eastAsia="宋体"/>
      <w:sz w:val="22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000000"/>
      <w:sz w:val="18"/>
      <w:szCs w:val="18"/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ascii="宋体" w:hAnsi="宋体" w:eastAsia="宋体"/>
      <w:sz w:val="22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000000"/>
      <w:spacing w:val="15"/>
      <w:sz w:val="24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000000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36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A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00000A" w:fill="FFFFF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A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00000A" w:fill="FFFFF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A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00000A" w:fill="FFFFF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A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00000A" w:fill="FFFFF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A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00000A" w:fill="FFFFF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A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00000A" w:fill="FFFFF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A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00000A" w:fill="FFFFF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00000A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00000A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00000A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00000A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00000A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00000A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00000A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00000A" w:fill="FFFFFF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00000A" w:fill="FFFFFF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00000A" w:fill="FFFFFF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00000A" w:fill="FFFFFF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00000A" w:fill="FFFFFF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00000A" w:fill="FFFFFF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00000A" w:fill="FFFFFF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00000A" w:fill="FFFFFF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00000A" w:fill="FFFFFF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00000A" w:fill="FFFFFF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00000A" w:fill="FFFFFF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00000A" w:fill="FFFFFF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00000A" w:fill="FFFFFF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00000A" w:fill="FFFFFF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  <w:shd w:val="clear" w:color="00000A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A" w:fill="FFFFFF"/>
      </w:tcPr>
    </w:tblStylePr>
    <w:tblStylePr w:type="band1Horz">
      <w:tblPr/>
      <w:tcPr>
        <w:tcBorders>
          <w:insideH w:val="nil"/>
          <w:insideV w:val="nil"/>
        </w:tcBorders>
        <w:shd w:val="clear" w:color="00000A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  <w:shd w:val="clear" w:color="00000A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A" w:fill="FFFFFF"/>
      </w:tcPr>
    </w:tblStylePr>
    <w:tblStylePr w:type="band1Horz">
      <w:tblPr/>
      <w:tcPr>
        <w:tcBorders>
          <w:insideH w:val="nil"/>
          <w:insideV w:val="nil"/>
        </w:tcBorders>
        <w:shd w:val="clear" w:color="00000A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  <w:shd w:val="clear" w:color="00000A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A" w:fill="FFFFFF"/>
      </w:tcPr>
    </w:tblStylePr>
    <w:tblStylePr w:type="band1Horz">
      <w:tblPr/>
      <w:tcPr>
        <w:tcBorders>
          <w:insideH w:val="nil"/>
          <w:insideV w:val="nil"/>
        </w:tcBorders>
        <w:shd w:val="clear" w:color="00000A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  <w:shd w:val="clear" w:color="00000A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A" w:fill="FFFFFF"/>
      </w:tcPr>
    </w:tblStylePr>
    <w:tblStylePr w:type="band1Horz">
      <w:tblPr/>
      <w:tcPr>
        <w:tcBorders>
          <w:insideH w:val="nil"/>
          <w:insideV w:val="nil"/>
        </w:tcBorders>
        <w:shd w:val="clear" w:color="00000A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  <w:shd w:val="clear" w:color="00000A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A" w:fill="FFFFFF"/>
      </w:tcPr>
    </w:tblStylePr>
    <w:tblStylePr w:type="band1Horz">
      <w:tblPr/>
      <w:tcPr>
        <w:tcBorders>
          <w:insideH w:val="nil"/>
          <w:insideV w:val="nil"/>
        </w:tcBorders>
        <w:shd w:val="clear" w:color="00000A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  <w:shd w:val="clear" w:color="00000A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A" w:fill="FFFFFF"/>
      </w:tcPr>
    </w:tblStylePr>
    <w:tblStylePr w:type="band1Horz">
      <w:tblPr/>
      <w:tcPr>
        <w:tcBorders>
          <w:insideH w:val="nil"/>
          <w:insideV w:val="nil"/>
        </w:tcBorders>
        <w:shd w:val="clear" w:color="00000A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  <w:shd w:val="clear" w:color="00000A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A" w:fill="FFFFFF"/>
      </w:tcPr>
    </w:tblStylePr>
    <w:tblStylePr w:type="band1Horz">
      <w:tblPr/>
      <w:tcPr>
        <w:tcBorders>
          <w:insideH w:val="nil"/>
          <w:insideV w:val="nil"/>
        </w:tcBorders>
        <w:shd w:val="clear" w:color="00000A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000000" w:sz="18" w:space="0"/>
        <w:bottom w:val="single" w:color="000000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000000" w:sz="18" w:space="0"/>
          <w:left w:val="nil"/>
          <w:bottom w:val="single" w:color="000000" w:sz="18" w:space="0"/>
          <w:right w:val="nil"/>
          <w:insideH w:val="nil"/>
          <w:insideV w:val="nil"/>
        </w:tcBorders>
        <w:shd w:val="clear" w:color="00000A" w:fill="FFFFFF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000000" w:sz="6" w:space="0"/>
          <w:left w:val="nil"/>
          <w:bottom w:val="single" w:color="000000" w:sz="18" w:space="0"/>
          <w:right w:val="nil"/>
          <w:insideH w:val="nil"/>
          <w:insideV w:val="nil"/>
        </w:tcBorders>
        <w:shd w:val="clear" w:color="00000A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color="000000" w:sz="18" w:space="0"/>
          <w:right w:val="nil"/>
          <w:insideH w:val="nil"/>
          <w:insideV w:val="nil"/>
        </w:tcBorders>
        <w:shd w:val="clear" w:color="00000A" w:fill="FFFFFF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00000A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A" w:fill="FFFFFF"/>
      </w:tcPr>
    </w:tblStylePr>
    <w:tblStylePr w:type="band1Horz">
      <w:tblPr/>
      <w:tcPr>
        <w:shd w:val="clear" w:color="00000A" w:fill="FFFFFF"/>
      </w:tcPr>
    </w:tblStylePr>
    <w:tblStylePr w:type="neCell">
      <w:tblPr/>
      <w:tcPr>
        <w:tcBorders>
          <w:top w:val="single" w:color="000000" w:sz="18" w:space="0"/>
          <w:left w:val="nil"/>
          <w:bottom w:val="single" w:color="000000" w:sz="18" w:space="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color="000000" w:sz="18" w:space="0"/>
          <w:left w:val="nil"/>
          <w:bottom w:val="single" w:color="000000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000000" w:sz="18" w:space="0"/>
        <w:bottom w:val="single" w:color="000000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000000" w:sz="18" w:space="0"/>
          <w:left w:val="nil"/>
          <w:bottom w:val="single" w:color="000000" w:sz="18" w:space="0"/>
          <w:right w:val="nil"/>
          <w:insideH w:val="nil"/>
          <w:insideV w:val="nil"/>
        </w:tcBorders>
        <w:shd w:val="clear" w:color="00000A" w:fill="F2F2F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000000" w:sz="6" w:space="0"/>
          <w:left w:val="nil"/>
          <w:bottom w:val="single" w:color="000000" w:sz="18" w:space="0"/>
          <w:right w:val="nil"/>
          <w:insideH w:val="nil"/>
          <w:insideV w:val="nil"/>
        </w:tcBorders>
        <w:shd w:val="clear" w:color="00000A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color="000000" w:sz="18" w:space="0"/>
          <w:right w:val="nil"/>
          <w:insideH w:val="nil"/>
          <w:insideV w:val="nil"/>
        </w:tcBorders>
        <w:shd w:val="clear" w:color="00000A" w:fill="F2F2F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00000A" w:fill="F2F2F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A" w:fill="FFFFFF"/>
      </w:tcPr>
    </w:tblStylePr>
    <w:tblStylePr w:type="band1Horz">
      <w:tblPr/>
      <w:tcPr>
        <w:shd w:val="clear" w:color="00000A" w:fill="FFFFFF"/>
      </w:tcPr>
    </w:tblStylePr>
    <w:tblStylePr w:type="neCell">
      <w:tblPr/>
      <w:tcPr>
        <w:tcBorders>
          <w:top w:val="single" w:color="000000" w:sz="18" w:space="0"/>
          <w:left w:val="nil"/>
          <w:bottom w:val="single" w:color="000000" w:sz="18" w:space="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color="000000" w:sz="18" w:space="0"/>
          <w:left w:val="nil"/>
          <w:bottom w:val="single" w:color="000000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000000" w:sz="18" w:space="0"/>
        <w:bottom w:val="single" w:color="000000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000000" w:sz="18" w:space="0"/>
          <w:left w:val="nil"/>
          <w:bottom w:val="single" w:color="000000" w:sz="18" w:space="0"/>
          <w:right w:val="nil"/>
          <w:insideH w:val="nil"/>
          <w:insideV w:val="nil"/>
        </w:tcBorders>
        <w:shd w:val="clear" w:color="00000A" w:fill="F2F2F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000000" w:sz="6" w:space="0"/>
          <w:left w:val="nil"/>
          <w:bottom w:val="single" w:color="000000" w:sz="18" w:space="0"/>
          <w:right w:val="nil"/>
          <w:insideH w:val="nil"/>
          <w:insideV w:val="nil"/>
        </w:tcBorders>
        <w:shd w:val="clear" w:color="00000A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color="000000" w:sz="18" w:space="0"/>
          <w:right w:val="nil"/>
          <w:insideH w:val="nil"/>
          <w:insideV w:val="nil"/>
        </w:tcBorders>
        <w:shd w:val="clear" w:color="00000A" w:fill="F2F2F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00000A" w:fill="F2F2F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A" w:fill="FFFFFF"/>
      </w:tcPr>
    </w:tblStylePr>
    <w:tblStylePr w:type="band1Horz">
      <w:tblPr/>
      <w:tcPr>
        <w:shd w:val="clear" w:color="00000A" w:fill="FFFFFF"/>
      </w:tcPr>
    </w:tblStylePr>
    <w:tblStylePr w:type="neCell">
      <w:tblPr/>
      <w:tcPr>
        <w:tcBorders>
          <w:top w:val="single" w:color="000000" w:sz="18" w:space="0"/>
          <w:left w:val="nil"/>
          <w:bottom w:val="single" w:color="000000" w:sz="18" w:space="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color="000000" w:sz="18" w:space="0"/>
          <w:left w:val="nil"/>
          <w:bottom w:val="single" w:color="000000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000000" w:sz="18" w:space="0"/>
        <w:bottom w:val="single" w:color="000000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000000" w:sz="18" w:space="0"/>
          <w:left w:val="nil"/>
          <w:bottom w:val="single" w:color="000000" w:sz="18" w:space="0"/>
          <w:right w:val="nil"/>
          <w:insideH w:val="nil"/>
          <w:insideV w:val="nil"/>
        </w:tcBorders>
        <w:shd w:val="clear" w:color="00000A" w:fill="F2F2F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000000" w:sz="6" w:space="0"/>
          <w:left w:val="nil"/>
          <w:bottom w:val="single" w:color="000000" w:sz="18" w:space="0"/>
          <w:right w:val="nil"/>
          <w:insideH w:val="nil"/>
          <w:insideV w:val="nil"/>
        </w:tcBorders>
        <w:shd w:val="clear" w:color="00000A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color="000000" w:sz="18" w:space="0"/>
          <w:right w:val="nil"/>
          <w:insideH w:val="nil"/>
          <w:insideV w:val="nil"/>
        </w:tcBorders>
        <w:shd w:val="clear" w:color="00000A" w:fill="F2F2F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00000A" w:fill="F2F2F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A" w:fill="FFFFFF"/>
      </w:tcPr>
    </w:tblStylePr>
    <w:tblStylePr w:type="band1Horz">
      <w:tblPr/>
      <w:tcPr>
        <w:shd w:val="clear" w:color="00000A" w:fill="FFFFFF"/>
      </w:tcPr>
    </w:tblStylePr>
    <w:tblStylePr w:type="neCell">
      <w:tblPr/>
      <w:tcPr>
        <w:tcBorders>
          <w:top w:val="single" w:color="000000" w:sz="18" w:space="0"/>
          <w:left w:val="nil"/>
          <w:bottom w:val="single" w:color="000000" w:sz="18" w:space="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color="000000" w:sz="18" w:space="0"/>
          <w:left w:val="nil"/>
          <w:bottom w:val="single" w:color="000000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000000" w:sz="18" w:space="0"/>
        <w:bottom w:val="single" w:color="000000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000000" w:sz="18" w:space="0"/>
          <w:left w:val="nil"/>
          <w:bottom w:val="single" w:color="000000" w:sz="18" w:space="0"/>
          <w:right w:val="nil"/>
          <w:insideH w:val="nil"/>
          <w:insideV w:val="nil"/>
        </w:tcBorders>
        <w:shd w:val="clear" w:color="00000A" w:fill="F2F2F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000000" w:sz="6" w:space="0"/>
          <w:left w:val="nil"/>
          <w:bottom w:val="single" w:color="000000" w:sz="18" w:space="0"/>
          <w:right w:val="nil"/>
          <w:insideH w:val="nil"/>
          <w:insideV w:val="nil"/>
        </w:tcBorders>
        <w:shd w:val="clear" w:color="00000A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color="000000" w:sz="18" w:space="0"/>
          <w:right w:val="nil"/>
          <w:insideH w:val="nil"/>
          <w:insideV w:val="nil"/>
        </w:tcBorders>
        <w:shd w:val="clear" w:color="00000A" w:fill="F2F2F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00000A" w:fill="F2F2F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A" w:fill="FFFFFF"/>
      </w:tcPr>
    </w:tblStylePr>
    <w:tblStylePr w:type="band1Horz">
      <w:tblPr/>
      <w:tcPr>
        <w:shd w:val="clear" w:color="00000A" w:fill="FFFFFF"/>
      </w:tcPr>
    </w:tblStylePr>
    <w:tblStylePr w:type="neCell">
      <w:tblPr/>
      <w:tcPr>
        <w:tcBorders>
          <w:top w:val="single" w:color="000000" w:sz="18" w:space="0"/>
          <w:left w:val="nil"/>
          <w:bottom w:val="single" w:color="000000" w:sz="18" w:space="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color="000000" w:sz="18" w:space="0"/>
          <w:left w:val="nil"/>
          <w:bottom w:val="single" w:color="000000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000000" w:sz="18" w:space="0"/>
        <w:bottom w:val="single" w:color="000000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000000" w:sz="18" w:space="0"/>
          <w:left w:val="nil"/>
          <w:bottom w:val="single" w:color="000000" w:sz="18" w:space="0"/>
          <w:right w:val="nil"/>
          <w:insideH w:val="nil"/>
          <w:insideV w:val="nil"/>
        </w:tcBorders>
        <w:shd w:val="clear" w:color="00000A" w:fill="F2F2F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000000" w:sz="6" w:space="0"/>
          <w:left w:val="nil"/>
          <w:bottom w:val="single" w:color="000000" w:sz="18" w:space="0"/>
          <w:right w:val="nil"/>
          <w:insideH w:val="nil"/>
          <w:insideV w:val="nil"/>
        </w:tcBorders>
        <w:shd w:val="clear" w:color="00000A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color="000000" w:sz="18" w:space="0"/>
          <w:right w:val="nil"/>
          <w:insideH w:val="nil"/>
          <w:insideV w:val="nil"/>
        </w:tcBorders>
        <w:shd w:val="clear" w:color="00000A" w:fill="F2F2F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00000A" w:fill="F2F2F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A" w:fill="FFFFFF"/>
      </w:tcPr>
    </w:tblStylePr>
    <w:tblStylePr w:type="band1Horz">
      <w:tblPr/>
      <w:tcPr>
        <w:shd w:val="clear" w:color="00000A" w:fill="FFFFFF"/>
      </w:tcPr>
    </w:tblStylePr>
    <w:tblStylePr w:type="neCell">
      <w:tblPr/>
      <w:tcPr>
        <w:tcBorders>
          <w:top w:val="single" w:color="000000" w:sz="18" w:space="0"/>
          <w:left w:val="nil"/>
          <w:bottom w:val="single" w:color="000000" w:sz="18" w:space="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color="000000" w:sz="18" w:space="0"/>
          <w:left w:val="nil"/>
          <w:bottom w:val="single" w:color="000000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000000" w:sz="18" w:space="0"/>
        <w:bottom w:val="single" w:color="000000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000000" w:sz="18" w:space="0"/>
          <w:left w:val="nil"/>
          <w:bottom w:val="single" w:color="000000" w:sz="18" w:space="0"/>
          <w:right w:val="nil"/>
          <w:insideH w:val="nil"/>
          <w:insideV w:val="nil"/>
        </w:tcBorders>
        <w:shd w:val="clear" w:color="00000A" w:fill="F2F2F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000000" w:sz="6" w:space="0"/>
          <w:left w:val="nil"/>
          <w:bottom w:val="single" w:color="000000" w:sz="18" w:space="0"/>
          <w:right w:val="nil"/>
          <w:insideH w:val="nil"/>
          <w:insideV w:val="nil"/>
        </w:tcBorders>
        <w:shd w:val="clear" w:color="00000A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color="000000" w:sz="18" w:space="0"/>
          <w:right w:val="nil"/>
          <w:insideH w:val="nil"/>
          <w:insideV w:val="nil"/>
        </w:tcBorders>
        <w:shd w:val="clear" w:color="00000A" w:fill="F2F2F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00000A" w:fill="F2F2F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A" w:fill="FFFFFF"/>
      </w:tcPr>
    </w:tblStylePr>
    <w:tblStylePr w:type="band1Horz">
      <w:tblPr/>
      <w:tcPr>
        <w:shd w:val="clear" w:color="00000A" w:fill="FFFFFF"/>
      </w:tcPr>
    </w:tblStylePr>
    <w:tblStylePr w:type="neCell">
      <w:tblPr/>
      <w:tcPr>
        <w:tcBorders>
          <w:top w:val="single" w:color="000000" w:sz="18" w:space="0"/>
          <w:left w:val="nil"/>
          <w:bottom w:val="single" w:color="000000" w:sz="18" w:space="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color="000000" w:sz="18" w:space="0"/>
          <w:left w:val="nil"/>
          <w:bottom w:val="single" w:color="000000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sz="8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band1Vert">
      <w:tblPr/>
      <w:tcPr>
        <w:shd w:val="clear" w:color="00000A" w:fill="FFFFFF"/>
      </w:tcPr>
    </w:tblStylePr>
    <w:tblStylePr w:type="band1Horz">
      <w:tblPr/>
      <w:tcPr>
        <w:shd w:val="clear" w:color="00000A" w:fill="FFFFF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sz="8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band1Vert">
      <w:tblPr/>
      <w:tcPr>
        <w:shd w:val="clear" w:color="00000A" w:fill="FFFFFF"/>
      </w:tcPr>
    </w:tblStylePr>
    <w:tblStylePr w:type="band1Horz">
      <w:tblPr/>
      <w:tcPr>
        <w:shd w:val="clear" w:color="00000A" w:fill="FFFFF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sz="8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band1Vert">
      <w:tblPr/>
      <w:tcPr>
        <w:shd w:val="clear" w:color="00000A" w:fill="FFFFFF"/>
      </w:tcPr>
    </w:tblStylePr>
    <w:tblStylePr w:type="band1Horz">
      <w:tblPr/>
      <w:tcPr>
        <w:shd w:val="clear" w:color="00000A" w:fill="FFFFF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sz="8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band1Vert">
      <w:tblPr/>
      <w:tcPr>
        <w:shd w:val="clear" w:color="00000A" w:fill="FFFFFF"/>
      </w:tcPr>
    </w:tblStylePr>
    <w:tblStylePr w:type="band1Horz">
      <w:tblPr/>
      <w:tcPr>
        <w:shd w:val="clear" w:color="00000A" w:fill="FFFFF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sz="8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band1Vert">
      <w:tblPr/>
      <w:tcPr>
        <w:shd w:val="clear" w:color="00000A" w:fill="FFFFFF"/>
      </w:tcPr>
    </w:tblStylePr>
    <w:tblStylePr w:type="band1Horz">
      <w:tblPr/>
      <w:tcPr>
        <w:shd w:val="clear" w:color="00000A" w:fill="FFFFF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sz="8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band1Vert">
      <w:tblPr/>
      <w:tcPr>
        <w:shd w:val="clear" w:color="00000A" w:fill="FFFFFF"/>
      </w:tcPr>
    </w:tblStylePr>
    <w:tblStylePr w:type="band1Horz">
      <w:tblPr/>
      <w:tcPr>
        <w:shd w:val="clear" w:color="00000A" w:fill="FFFFF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sz="8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band1Vert">
      <w:tblPr/>
      <w:tcPr>
        <w:shd w:val="clear" w:color="00000A" w:fill="FFFFFF"/>
      </w:tcPr>
    </w:tblStylePr>
    <w:tblStylePr w:type="band1Horz">
      <w:tblPr/>
      <w:tcPr>
        <w:shd w:val="clear" w:color="00000A" w:fill="FFFFF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00000A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00000A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00000A" w:fill="FFFFFF"/>
      </w:tcPr>
    </w:tblStylePr>
    <w:tblStylePr w:type="lastCol"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00000A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A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00000A" w:fill="FFFFFF"/>
      </w:tcPr>
    </w:tblStylePr>
    <w:tblStylePr w:type="nwCell">
      <w:tblPr/>
      <w:tcPr>
        <w:shd w:val="clear" w:color="00000A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00000A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00000A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00000A" w:fill="FFFFFF"/>
      </w:tcPr>
    </w:tblStylePr>
    <w:tblStylePr w:type="lastCol"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00000A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A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00000A" w:fill="FFFFFF"/>
      </w:tcPr>
    </w:tblStylePr>
    <w:tblStylePr w:type="nwCell">
      <w:tblPr/>
      <w:tcPr>
        <w:shd w:val="clear" w:color="00000A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00000A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00000A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00000A" w:fill="FFFFFF"/>
      </w:tcPr>
    </w:tblStylePr>
    <w:tblStylePr w:type="lastCol"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00000A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A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00000A" w:fill="FFFFFF"/>
      </w:tcPr>
    </w:tblStylePr>
    <w:tblStylePr w:type="nwCell">
      <w:tblPr/>
      <w:tcPr>
        <w:shd w:val="clear" w:color="00000A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00000A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00000A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00000A" w:fill="FFFFFF"/>
      </w:tcPr>
    </w:tblStylePr>
    <w:tblStylePr w:type="lastCol"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00000A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A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00000A" w:fill="FFFFFF"/>
      </w:tcPr>
    </w:tblStylePr>
    <w:tblStylePr w:type="nwCell">
      <w:tblPr/>
      <w:tcPr>
        <w:shd w:val="clear" w:color="00000A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00000A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00000A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00000A" w:fill="FFFFFF"/>
      </w:tcPr>
    </w:tblStylePr>
    <w:tblStylePr w:type="lastCol"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00000A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A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00000A" w:fill="FFFFFF"/>
      </w:tcPr>
    </w:tblStylePr>
    <w:tblStylePr w:type="nwCell">
      <w:tblPr/>
      <w:tcPr>
        <w:shd w:val="clear" w:color="00000A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00000A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00000A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00000A" w:fill="FFFFFF"/>
      </w:tcPr>
    </w:tblStylePr>
    <w:tblStylePr w:type="lastCol"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00000A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A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00000A" w:fill="FFFFFF"/>
      </w:tcPr>
    </w:tblStylePr>
    <w:tblStylePr w:type="nwCell">
      <w:tblPr/>
      <w:tcPr>
        <w:shd w:val="clear" w:color="00000A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00000A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00000A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00000A" w:fill="FFFFFF"/>
      </w:tcPr>
    </w:tblStylePr>
    <w:tblStylePr w:type="lastCol"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00000A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A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00000A" w:fill="FFFFFF"/>
      </w:tcPr>
    </w:tblStylePr>
    <w:tblStylePr w:type="nwCell">
      <w:tblPr/>
      <w:tcPr>
        <w:shd w:val="clear" w:color="00000A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A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00000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A" w:fill="F2F2F2"/>
      </w:tcPr>
    </w:tblStylePr>
    <w:tblStylePr w:type="band1Horz">
      <w:tblPr/>
      <w:tcPr>
        <w:shd w:val="clear" w:color="00000A" w:fill="F2F2F2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A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00000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A" w:fill="FFFFFF"/>
      </w:tcPr>
    </w:tblStylePr>
    <w:tblStylePr w:type="band1Horz">
      <w:tblPr/>
      <w:tcPr>
        <w:shd w:val="clear" w:color="00000A" w:fill="FFFFF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A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00000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A" w:fill="FFFFFF"/>
      </w:tcPr>
    </w:tblStylePr>
    <w:tblStylePr w:type="band1Horz">
      <w:tblPr/>
      <w:tcPr>
        <w:shd w:val="clear" w:color="00000A" w:fill="FFFFF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A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00000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A" w:fill="FFFFFF"/>
      </w:tcPr>
    </w:tblStylePr>
    <w:tblStylePr w:type="band1Horz">
      <w:tblPr/>
      <w:tcPr>
        <w:shd w:val="clear" w:color="00000A" w:fill="FFFFF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A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00000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A" w:fill="FFFFFF"/>
      </w:tcPr>
    </w:tblStylePr>
    <w:tblStylePr w:type="band1Horz">
      <w:tblPr/>
      <w:tcPr>
        <w:shd w:val="clear" w:color="00000A" w:fill="FFFFF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A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00000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A" w:fill="FFFFFF"/>
      </w:tcPr>
    </w:tblStylePr>
    <w:tblStylePr w:type="band1Horz">
      <w:tblPr/>
      <w:tcPr>
        <w:shd w:val="clear" w:color="00000A" w:fill="FFFFF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A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00000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A" w:fill="FFFFFF"/>
      </w:tcPr>
    </w:tblStylePr>
    <w:tblStylePr w:type="band1Horz">
      <w:tblPr/>
      <w:tcPr>
        <w:shd w:val="clear" w:color="00000A" w:fill="FFFFF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A" w:fill="FFFFFF"/>
    </w:tcPr>
    <w:tblStylePr w:type="firstRow">
      <w:rPr>
        <w:b/>
        <w:bCs/>
        <w:color w:val="000000"/>
      </w:rPr>
      <w:tblPr/>
      <w:tcPr>
        <w:shd w:val="clear" w:color="00000A" w:fill="FFFFFF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00000A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A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A" w:fill="FFFFFF"/>
      </w:tcPr>
    </w:tblStylePr>
    <w:tblStylePr w:type="band1Vert">
      <w:tblPr/>
      <w:tcPr>
        <w:shd w:val="clear" w:color="00000A" w:fill="F2F2F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00000A" w:fill="F2F2F2"/>
      </w:tcPr>
    </w:tblStylePr>
    <w:tblStylePr w:type="nwCell">
      <w:tblPr/>
      <w:tcPr>
        <w:shd w:val="clear" w:color="00000A" w:fill="FFFFFF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A" w:fill="FFFFFF"/>
    </w:tcPr>
    <w:tblStylePr w:type="firstRow">
      <w:rPr>
        <w:b/>
        <w:bCs/>
        <w:color w:val="000000"/>
      </w:rPr>
      <w:tblPr/>
      <w:tcPr>
        <w:shd w:val="clear" w:color="00000A" w:fill="FFFFFF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00000A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A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A" w:fill="FFFFFF"/>
      </w:tcPr>
    </w:tblStylePr>
    <w:tblStylePr w:type="band1Vert">
      <w:tblPr/>
      <w:tcPr>
        <w:shd w:val="clear" w:color="00000A" w:fill="FFFFF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00000A" w:fill="FFFFFF"/>
      </w:tcPr>
    </w:tblStylePr>
    <w:tblStylePr w:type="nwCell">
      <w:tblPr/>
      <w:tcPr>
        <w:shd w:val="clear" w:color="00000A" w:fill="FFFFFF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A" w:fill="FFFFFF"/>
    </w:tcPr>
    <w:tblStylePr w:type="firstRow">
      <w:rPr>
        <w:b/>
        <w:bCs/>
        <w:color w:val="000000"/>
      </w:rPr>
      <w:tblPr/>
      <w:tcPr>
        <w:shd w:val="clear" w:color="00000A" w:fill="FFFFFF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00000A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A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A" w:fill="FFFFFF"/>
      </w:tcPr>
    </w:tblStylePr>
    <w:tblStylePr w:type="band1Vert">
      <w:tblPr/>
      <w:tcPr>
        <w:shd w:val="clear" w:color="00000A" w:fill="FFFFF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00000A" w:fill="FFFFFF"/>
      </w:tcPr>
    </w:tblStylePr>
    <w:tblStylePr w:type="nwCell">
      <w:tblPr/>
      <w:tcPr>
        <w:shd w:val="clear" w:color="00000A" w:fill="FFFFFF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A" w:fill="FFFFFF"/>
    </w:tcPr>
    <w:tblStylePr w:type="firstRow">
      <w:rPr>
        <w:b/>
        <w:bCs/>
        <w:color w:val="000000"/>
      </w:rPr>
      <w:tblPr/>
      <w:tcPr>
        <w:shd w:val="clear" w:color="00000A" w:fill="FFFFFF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00000A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A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A" w:fill="FFFFFF"/>
      </w:tcPr>
    </w:tblStylePr>
    <w:tblStylePr w:type="band1Vert">
      <w:tblPr/>
      <w:tcPr>
        <w:shd w:val="clear" w:color="00000A" w:fill="FFFFF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00000A" w:fill="FFFFFF"/>
      </w:tcPr>
    </w:tblStylePr>
    <w:tblStylePr w:type="nwCell">
      <w:tblPr/>
      <w:tcPr>
        <w:shd w:val="clear" w:color="00000A" w:fill="FFFFFF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A" w:fill="FFFFFF"/>
    </w:tcPr>
    <w:tblStylePr w:type="firstRow">
      <w:rPr>
        <w:b/>
        <w:bCs/>
        <w:color w:val="000000"/>
      </w:rPr>
      <w:tblPr/>
      <w:tcPr>
        <w:shd w:val="clear" w:color="00000A" w:fill="FFFFFF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00000A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A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A" w:fill="FFFFFF"/>
      </w:tcPr>
    </w:tblStylePr>
    <w:tblStylePr w:type="band1Vert">
      <w:tblPr/>
      <w:tcPr>
        <w:shd w:val="clear" w:color="00000A" w:fill="FFFFF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00000A" w:fill="FFFFFF"/>
      </w:tcPr>
    </w:tblStylePr>
    <w:tblStylePr w:type="nwCell">
      <w:tblPr/>
      <w:tcPr>
        <w:shd w:val="clear" w:color="00000A" w:fill="FFFFFF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A" w:fill="FFFFFF"/>
    </w:tcPr>
    <w:tblStylePr w:type="firstRow">
      <w:rPr>
        <w:b/>
        <w:bCs/>
        <w:color w:val="000000"/>
      </w:rPr>
      <w:tblPr/>
      <w:tcPr>
        <w:shd w:val="clear" w:color="00000A" w:fill="FFFFFF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00000A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A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A" w:fill="FFFFFF"/>
      </w:tcPr>
    </w:tblStylePr>
    <w:tblStylePr w:type="band1Vert">
      <w:tblPr/>
      <w:tcPr>
        <w:shd w:val="clear" w:color="00000A" w:fill="FFFFF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00000A" w:fill="FFFFFF"/>
      </w:tcPr>
    </w:tblStylePr>
    <w:tblStylePr w:type="nwCell">
      <w:tblPr/>
      <w:tcPr>
        <w:shd w:val="clear" w:color="00000A" w:fill="FFFFFF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A" w:fill="FFFFFF"/>
    </w:tcPr>
    <w:tblStylePr w:type="firstRow">
      <w:rPr>
        <w:b/>
        <w:bCs/>
        <w:color w:val="000000"/>
      </w:rPr>
      <w:tblPr/>
      <w:tcPr>
        <w:shd w:val="clear" w:color="00000A" w:fill="FFFFFF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00000A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A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A" w:fill="FFFFFF"/>
      </w:tcPr>
    </w:tblStylePr>
    <w:tblStylePr w:type="band1Vert">
      <w:tblPr/>
      <w:tcPr>
        <w:shd w:val="clear" w:color="00000A" w:fill="FFFFF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00000A" w:fill="FFFFFF"/>
      </w:tcPr>
    </w:tblStylePr>
    <w:tblStylePr w:type="nwCell">
      <w:tblPr/>
      <w:tcPr>
        <w:shd w:val="clear" w:color="00000A" w:fill="FFFFFF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6" w:space="0"/>
        <w:insideV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A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color="000000" w:sz="8" w:space="0"/>
          <w:left w:val="single" w:color="000000" w:sz="8" w:space="0"/>
          <w:bottom w:val="single" w:color="000000" w:sz="24" w:space="0"/>
          <w:right w:val="single" w:color="000000" w:sz="8" w:space="0"/>
          <w:insideH w:val="nil"/>
          <w:insideV w:val="single" w:sz="8" w:space="0"/>
        </w:tcBorders>
        <w:shd w:val="clear" w:color="00000A" w:fill="FFFFFF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color="000000" w:sz="24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  <w:shd w:val="clear" w:color="00000A" w:fill="FFFFFF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color="000000" w:sz="8" w:space="0"/>
          <w:right w:val="single" w:color="000000" w:sz="24" w:space="0"/>
          <w:insideH w:val="nil"/>
          <w:insideV w:val="nil"/>
        </w:tcBorders>
        <w:shd w:val="clear" w:color="00000A" w:fill="FFFFFF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00000A" w:fill="FFFFFF"/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  <w:shd w:val="clear" w:color="00000A" w:fill="F2F2F2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sz="8" w:space="0"/>
          <w:insideV w:val="single" w:sz="8" w:space="0"/>
        </w:tcBorders>
        <w:shd w:val="clear" w:color="00000A" w:fill="F2F2F2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6" w:space="0"/>
        <w:insideV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A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color="000000" w:sz="8" w:space="0"/>
          <w:left w:val="single" w:color="000000" w:sz="8" w:space="0"/>
          <w:bottom w:val="single" w:color="000000" w:sz="24" w:space="0"/>
          <w:right w:val="single" w:color="000000" w:sz="8" w:space="0"/>
          <w:insideH w:val="nil"/>
          <w:insideV w:val="single" w:sz="8" w:space="0"/>
        </w:tcBorders>
        <w:shd w:val="clear" w:color="00000A" w:fill="F2F2F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color="000000" w:sz="24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  <w:shd w:val="clear" w:color="00000A" w:fill="F2F2F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color="000000" w:sz="8" w:space="0"/>
          <w:right w:val="single" w:color="000000" w:sz="24" w:space="0"/>
          <w:insideH w:val="nil"/>
          <w:insideV w:val="nil"/>
        </w:tcBorders>
        <w:shd w:val="clear" w:color="00000A" w:fill="F2F2F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00000A" w:fill="F2F2F2"/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  <w:shd w:val="clear" w:color="00000A" w:fill="FFFFFF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sz="8" w:space="0"/>
          <w:insideV w:val="single" w:sz="8" w:space="0"/>
        </w:tcBorders>
        <w:shd w:val="clear" w:color="00000A" w:fill="FFFFF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6" w:space="0"/>
        <w:insideV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A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color="000000" w:sz="8" w:space="0"/>
          <w:left w:val="single" w:color="000000" w:sz="8" w:space="0"/>
          <w:bottom w:val="single" w:color="000000" w:sz="24" w:space="0"/>
          <w:right w:val="single" w:color="000000" w:sz="8" w:space="0"/>
          <w:insideH w:val="nil"/>
          <w:insideV w:val="single" w:sz="8" w:space="0"/>
        </w:tcBorders>
        <w:shd w:val="clear" w:color="00000A" w:fill="F2F2F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color="000000" w:sz="24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  <w:shd w:val="clear" w:color="00000A" w:fill="F2F2F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color="000000" w:sz="8" w:space="0"/>
          <w:right w:val="single" w:color="000000" w:sz="24" w:space="0"/>
          <w:insideH w:val="nil"/>
          <w:insideV w:val="nil"/>
        </w:tcBorders>
        <w:shd w:val="clear" w:color="00000A" w:fill="F2F2F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00000A" w:fill="F2F2F2"/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  <w:shd w:val="clear" w:color="00000A" w:fill="FFFFFF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sz="8" w:space="0"/>
          <w:insideV w:val="single" w:sz="8" w:space="0"/>
        </w:tcBorders>
        <w:shd w:val="clear" w:color="00000A" w:fill="FFFFF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6" w:space="0"/>
        <w:insideV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A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color="000000" w:sz="8" w:space="0"/>
          <w:left w:val="single" w:color="000000" w:sz="8" w:space="0"/>
          <w:bottom w:val="single" w:color="000000" w:sz="24" w:space="0"/>
          <w:right w:val="single" w:color="000000" w:sz="8" w:space="0"/>
          <w:insideH w:val="nil"/>
          <w:insideV w:val="single" w:sz="8" w:space="0"/>
        </w:tcBorders>
        <w:shd w:val="clear" w:color="00000A" w:fill="F2F2F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color="000000" w:sz="24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  <w:shd w:val="clear" w:color="00000A" w:fill="F2F2F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color="000000" w:sz="8" w:space="0"/>
          <w:right w:val="single" w:color="000000" w:sz="24" w:space="0"/>
          <w:insideH w:val="nil"/>
          <w:insideV w:val="nil"/>
        </w:tcBorders>
        <w:shd w:val="clear" w:color="00000A" w:fill="F2F2F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00000A" w:fill="F2F2F2"/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  <w:shd w:val="clear" w:color="00000A" w:fill="FFFFFF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sz="8" w:space="0"/>
          <w:insideV w:val="single" w:sz="8" w:space="0"/>
        </w:tcBorders>
        <w:shd w:val="clear" w:color="00000A" w:fill="FFFFF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6" w:space="0"/>
        <w:insideV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A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color="000000" w:sz="8" w:space="0"/>
          <w:left w:val="single" w:color="000000" w:sz="8" w:space="0"/>
          <w:bottom w:val="single" w:color="000000" w:sz="24" w:space="0"/>
          <w:right w:val="single" w:color="000000" w:sz="8" w:space="0"/>
          <w:insideH w:val="nil"/>
          <w:insideV w:val="single" w:sz="8" w:space="0"/>
        </w:tcBorders>
        <w:shd w:val="clear" w:color="00000A" w:fill="F2F2F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color="000000" w:sz="24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  <w:shd w:val="clear" w:color="00000A" w:fill="F2F2F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color="000000" w:sz="8" w:space="0"/>
          <w:right w:val="single" w:color="000000" w:sz="24" w:space="0"/>
          <w:insideH w:val="nil"/>
          <w:insideV w:val="nil"/>
        </w:tcBorders>
        <w:shd w:val="clear" w:color="00000A" w:fill="F2F2F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00000A" w:fill="F2F2F2"/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  <w:shd w:val="clear" w:color="00000A" w:fill="FFFFFF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sz="8" w:space="0"/>
          <w:insideV w:val="single" w:sz="8" w:space="0"/>
        </w:tcBorders>
        <w:shd w:val="clear" w:color="00000A" w:fill="FFFFF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6" w:space="0"/>
        <w:insideV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A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color="000000" w:sz="8" w:space="0"/>
          <w:left w:val="single" w:color="000000" w:sz="8" w:space="0"/>
          <w:bottom w:val="single" w:color="000000" w:sz="24" w:space="0"/>
          <w:right w:val="single" w:color="000000" w:sz="8" w:space="0"/>
          <w:insideH w:val="nil"/>
          <w:insideV w:val="single" w:sz="8" w:space="0"/>
        </w:tcBorders>
        <w:shd w:val="clear" w:color="00000A" w:fill="F2F2F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color="000000" w:sz="24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  <w:shd w:val="clear" w:color="00000A" w:fill="F2F2F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color="000000" w:sz="8" w:space="0"/>
          <w:right w:val="single" w:color="000000" w:sz="24" w:space="0"/>
          <w:insideH w:val="nil"/>
          <w:insideV w:val="nil"/>
        </w:tcBorders>
        <w:shd w:val="clear" w:color="00000A" w:fill="F2F2F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00000A" w:fill="F2F2F2"/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  <w:shd w:val="clear" w:color="00000A" w:fill="FFFFFF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sz="8" w:space="0"/>
          <w:insideV w:val="single" w:sz="8" w:space="0"/>
        </w:tcBorders>
        <w:shd w:val="clear" w:color="00000A" w:fill="FFFFF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6" w:space="0"/>
        <w:insideV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A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color="000000" w:sz="8" w:space="0"/>
          <w:left w:val="single" w:color="000000" w:sz="8" w:space="0"/>
          <w:bottom w:val="single" w:color="000000" w:sz="24" w:space="0"/>
          <w:right w:val="single" w:color="000000" w:sz="8" w:space="0"/>
          <w:insideH w:val="nil"/>
          <w:insideV w:val="single" w:sz="8" w:space="0"/>
        </w:tcBorders>
        <w:shd w:val="clear" w:color="00000A" w:fill="F2F2F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color="000000" w:sz="24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  <w:shd w:val="clear" w:color="00000A" w:fill="F2F2F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color="000000" w:sz="8" w:space="0"/>
          <w:right w:val="single" w:color="000000" w:sz="24" w:space="0"/>
          <w:insideH w:val="nil"/>
          <w:insideV w:val="nil"/>
        </w:tcBorders>
        <w:shd w:val="clear" w:color="00000A" w:fill="F2F2F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00000A" w:fill="F2F2F2"/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  <w:shd w:val="clear" w:color="00000A" w:fill="FFFFFF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sz="8" w:space="0"/>
          <w:insideV w:val="single" w:sz="8" w:space="0"/>
        </w:tcBorders>
        <w:shd w:val="clear" w:color="00000A" w:fill="FFFFF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00000A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18" w:space="0"/>
          <w:right w:val="nil"/>
          <w:insideH w:val="nil"/>
          <w:insideV w:val="nil"/>
        </w:tcBorders>
        <w:shd w:val="clear" w:color="00000A" w:fill="FFFFFF"/>
      </w:tcPr>
    </w:tblStylePr>
    <w:tblStylePr w:type="lastRow">
      <w:tblPr/>
      <w:tcPr>
        <w:tcBorders>
          <w:top w:val="single" w:color="000000" w:sz="18" w:space="0"/>
          <w:left w:val="nil"/>
          <w:bottom w:val="nil"/>
          <w:right w:val="nil"/>
          <w:insideH w:val="nil"/>
          <w:insideV w:val="nil"/>
        </w:tcBorders>
        <w:shd w:val="clear" w:color="00000A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8" w:space="0"/>
          <w:insideH w:val="nil"/>
          <w:insideV w:val="nil"/>
        </w:tcBorders>
        <w:shd w:val="clear" w:color="00000A" w:fill="FFFFFF"/>
      </w:tcPr>
    </w:tblStylePr>
    <w:tblStylePr w:type="lastCol">
      <w:tblPr/>
      <w:tcPr>
        <w:tcBorders>
          <w:top w:val="nil"/>
          <w:left w:val="single" w:color="000000" w:sz="18" w:space="0"/>
          <w:bottom w:val="nil"/>
          <w:right w:val="nil"/>
          <w:insideH w:val="nil"/>
          <w:insideV w:val="nil"/>
        </w:tcBorders>
        <w:shd w:val="clear" w:color="00000A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A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A" w:fill="FFFFF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00000A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18" w:space="0"/>
          <w:right w:val="nil"/>
          <w:insideH w:val="nil"/>
          <w:insideV w:val="nil"/>
        </w:tcBorders>
        <w:shd w:val="clear" w:color="00000A" w:fill="FFFFFF"/>
      </w:tcPr>
    </w:tblStylePr>
    <w:tblStylePr w:type="lastRow">
      <w:tblPr/>
      <w:tcPr>
        <w:tcBorders>
          <w:top w:val="single" w:color="000000" w:sz="18" w:space="0"/>
          <w:left w:val="nil"/>
          <w:bottom w:val="nil"/>
          <w:right w:val="nil"/>
          <w:insideH w:val="nil"/>
          <w:insideV w:val="nil"/>
        </w:tcBorders>
        <w:shd w:val="clear" w:color="00000A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8" w:space="0"/>
          <w:insideH w:val="nil"/>
          <w:insideV w:val="nil"/>
        </w:tcBorders>
        <w:shd w:val="clear" w:color="00000A" w:fill="F2F2F2"/>
      </w:tcPr>
    </w:tblStylePr>
    <w:tblStylePr w:type="lastCol">
      <w:tblPr/>
      <w:tcPr>
        <w:tcBorders>
          <w:top w:val="nil"/>
          <w:left w:val="single" w:color="000000" w:sz="18" w:space="0"/>
          <w:bottom w:val="nil"/>
          <w:right w:val="nil"/>
          <w:insideH w:val="nil"/>
          <w:insideV w:val="nil"/>
        </w:tcBorders>
        <w:shd w:val="clear" w:color="00000A" w:fill="F2F2F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A" w:fill="F2F2F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A" w:fill="F2F2F2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00000A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18" w:space="0"/>
          <w:right w:val="nil"/>
          <w:insideH w:val="nil"/>
          <w:insideV w:val="nil"/>
        </w:tcBorders>
        <w:shd w:val="clear" w:color="00000A" w:fill="FFFFFF"/>
      </w:tcPr>
    </w:tblStylePr>
    <w:tblStylePr w:type="lastRow">
      <w:tblPr/>
      <w:tcPr>
        <w:tcBorders>
          <w:top w:val="single" w:color="000000" w:sz="18" w:space="0"/>
          <w:left w:val="nil"/>
          <w:bottom w:val="nil"/>
          <w:right w:val="nil"/>
          <w:insideH w:val="nil"/>
          <w:insideV w:val="nil"/>
        </w:tcBorders>
        <w:shd w:val="clear" w:color="00000A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8" w:space="0"/>
          <w:insideH w:val="nil"/>
          <w:insideV w:val="nil"/>
        </w:tcBorders>
        <w:shd w:val="clear" w:color="00000A" w:fill="FFFFFF"/>
      </w:tcPr>
    </w:tblStylePr>
    <w:tblStylePr w:type="lastCol">
      <w:tblPr/>
      <w:tcPr>
        <w:tcBorders>
          <w:top w:val="nil"/>
          <w:left w:val="single" w:color="000000" w:sz="18" w:space="0"/>
          <w:bottom w:val="nil"/>
          <w:right w:val="nil"/>
          <w:insideH w:val="nil"/>
          <w:insideV w:val="nil"/>
        </w:tcBorders>
        <w:shd w:val="clear" w:color="00000A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A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A" w:fill="FFFFF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00000A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18" w:space="0"/>
          <w:right w:val="nil"/>
          <w:insideH w:val="nil"/>
          <w:insideV w:val="nil"/>
        </w:tcBorders>
        <w:shd w:val="clear" w:color="00000A" w:fill="FFFFFF"/>
      </w:tcPr>
    </w:tblStylePr>
    <w:tblStylePr w:type="lastRow">
      <w:tblPr/>
      <w:tcPr>
        <w:tcBorders>
          <w:top w:val="single" w:color="000000" w:sz="18" w:space="0"/>
          <w:left w:val="nil"/>
          <w:bottom w:val="nil"/>
          <w:right w:val="nil"/>
          <w:insideH w:val="nil"/>
          <w:insideV w:val="nil"/>
        </w:tcBorders>
        <w:shd w:val="clear" w:color="00000A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8" w:space="0"/>
          <w:insideH w:val="nil"/>
          <w:insideV w:val="nil"/>
        </w:tcBorders>
        <w:shd w:val="clear" w:color="00000A" w:fill="F2F2F2"/>
      </w:tcPr>
    </w:tblStylePr>
    <w:tblStylePr w:type="lastCol">
      <w:tblPr/>
      <w:tcPr>
        <w:tcBorders>
          <w:top w:val="nil"/>
          <w:left w:val="single" w:color="000000" w:sz="18" w:space="0"/>
          <w:bottom w:val="nil"/>
          <w:right w:val="nil"/>
          <w:insideH w:val="nil"/>
          <w:insideV w:val="nil"/>
        </w:tcBorders>
        <w:shd w:val="clear" w:color="00000A" w:fill="F2F2F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A" w:fill="F2F2F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A" w:fill="F2F2F2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00000A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18" w:space="0"/>
          <w:right w:val="nil"/>
          <w:insideH w:val="nil"/>
          <w:insideV w:val="nil"/>
        </w:tcBorders>
        <w:shd w:val="clear" w:color="00000A" w:fill="FFFFFF"/>
      </w:tcPr>
    </w:tblStylePr>
    <w:tblStylePr w:type="lastRow">
      <w:tblPr/>
      <w:tcPr>
        <w:tcBorders>
          <w:top w:val="single" w:color="000000" w:sz="18" w:space="0"/>
          <w:left w:val="nil"/>
          <w:bottom w:val="nil"/>
          <w:right w:val="nil"/>
          <w:insideH w:val="nil"/>
          <w:insideV w:val="nil"/>
        </w:tcBorders>
        <w:shd w:val="clear" w:color="00000A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8" w:space="0"/>
          <w:insideH w:val="nil"/>
          <w:insideV w:val="nil"/>
        </w:tcBorders>
        <w:shd w:val="clear" w:color="00000A" w:fill="F2F2F2"/>
      </w:tcPr>
    </w:tblStylePr>
    <w:tblStylePr w:type="lastCol">
      <w:tblPr/>
      <w:tcPr>
        <w:tcBorders>
          <w:top w:val="nil"/>
          <w:left w:val="single" w:color="000000" w:sz="18" w:space="0"/>
          <w:bottom w:val="nil"/>
          <w:right w:val="nil"/>
          <w:insideH w:val="nil"/>
          <w:insideV w:val="nil"/>
        </w:tcBorders>
        <w:shd w:val="clear" w:color="00000A" w:fill="F2F2F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A" w:fill="F2F2F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A" w:fill="F2F2F2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00000A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18" w:space="0"/>
          <w:right w:val="nil"/>
          <w:insideH w:val="nil"/>
          <w:insideV w:val="nil"/>
        </w:tcBorders>
        <w:shd w:val="clear" w:color="00000A" w:fill="FFFFFF"/>
      </w:tcPr>
    </w:tblStylePr>
    <w:tblStylePr w:type="lastRow">
      <w:tblPr/>
      <w:tcPr>
        <w:tcBorders>
          <w:top w:val="single" w:color="000000" w:sz="18" w:space="0"/>
          <w:left w:val="nil"/>
          <w:bottom w:val="nil"/>
          <w:right w:val="nil"/>
          <w:insideH w:val="nil"/>
          <w:insideV w:val="nil"/>
        </w:tcBorders>
        <w:shd w:val="clear" w:color="00000A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8" w:space="0"/>
          <w:insideH w:val="nil"/>
          <w:insideV w:val="nil"/>
        </w:tcBorders>
        <w:shd w:val="clear" w:color="00000A" w:fill="FFFFFF"/>
      </w:tcPr>
    </w:tblStylePr>
    <w:tblStylePr w:type="lastCol">
      <w:tblPr/>
      <w:tcPr>
        <w:tcBorders>
          <w:top w:val="nil"/>
          <w:left w:val="single" w:color="000000" w:sz="18" w:space="0"/>
          <w:bottom w:val="nil"/>
          <w:right w:val="nil"/>
          <w:insideH w:val="nil"/>
          <w:insideV w:val="nil"/>
        </w:tcBorders>
        <w:shd w:val="clear" w:color="00000A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A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A" w:fill="FFFFF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00000A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18" w:space="0"/>
          <w:right w:val="nil"/>
          <w:insideH w:val="nil"/>
          <w:insideV w:val="nil"/>
        </w:tcBorders>
        <w:shd w:val="clear" w:color="00000A" w:fill="FFFFFF"/>
      </w:tcPr>
    </w:tblStylePr>
    <w:tblStylePr w:type="lastRow">
      <w:tblPr/>
      <w:tcPr>
        <w:tcBorders>
          <w:top w:val="single" w:color="000000" w:sz="18" w:space="0"/>
          <w:left w:val="nil"/>
          <w:bottom w:val="nil"/>
          <w:right w:val="nil"/>
          <w:insideH w:val="nil"/>
          <w:insideV w:val="nil"/>
        </w:tcBorders>
        <w:shd w:val="clear" w:color="00000A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8" w:space="0"/>
          <w:insideH w:val="nil"/>
          <w:insideV w:val="nil"/>
        </w:tcBorders>
        <w:shd w:val="clear" w:color="00000A" w:fill="F2F2F2"/>
      </w:tcPr>
    </w:tblStylePr>
    <w:tblStylePr w:type="lastCol">
      <w:tblPr/>
      <w:tcPr>
        <w:tcBorders>
          <w:top w:val="nil"/>
          <w:left w:val="single" w:color="000000" w:sz="18" w:space="0"/>
          <w:bottom w:val="nil"/>
          <w:right w:val="nil"/>
          <w:insideH w:val="nil"/>
          <w:insideV w:val="nil"/>
        </w:tcBorders>
        <w:shd w:val="clear" w:color="00000A" w:fill="F2F2F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A" w:fill="F2F2F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A" w:fill="F2F2F2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/>
    </w:rPr>
    <w:tblPr>
      <w:tblBorders>
        <w:top w:val="single" w:color="000000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A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00000A" w:fill="FFFFFF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6" w:space="0"/>
        </w:tcBorders>
        <w:shd w:val="clear" w:color="00000A" w:fill="FFFFFF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00000A" w:fill="FFFFFF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A" w:fill="FFFFFF"/>
      </w:tcPr>
    </w:tblStylePr>
    <w:tblStylePr w:type="band1Vert">
      <w:tblPr/>
      <w:tcPr>
        <w:shd w:val="clear" w:color="00000A" w:fill="FFFFFF"/>
      </w:tcPr>
    </w:tblStylePr>
    <w:tblStylePr w:type="band1Horz">
      <w:tblPr/>
      <w:tcPr>
        <w:shd w:val="clear" w:color="00000A" w:fill="F2F2F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/>
    </w:rPr>
    <w:tblPr>
      <w:tblBorders>
        <w:top w:val="single" w:color="000000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A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00000A" w:fill="FFFFFF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6" w:space="0"/>
        </w:tcBorders>
        <w:shd w:val="clear" w:color="00000A" w:fill="FFFFFF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00000A" w:fill="FFFFFF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A" w:fill="FFFFFF"/>
      </w:tcPr>
    </w:tblStylePr>
    <w:tblStylePr w:type="band1Vert">
      <w:tblPr/>
      <w:tcPr>
        <w:shd w:val="clear" w:color="00000A" w:fill="FFFFFF"/>
      </w:tcPr>
    </w:tblStylePr>
    <w:tblStylePr w:type="band1Horz">
      <w:tblPr/>
      <w:tcPr>
        <w:shd w:val="clear" w:color="00000A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/>
    </w:rPr>
    <w:tblPr>
      <w:tblBorders>
        <w:top w:val="single" w:color="000000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A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00000A" w:fill="FFFFFF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6" w:space="0"/>
        </w:tcBorders>
        <w:shd w:val="clear" w:color="00000A" w:fill="FFFFFF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00000A" w:fill="FFFFFF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A" w:fill="FFFFFF"/>
      </w:tcPr>
    </w:tblStylePr>
    <w:tblStylePr w:type="band1Vert">
      <w:tblPr/>
      <w:tcPr>
        <w:shd w:val="clear" w:color="00000A" w:fill="FFFFFF"/>
      </w:tcPr>
    </w:tblStylePr>
    <w:tblStylePr w:type="band1Horz">
      <w:tblPr/>
      <w:tcPr>
        <w:shd w:val="clear" w:color="00000A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/>
    </w:rPr>
    <w:tblPr>
      <w:tblBorders>
        <w:top w:val="single" w:color="000000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A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00000A" w:fill="FFFFFF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6" w:space="0"/>
        </w:tcBorders>
        <w:shd w:val="clear" w:color="00000A" w:fill="FFFFFF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00000A" w:fill="FFFFFF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A" w:fill="FFFFFF"/>
      </w:tcPr>
    </w:tblStylePr>
    <w:tblStylePr w:type="band1Vert">
      <w:tblPr/>
      <w:tcPr>
        <w:shd w:val="clear" w:color="00000A" w:fill="FFFFFF"/>
      </w:tcPr>
    </w:tblStylePr>
    <w:tblStylePr w:type="band1Horz">
      <w:tblPr/>
      <w:tcPr>
        <w:shd w:val="clear" w:color="00000A" w:fill="FFFFF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/>
    </w:rPr>
    <w:tblPr>
      <w:tblBorders>
        <w:top w:val="single" w:color="000000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A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00000A" w:fill="FFFFFF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6" w:space="0"/>
        </w:tcBorders>
        <w:shd w:val="clear" w:color="00000A" w:fill="FFFFFF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00000A" w:fill="FFFFFF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A" w:fill="FFFFFF"/>
      </w:tcPr>
    </w:tblStylePr>
    <w:tblStylePr w:type="band1Vert">
      <w:tblPr/>
      <w:tcPr>
        <w:shd w:val="clear" w:color="00000A" w:fill="FFFFFF"/>
      </w:tcPr>
    </w:tblStylePr>
    <w:tblStylePr w:type="band1Horz">
      <w:tblPr/>
      <w:tcPr>
        <w:shd w:val="clear" w:color="00000A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/>
    </w:rPr>
    <w:tblPr>
      <w:tblBorders>
        <w:top w:val="single" w:color="000000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A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00000A" w:fill="FFFFFF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6" w:space="0"/>
        </w:tcBorders>
        <w:shd w:val="clear" w:color="00000A" w:fill="FFFFFF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00000A" w:fill="FFFFFF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A" w:fill="FFFFFF"/>
      </w:tcPr>
    </w:tblStylePr>
    <w:tblStylePr w:type="band1Vert">
      <w:tblPr/>
      <w:tcPr>
        <w:shd w:val="clear" w:color="00000A" w:fill="FFFFFF"/>
      </w:tcPr>
    </w:tblStylePr>
    <w:tblStylePr w:type="band1Horz">
      <w:tblPr/>
      <w:tcPr>
        <w:shd w:val="clear" w:color="00000A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/>
    </w:rPr>
    <w:tblPr>
      <w:tblBorders>
        <w:top w:val="single" w:color="000000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A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00000A" w:fill="FFFFFF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6" w:space="0"/>
        </w:tcBorders>
        <w:shd w:val="clear" w:color="00000A" w:fill="FFFFFF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00000A" w:fill="FFFFFF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A" w:fill="FFFFFF"/>
      </w:tcPr>
    </w:tblStylePr>
    <w:tblStylePr w:type="band1Vert">
      <w:tblPr/>
      <w:tcPr>
        <w:shd w:val="clear" w:color="00000A" w:fill="FFFFFF"/>
      </w:tcPr>
    </w:tblStylePr>
    <w:tblStylePr w:type="band1Horz">
      <w:tblPr/>
      <w:tcPr>
        <w:shd w:val="clear" w:color="00000A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00000A" w:fill="FFFFFF"/>
    </w:tcPr>
    <w:tblStylePr w:type="firstRow">
      <w:rPr>
        <w:b/>
        <w:bCs/>
        <w:color w:val="000000"/>
      </w:rPr>
      <w:tblPr/>
      <w:tcPr>
        <w:tcBorders>
          <w:bottom w:val="single" w:color="000000" w:sz="12" w:space="0"/>
        </w:tcBorders>
        <w:shd w:val="clear" w:color="00000A" w:fill="FFFFFF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</w:tcBorders>
        <w:shd w:val="clear" w:color="00000A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A" w:fill="FFFFFF"/>
      </w:tcPr>
    </w:tblStylePr>
    <w:tblStylePr w:type="band1Horz">
      <w:tblPr/>
      <w:tcPr>
        <w:shd w:val="clear" w:color="00000A" w:fill="FFFFFF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00000A" w:fill="FFFFFF"/>
    </w:tcPr>
    <w:tblStylePr w:type="firstRow">
      <w:rPr>
        <w:b/>
        <w:bCs/>
        <w:color w:val="000000"/>
      </w:rPr>
      <w:tblPr/>
      <w:tcPr>
        <w:tcBorders>
          <w:bottom w:val="single" w:color="000000" w:sz="12" w:space="0"/>
        </w:tcBorders>
        <w:shd w:val="clear" w:color="00000A" w:fill="FFFFFF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</w:tcBorders>
        <w:shd w:val="clear" w:color="00000A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A" w:fill="FFFFFF"/>
      </w:tcPr>
    </w:tblStylePr>
    <w:tblStylePr w:type="band1Horz">
      <w:tblPr/>
      <w:tcPr>
        <w:shd w:val="clear" w:color="00000A" w:fill="FFFFFF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00000A" w:fill="FFFFFF"/>
    </w:tcPr>
    <w:tblStylePr w:type="firstRow">
      <w:rPr>
        <w:b/>
        <w:bCs/>
        <w:color w:val="000000"/>
      </w:rPr>
      <w:tblPr/>
      <w:tcPr>
        <w:tcBorders>
          <w:bottom w:val="single" w:color="000000" w:sz="12" w:space="0"/>
        </w:tcBorders>
        <w:shd w:val="clear" w:color="00000A" w:fill="FFFFFF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</w:tcBorders>
        <w:shd w:val="clear" w:color="00000A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A" w:fill="FFFFFF"/>
      </w:tcPr>
    </w:tblStylePr>
    <w:tblStylePr w:type="band1Horz">
      <w:tblPr/>
      <w:tcPr>
        <w:shd w:val="clear" w:color="00000A" w:fill="FFFFFF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00000A" w:fill="FFFFFF"/>
    </w:tcPr>
    <w:tblStylePr w:type="firstRow">
      <w:rPr>
        <w:b/>
        <w:bCs/>
        <w:color w:val="000000"/>
      </w:rPr>
      <w:tblPr/>
      <w:tcPr>
        <w:tcBorders>
          <w:bottom w:val="single" w:color="000000" w:sz="12" w:space="0"/>
        </w:tcBorders>
        <w:shd w:val="clear" w:color="00000A" w:fill="FFFFFF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</w:tcBorders>
        <w:shd w:val="clear" w:color="00000A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A" w:fill="FFFFFF"/>
      </w:tcPr>
    </w:tblStylePr>
    <w:tblStylePr w:type="band1Horz">
      <w:tblPr/>
      <w:tcPr>
        <w:shd w:val="clear" w:color="00000A" w:fill="FFFFFF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00000A" w:fill="FFFFFF"/>
    </w:tcPr>
    <w:tblStylePr w:type="firstRow">
      <w:rPr>
        <w:b/>
        <w:bCs/>
        <w:color w:val="000000"/>
      </w:rPr>
      <w:tblPr/>
      <w:tcPr>
        <w:tcBorders>
          <w:bottom w:val="single" w:color="000000" w:sz="12" w:space="0"/>
        </w:tcBorders>
        <w:shd w:val="clear" w:color="00000A" w:fill="FFFFFF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</w:tcBorders>
        <w:shd w:val="clear" w:color="00000A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A" w:fill="FFFFFF"/>
      </w:tcPr>
    </w:tblStylePr>
    <w:tblStylePr w:type="band1Horz">
      <w:tblPr/>
      <w:tcPr>
        <w:shd w:val="clear" w:color="00000A" w:fill="FFFFFF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00000A" w:fill="FFFFFF"/>
    </w:tcPr>
    <w:tblStylePr w:type="firstRow">
      <w:rPr>
        <w:b/>
        <w:bCs/>
        <w:color w:val="000000"/>
      </w:rPr>
      <w:tblPr/>
      <w:tcPr>
        <w:tcBorders>
          <w:bottom w:val="single" w:color="000000" w:sz="12" w:space="0"/>
        </w:tcBorders>
        <w:shd w:val="clear" w:color="00000A" w:fill="FFFFFF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</w:tcBorders>
        <w:shd w:val="clear" w:color="00000A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A" w:fill="FFFFFF"/>
      </w:tcPr>
    </w:tblStylePr>
    <w:tblStylePr w:type="band1Horz">
      <w:tblPr/>
      <w:tcPr>
        <w:shd w:val="clear" w:color="00000A" w:fill="FFFFFF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00000A" w:fill="FFFFFF"/>
    </w:tcPr>
    <w:tblStylePr w:type="firstRow">
      <w:rPr>
        <w:b/>
        <w:bCs/>
        <w:color w:val="000000"/>
      </w:rPr>
      <w:tblPr/>
      <w:tcPr>
        <w:tcBorders>
          <w:bottom w:val="single" w:color="000000" w:sz="12" w:space="0"/>
        </w:tcBorders>
        <w:shd w:val="clear" w:color="00000A" w:fill="FFFFFF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</w:tcBorders>
        <w:shd w:val="clear" w:color="00000A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A" w:fill="FFFFFF"/>
      </w:tcPr>
    </w:tblStylePr>
    <w:tblStylePr w:type="band1Horz">
      <w:tblPr/>
      <w:tcPr>
        <w:shd w:val="clear" w:color="00000A" w:fill="FFFFFF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A" w:fill="FFFFFF"/>
    </w:tcPr>
    <w:tblStylePr w:type="firstRow">
      <w:rPr>
        <w:b/>
        <w:bCs/>
      </w:rPr>
      <w:tblPr/>
      <w:tcPr>
        <w:shd w:val="clear" w:color="00000A" w:fill="FFFFFF"/>
      </w:tcPr>
    </w:tblStylePr>
    <w:tblStylePr w:type="lastRow">
      <w:rPr>
        <w:b/>
        <w:bCs/>
        <w:color w:val="000000"/>
      </w:rPr>
      <w:tblPr/>
      <w:tcPr>
        <w:shd w:val="clear" w:color="00000A" w:fill="FFFFFF"/>
      </w:tcPr>
    </w:tblStylePr>
    <w:tblStylePr w:type="firstCol">
      <w:rPr>
        <w:color w:val="000000"/>
      </w:rPr>
      <w:tblPr/>
      <w:tcPr>
        <w:shd w:val="clear" w:color="00000A" w:fill="FFFFFF"/>
      </w:tcPr>
    </w:tblStylePr>
    <w:tblStylePr w:type="lastCol">
      <w:rPr>
        <w:color w:val="000000"/>
      </w:rPr>
      <w:tblPr/>
      <w:tcPr>
        <w:shd w:val="clear" w:color="00000A" w:fill="FFFFFF"/>
      </w:tcPr>
    </w:tblStylePr>
    <w:tblStylePr w:type="band1Vert">
      <w:tblPr/>
      <w:tcPr>
        <w:shd w:val="clear" w:color="00000A" w:fill="F2F2F2"/>
      </w:tcPr>
    </w:tblStylePr>
    <w:tblStylePr w:type="band1Horz">
      <w:tblPr/>
      <w:tcPr>
        <w:shd w:val="clear" w:color="00000A" w:fill="F2F2F2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A" w:fill="FFFFFF"/>
    </w:tcPr>
    <w:tblStylePr w:type="firstRow">
      <w:rPr>
        <w:b/>
        <w:bCs/>
      </w:rPr>
      <w:tblPr/>
      <w:tcPr>
        <w:shd w:val="clear" w:color="00000A" w:fill="FFFFFF"/>
      </w:tcPr>
    </w:tblStylePr>
    <w:tblStylePr w:type="lastRow">
      <w:rPr>
        <w:b/>
        <w:bCs/>
        <w:color w:val="000000"/>
      </w:rPr>
      <w:tblPr/>
      <w:tcPr>
        <w:shd w:val="clear" w:color="00000A" w:fill="FFFFFF"/>
      </w:tcPr>
    </w:tblStylePr>
    <w:tblStylePr w:type="firstCol">
      <w:rPr>
        <w:color w:val="000000"/>
      </w:rPr>
      <w:tblPr/>
      <w:tcPr>
        <w:shd w:val="clear" w:color="00000A" w:fill="F2F2F2"/>
      </w:tcPr>
    </w:tblStylePr>
    <w:tblStylePr w:type="lastCol">
      <w:rPr>
        <w:color w:val="000000"/>
      </w:rPr>
      <w:tblPr/>
      <w:tcPr>
        <w:shd w:val="clear" w:color="00000A" w:fill="F2F2F2"/>
      </w:tcPr>
    </w:tblStylePr>
    <w:tblStylePr w:type="band1Vert">
      <w:tblPr/>
      <w:tcPr>
        <w:shd w:val="clear" w:color="00000A" w:fill="FFFFFF"/>
      </w:tcPr>
    </w:tblStylePr>
    <w:tblStylePr w:type="band1Horz">
      <w:tblPr/>
      <w:tcPr>
        <w:shd w:val="clear" w:color="00000A" w:fill="FFFFF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A" w:fill="FFFFFF"/>
    </w:tcPr>
    <w:tblStylePr w:type="firstRow">
      <w:rPr>
        <w:b/>
        <w:bCs/>
      </w:rPr>
      <w:tblPr/>
      <w:tcPr>
        <w:shd w:val="clear" w:color="00000A" w:fill="FFFFFF"/>
      </w:tcPr>
    </w:tblStylePr>
    <w:tblStylePr w:type="lastRow">
      <w:rPr>
        <w:b/>
        <w:bCs/>
        <w:color w:val="000000"/>
      </w:rPr>
      <w:tblPr/>
      <w:tcPr>
        <w:shd w:val="clear" w:color="00000A" w:fill="FFFFFF"/>
      </w:tcPr>
    </w:tblStylePr>
    <w:tblStylePr w:type="firstCol">
      <w:rPr>
        <w:color w:val="000000"/>
      </w:rPr>
      <w:tblPr/>
      <w:tcPr>
        <w:shd w:val="clear" w:color="00000A" w:fill="FFFFFF"/>
      </w:tcPr>
    </w:tblStylePr>
    <w:tblStylePr w:type="lastCol">
      <w:rPr>
        <w:color w:val="000000"/>
      </w:rPr>
      <w:tblPr/>
      <w:tcPr>
        <w:shd w:val="clear" w:color="00000A" w:fill="FFFFFF"/>
      </w:tcPr>
    </w:tblStylePr>
    <w:tblStylePr w:type="band1Vert">
      <w:tblPr/>
      <w:tcPr>
        <w:shd w:val="clear" w:color="00000A" w:fill="FFFFFF"/>
      </w:tcPr>
    </w:tblStylePr>
    <w:tblStylePr w:type="band1Horz">
      <w:tblPr/>
      <w:tcPr>
        <w:shd w:val="clear" w:color="00000A" w:fill="FFFFF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A" w:fill="FFFFFF"/>
    </w:tcPr>
    <w:tblStylePr w:type="firstRow">
      <w:rPr>
        <w:b/>
        <w:bCs/>
      </w:rPr>
      <w:tblPr/>
      <w:tcPr>
        <w:shd w:val="clear" w:color="00000A" w:fill="FFFFFF"/>
      </w:tcPr>
    </w:tblStylePr>
    <w:tblStylePr w:type="lastRow">
      <w:rPr>
        <w:b/>
        <w:bCs/>
        <w:color w:val="000000"/>
      </w:rPr>
      <w:tblPr/>
      <w:tcPr>
        <w:shd w:val="clear" w:color="00000A" w:fill="FFFFFF"/>
      </w:tcPr>
    </w:tblStylePr>
    <w:tblStylePr w:type="firstCol">
      <w:rPr>
        <w:color w:val="000000"/>
      </w:rPr>
      <w:tblPr/>
      <w:tcPr>
        <w:shd w:val="clear" w:color="00000A" w:fill="F2F2F2"/>
      </w:tcPr>
    </w:tblStylePr>
    <w:tblStylePr w:type="lastCol">
      <w:rPr>
        <w:color w:val="000000"/>
      </w:rPr>
      <w:tblPr/>
      <w:tcPr>
        <w:shd w:val="clear" w:color="00000A" w:fill="F2F2F2"/>
      </w:tcPr>
    </w:tblStylePr>
    <w:tblStylePr w:type="band1Vert">
      <w:tblPr/>
      <w:tcPr>
        <w:shd w:val="clear" w:color="00000A" w:fill="FFFFFF"/>
      </w:tcPr>
    </w:tblStylePr>
    <w:tblStylePr w:type="band1Horz">
      <w:tblPr/>
      <w:tcPr>
        <w:shd w:val="clear" w:color="00000A" w:fill="FFFFF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A" w:fill="FFFFFF"/>
    </w:tcPr>
    <w:tblStylePr w:type="firstRow">
      <w:rPr>
        <w:b/>
        <w:bCs/>
      </w:rPr>
      <w:tblPr/>
      <w:tcPr>
        <w:shd w:val="clear" w:color="00000A" w:fill="FFFFFF"/>
      </w:tcPr>
    </w:tblStylePr>
    <w:tblStylePr w:type="lastRow">
      <w:rPr>
        <w:b/>
        <w:bCs/>
        <w:color w:val="000000"/>
      </w:rPr>
      <w:tblPr/>
      <w:tcPr>
        <w:shd w:val="clear" w:color="00000A" w:fill="FFFFFF"/>
      </w:tcPr>
    </w:tblStylePr>
    <w:tblStylePr w:type="firstCol">
      <w:rPr>
        <w:color w:val="000000"/>
      </w:rPr>
      <w:tblPr/>
      <w:tcPr>
        <w:shd w:val="clear" w:color="00000A" w:fill="F2F2F2"/>
      </w:tcPr>
    </w:tblStylePr>
    <w:tblStylePr w:type="lastCol">
      <w:rPr>
        <w:color w:val="000000"/>
      </w:rPr>
      <w:tblPr/>
      <w:tcPr>
        <w:shd w:val="clear" w:color="00000A" w:fill="F2F2F2"/>
      </w:tcPr>
    </w:tblStylePr>
    <w:tblStylePr w:type="band1Vert">
      <w:tblPr/>
      <w:tcPr>
        <w:shd w:val="clear" w:color="00000A" w:fill="FFFFFF"/>
      </w:tcPr>
    </w:tblStylePr>
    <w:tblStylePr w:type="band1Horz">
      <w:tblPr/>
      <w:tcPr>
        <w:shd w:val="clear" w:color="00000A" w:fill="FFFFF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A" w:fill="FFFFFF"/>
    </w:tcPr>
    <w:tblStylePr w:type="firstRow">
      <w:rPr>
        <w:b/>
        <w:bCs/>
      </w:rPr>
      <w:tblPr/>
      <w:tcPr>
        <w:shd w:val="clear" w:color="00000A" w:fill="FFFFFF"/>
      </w:tcPr>
    </w:tblStylePr>
    <w:tblStylePr w:type="lastRow">
      <w:rPr>
        <w:b/>
        <w:bCs/>
        <w:color w:val="000000"/>
      </w:rPr>
      <w:tblPr/>
      <w:tcPr>
        <w:shd w:val="clear" w:color="00000A" w:fill="FFFFFF"/>
      </w:tcPr>
    </w:tblStylePr>
    <w:tblStylePr w:type="firstCol">
      <w:rPr>
        <w:color w:val="000000"/>
      </w:rPr>
      <w:tblPr/>
      <w:tcPr>
        <w:shd w:val="clear" w:color="00000A" w:fill="FFFFFF"/>
      </w:tcPr>
    </w:tblStylePr>
    <w:tblStylePr w:type="lastCol">
      <w:rPr>
        <w:color w:val="000000"/>
      </w:rPr>
      <w:tblPr/>
      <w:tcPr>
        <w:shd w:val="clear" w:color="00000A" w:fill="FFFFFF"/>
      </w:tcPr>
    </w:tblStylePr>
    <w:tblStylePr w:type="band1Vert">
      <w:tblPr/>
      <w:tcPr>
        <w:shd w:val="clear" w:color="00000A" w:fill="FFFFFF"/>
      </w:tcPr>
    </w:tblStylePr>
    <w:tblStylePr w:type="band1Horz">
      <w:tblPr/>
      <w:tcPr>
        <w:shd w:val="clear" w:color="00000A" w:fill="FFFFF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A" w:fill="FFFFFF"/>
    </w:tcPr>
    <w:tblStylePr w:type="firstRow">
      <w:rPr>
        <w:b/>
        <w:bCs/>
      </w:rPr>
      <w:tblPr/>
      <w:tcPr>
        <w:shd w:val="clear" w:color="00000A" w:fill="FFFFFF"/>
      </w:tcPr>
    </w:tblStylePr>
    <w:tblStylePr w:type="lastRow">
      <w:rPr>
        <w:b/>
        <w:bCs/>
        <w:color w:val="000000"/>
      </w:rPr>
      <w:tblPr/>
      <w:tcPr>
        <w:shd w:val="clear" w:color="00000A" w:fill="FFFFFF"/>
      </w:tcPr>
    </w:tblStylePr>
    <w:tblStylePr w:type="firstCol">
      <w:rPr>
        <w:color w:val="000000"/>
      </w:rPr>
      <w:tblPr/>
      <w:tcPr>
        <w:shd w:val="clear" w:color="00000A" w:fill="F2F2F2"/>
      </w:tcPr>
    </w:tblStylePr>
    <w:tblStylePr w:type="lastCol">
      <w:rPr>
        <w:color w:val="000000"/>
      </w:rPr>
      <w:tblPr/>
      <w:tcPr>
        <w:shd w:val="clear" w:color="00000A" w:fill="F2F2F2"/>
      </w:tcPr>
    </w:tblStylePr>
    <w:tblStylePr w:type="band1Vert">
      <w:tblPr/>
      <w:tcPr>
        <w:shd w:val="clear" w:color="00000A" w:fill="FFFFFF"/>
      </w:tcPr>
    </w:tblStylePr>
    <w:tblStylePr w:type="band1Horz">
      <w:tblPr/>
      <w:tcPr>
        <w:shd w:val="clear" w:color="00000A" w:fill="FFFFF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000000"/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000000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000000"/>
      <w:spacing w:val="15"/>
      <w:sz w:val="24"/>
      <w:szCs w:val="24"/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/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/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000000"/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00000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00000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000000"/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000000"/>
      <w:sz w:val="20"/>
      <w:szCs w:val="20"/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000000"/>
      <w:sz w:val="20"/>
      <w:szCs w:val="20"/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000000" w:sz="4" w:space="4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000000"/>
    </w:rPr>
  </w:style>
  <w:style w:type="character" w:customStyle="1" w:styleId="158">
    <w:name w:val="Subtle Emphasis"/>
    <w:basedOn w:val="132"/>
    <w:qFormat/>
    <w:uiPriority w:val="19"/>
    <w:rPr>
      <w:i/>
      <w:iCs/>
      <w:color w:val="000000"/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000000"/>
    </w:rPr>
  </w:style>
  <w:style w:type="character" w:customStyle="1" w:styleId="160">
    <w:name w:val="Subtle Reference"/>
    <w:basedOn w:val="132"/>
    <w:qFormat/>
    <w:uiPriority w:val="31"/>
    <w:rPr>
      <w:smallCaps/>
      <w:color w:val="000000"/>
      <w:u w:val="single"/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000000"/>
      <w:spacing w:val="5"/>
      <w:u w:val="single"/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1228</Words>
  <Characters>1248</Characters>
  <Lines>0</Lines>
  <Paragraphs>0</Paragraphs>
  <TotalTime>1</TotalTime>
  <ScaleCrop>false</ScaleCrop>
  <LinksUpToDate>false</LinksUpToDate>
  <CharactersWithSpaces>1265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player</cp:lastModifiedBy>
  <dcterms:modified xsi:type="dcterms:W3CDTF">2026-06-16T16:53:27Z</dcterms:modified>
  <dc:subject>教材知识图谱；专家征询稿</dc:subject>
  <dc:title>智学助手教材知识图谱设计说明（专家征询稿）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eyJoZGlkIjoiYTExMTViZmY4ZWFmZDVjYzg1M2E2ZDdhNmUyOGZhNjEiLCJ1c2VySWQiOiIxMzU5NDkzMTc5In0=</vt:lpwstr>
  </property>
  <property fmtid="{D5CDD505-2E9C-101B-9397-08002B2CF9AE}" pid="3" name="KSOProductBuildVer">
    <vt:lpwstr>2052-12.1.0.21915</vt:lpwstr>
  </property>
  <property fmtid="{D5CDD505-2E9C-101B-9397-08002B2CF9AE}" pid="4" name="ICV">
    <vt:lpwstr>E4A06361761B458FA64D1851FE2869B4_12</vt:lpwstr>
  </property>
</Properties>
</file>