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07DBDC">
      <w:pPr>
        <w:pStyle w:val="31"/>
        <w:jc w:val="center"/>
      </w:pPr>
      <w:r>
        <w:rPr>
          <w:rFonts w:ascii="黑体" w:hAnsi="黑体" w:eastAsia="黑体"/>
          <w:b/>
          <w:i w:val="0"/>
          <w:sz w:val="36"/>
        </w:rPr>
        <w:t>智学助手教材知识图谱设计说明</w:t>
      </w:r>
    </w:p>
    <w:p w14:paraId="6E5A4D3A">
      <w:pPr>
        <w:spacing w:after="120" w:line="300" w:lineRule="auto"/>
        <w:rPr>
          <w:rFonts w:hint="eastAsia" w:eastAsia="宋体"/>
          <w:lang w:eastAsia="zh-CN"/>
        </w:rPr>
      </w:pPr>
      <w:r>
        <w:rPr>
          <w:rFonts w:ascii="宋体" w:hAnsi="宋体" w:eastAsia="宋体"/>
          <w:b w:val="0"/>
          <w:i w:val="0"/>
          <w:sz w:val="22"/>
        </w:rPr>
        <w:t>当前方案已基于《高等代数》教材的局部章节完成初步工程验证，并导入 Neo4j 进行可视化检查。材料中重点整理了目前的建设定位、抽取流程、关键规则、应用场景，以及我希望请老师帮忙把关的几个问题</w:t>
      </w:r>
      <w:r>
        <w:rPr>
          <w:rFonts w:hint="eastAsia"/>
          <w:b w:val="0"/>
          <w:i w:val="0"/>
          <w:sz w:val="22"/>
          <w:lang w:eastAsia="zh-CN"/>
        </w:rPr>
        <w:t>。</w:t>
      </w:r>
    </w:p>
    <w:p w14:paraId="7D92F185">
      <w:pPr>
        <w:pStyle w:val="3"/>
      </w:pPr>
      <w:r>
        <w:rPr>
          <w:rFonts w:ascii="黑体" w:hAnsi="黑体" w:eastAsia="黑体"/>
          <w:b/>
          <w:i w:val="0"/>
          <w:sz w:val="30"/>
        </w:rPr>
        <w:t>一、项目背景与建设定位</w:t>
      </w:r>
    </w:p>
    <w:p w14:paraId="5A759ABF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智学助手中的教材知识图谱，定位</w:t>
      </w:r>
      <w:r>
        <w:rPr>
          <w:rFonts w:hint="eastAsia"/>
          <w:b w:val="0"/>
          <w:i w:val="0"/>
          <w:sz w:val="22"/>
          <w:lang w:eastAsia="zh-CN"/>
        </w:rPr>
        <w:t>不只是</w:t>
      </w:r>
      <w:r>
        <w:rPr>
          <w:rFonts w:ascii="宋体" w:hAnsi="宋体" w:eastAsia="宋体"/>
          <w:b w:val="0"/>
          <w:i w:val="0"/>
          <w:sz w:val="22"/>
        </w:rPr>
        <w:t>展示型知识网络，</w:t>
      </w:r>
      <w:r>
        <w:rPr>
          <w:rFonts w:hint="eastAsia"/>
          <w:b w:val="0"/>
          <w:i w:val="0"/>
          <w:sz w:val="22"/>
          <w:lang w:eastAsia="zh-CN"/>
        </w:rPr>
        <w:t>更</w:t>
      </w:r>
      <w:r>
        <w:rPr>
          <w:rFonts w:ascii="宋体" w:hAnsi="宋体" w:eastAsia="宋体"/>
          <w:b w:val="0"/>
          <w:i w:val="0"/>
          <w:sz w:val="22"/>
        </w:rPr>
        <w:t>是面向智能学习服务的底层结构化支撑。其核心任务是把教材中的概念、定义、定理、公式、方法、题型及其相互关系组织成可计算、可追溯、可用于教学决策的数据结构。</w:t>
      </w:r>
    </w:p>
    <w:p w14:paraId="1FBC094A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从应用目标看，本知识图谱主要服务以下三类场景：</w:t>
      </w:r>
    </w:p>
    <w:p w14:paraId="7F4FA8C3">
      <w:pPr>
        <w:pStyle w:val="14"/>
        <w:numPr>
          <w:ilvl w:val="0"/>
          <w:numId w:val="0"/>
        </w:numPr>
        <w:tabs>
          <w:tab w:val="clear" w:pos="360"/>
        </w:tabs>
        <w:spacing w:after="120" w:line="300" w:lineRule="auto"/>
        <w:ind w:left="360" w:leftChars="0" w:hanging="360" w:firstLineChars="0"/>
      </w:pPr>
      <w:r>
        <w:rPr>
          <w:rFonts w:ascii="宋体" w:hAnsi="宋体" w:eastAsia="宋体" w:cstheme="minorBidi"/>
          <w:sz w:val="22"/>
          <w:szCs w:val="22"/>
          <w:lang w:val="en-US" w:eastAsia="en-US" w:bidi="ar-SA"/>
        </w:rPr>
        <w:t>1.</w:t>
      </w:r>
      <w:r>
        <w:rPr>
          <w:rFonts w:ascii="宋体" w:hAnsi="宋体" w:eastAsia="宋体"/>
          <w:b w:val="0"/>
          <w:i w:val="0"/>
          <w:sz w:val="22"/>
        </w:rPr>
        <w:t>学生在解题受阻时，追溯可能缺失的前置知识点。</w:t>
      </w:r>
    </w:p>
    <w:p w14:paraId="0CBFE6DD">
      <w:pPr>
        <w:pStyle w:val="14"/>
        <w:numPr>
          <w:ilvl w:val="0"/>
          <w:numId w:val="0"/>
        </w:numPr>
        <w:tabs>
          <w:tab w:val="clear" w:pos="360"/>
        </w:tabs>
        <w:spacing w:after="120" w:line="300" w:lineRule="auto"/>
        <w:ind w:left="360" w:leftChars="0" w:hanging="360" w:firstLineChars="0"/>
      </w:pPr>
      <w:r>
        <w:rPr>
          <w:rFonts w:ascii="宋体" w:hAnsi="宋体" w:eastAsia="宋体" w:cstheme="minorBidi"/>
          <w:sz w:val="22"/>
          <w:szCs w:val="22"/>
          <w:lang w:val="en-US" w:eastAsia="en-US" w:bidi="ar-SA"/>
        </w:rPr>
        <w:t>2.</w:t>
      </w:r>
      <w:r>
        <w:rPr>
          <w:rFonts w:ascii="宋体" w:hAnsi="宋体" w:eastAsia="宋体"/>
          <w:b w:val="0"/>
          <w:i w:val="0"/>
          <w:sz w:val="22"/>
        </w:rPr>
        <w:t>根据教材章节顺序和知识依赖关系，生成学习路径或复习路径。</w:t>
      </w:r>
    </w:p>
    <w:p w14:paraId="2007728B">
      <w:pPr>
        <w:pStyle w:val="14"/>
        <w:numPr>
          <w:ilvl w:val="0"/>
          <w:numId w:val="0"/>
        </w:numPr>
        <w:tabs>
          <w:tab w:val="clear" w:pos="360"/>
        </w:tabs>
        <w:spacing w:after="120" w:line="300" w:lineRule="auto"/>
        <w:ind w:left="360" w:leftChars="0" w:hanging="360" w:firstLineChars="0"/>
      </w:pPr>
      <w:r>
        <w:rPr>
          <w:rFonts w:ascii="宋体" w:hAnsi="宋体" w:eastAsia="宋体" w:cstheme="minorBidi"/>
          <w:sz w:val="22"/>
          <w:szCs w:val="22"/>
          <w:lang w:val="en-US" w:eastAsia="en-US" w:bidi="ar-SA"/>
        </w:rPr>
        <w:t>3.</w:t>
      </w:r>
      <w:r>
        <w:rPr>
          <w:rFonts w:ascii="宋体" w:hAnsi="宋体" w:eastAsia="宋体"/>
          <w:b w:val="0"/>
          <w:i w:val="0"/>
          <w:sz w:val="22"/>
        </w:rPr>
        <w:t>围绕某一知识点推荐相关例题、解题方法和题型。</w:t>
      </w:r>
    </w:p>
    <w:p w14:paraId="441D5AA0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因此，目前设计时关注的重点不是尽可能生成更多关系，而是使不同用途的关系具有清晰的层次和边界。学习路径所需的前置关系、定理证明中的推导关系、例题中的应用关系，在教学作用和使用场景上并不相同；若混合处理，可能导致路径生成过密、诊断依据不清、推荐结果难以解释。</w:t>
      </w:r>
    </w:p>
    <w:p w14:paraId="6BCD6AA7">
      <w:pPr>
        <w:jc w:val="center"/>
      </w:pPr>
      <w:r>
        <w:drawing>
          <wp:inline distT="0" distB="0" distL="114300" distR="114300">
            <wp:extent cx="5989320" cy="2432685"/>
            <wp:effectExtent l="0" t="0" r="1143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433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D8DDD">
      <w:pPr>
        <w:jc w:val="center"/>
      </w:pPr>
      <w:r>
        <w:rPr>
          <w:rFonts w:ascii="宋体" w:hAnsi="宋体" w:eastAsia="宋体"/>
          <w:i/>
          <w:sz w:val="20"/>
        </w:rPr>
        <w:t>图1 教材知识图谱的应用定位</w:t>
      </w:r>
    </w:p>
    <w:p w14:paraId="6A74864A">
      <w:pPr>
        <w:pStyle w:val="3"/>
      </w:pPr>
      <w:r>
        <w:rPr>
          <w:rFonts w:ascii="黑体" w:hAnsi="黑体" w:eastAsia="黑体"/>
          <w:b/>
          <w:i w:val="0"/>
          <w:sz w:val="30"/>
        </w:rPr>
        <w:t>二、总体设计思路</w:t>
      </w:r>
    </w:p>
    <w:p w14:paraId="3E05E2F2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目前采用“LLM 辅助生成候选项，自动校验程序进行质量控制，人工复核处理不确定样本”的总体路线。这样设计主要基于以下考虑：</w:t>
      </w:r>
    </w:p>
    <w:p w14:paraId="17504E54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仅依靠规则抽取，难以覆盖数学教材中较为复杂的自然语言表达、隐含命名和跨句推导。</w:t>
      </w:r>
    </w:p>
    <w:p w14:paraId="2DC0E4B9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完全依赖 LLM 直接生成最终图谱，则可能出现过度推断、关系方向错误、例题结论误抽、知识点粒度漂移等问题。</w:t>
      </w:r>
    </w:p>
    <w:p w14:paraId="4F593EE7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因此，LLM 更适合承担“发现候选内容”的任务；最终是否进入知识图谱，需要经过命名规范、来源范围、教材原文依据、关系方向、关系分层等多重约束。</w:t>
      </w:r>
    </w:p>
    <w:p w14:paraId="1F137A36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在这个思路下，LLM 的输出不直接写入最终图数据库，而是先形成候选知识点和候选关系。自动校验程序对候选项进行准入检查；确定性较高且符合规则的内容进入图谱，不确定内容进入人工复核清单，明显不符合规则的内容不进入图谱。</w:t>
      </w:r>
    </w:p>
    <w:p w14:paraId="0636F09D">
      <w:pPr>
        <w:jc w:val="center"/>
      </w:pPr>
      <w:r>
        <w:drawing>
          <wp:inline distT="0" distB="0" distL="114300" distR="114300">
            <wp:extent cx="5989320" cy="3368675"/>
            <wp:effectExtent l="0" t="0" r="1143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6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97F58">
      <w:pPr>
        <w:jc w:val="center"/>
      </w:pPr>
      <w:r>
        <w:rPr>
          <w:rFonts w:ascii="宋体" w:hAnsi="宋体" w:eastAsia="宋体"/>
          <w:i/>
          <w:sz w:val="20"/>
        </w:rPr>
        <w:t>图2 总体处理流程</w:t>
      </w:r>
    </w:p>
    <w:p w14:paraId="18730872">
      <w:pPr>
        <w:pStyle w:val="3"/>
      </w:pPr>
      <w:r>
        <w:rPr>
          <w:rFonts w:ascii="黑体" w:hAnsi="黑体" w:eastAsia="黑体"/>
          <w:b/>
          <w:i w:val="0"/>
          <w:sz w:val="30"/>
        </w:rPr>
        <w:t>三、工程落地方式：候选生成与准入控制</w:t>
      </w:r>
    </w:p>
    <w:p w14:paraId="2EB8A550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在工程实现上，目前并不把“抽取”理解为一次性生成最终结果，而是拆分为“候选生成”和“准入控制”两个阶段。</w:t>
      </w:r>
    </w:p>
    <w:p w14:paraId="31CD2581">
      <w:pPr>
        <w:pStyle w:val="4"/>
      </w:pPr>
      <w:r>
        <w:rPr>
          <w:rFonts w:ascii="黑体" w:hAnsi="黑体" w:eastAsia="黑体"/>
          <w:b/>
          <w:i w:val="0"/>
          <w:sz w:val="26"/>
        </w:rPr>
        <w:t>1. 候选生成</w:t>
      </w:r>
    </w:p>
    <w:p w14:paraId="39AB1C38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LLM 按统一提示要求阅读教材片段，提出可能具有图谱价值的知识点或关系。每个候选知识点通常包含以下信息：</w:t>
      </w:r>
    </w:p>
    <w:tbl>
      <w:tblPr>
        <w:tblStyle w:val="33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17ADD5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vAlign w:val="center"/>
          </w:tcPr>
          <w:p w14:paraId="521C8C4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信息项</w:t>
            </w:r>
          </w:p>
        </w:tc>
        <w:tc>
          <w:tcPr>
            <w:tcW w:w="4824" w:type="dxa"/>
            <w:vAlign w:val="center"/>
          </w:tcPr>
          <w:p w14:paraId="763B2FB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含义</w:t>
            </w:r>
          </w:p>
        </w:tc>
      </w:tr>
      <w:tr w14:paraId="284C11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vAlign w:val="center"/>
          </w:tcPr>
          <w:p w14:paraId="22B5774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候选名称</w:t>
            </w:r>
          </w:p>
        </w:tc>
        <w:tc>
          <w:tcPr>
            <w:tcW w:w="4824" w:type="dxa"/>
            <w:vAlign w:val="center"/>
          </w:tcPr>
          <w:p w14:paraId="2072CED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尽量使用学生可理解、可检索的语义名称</w:t>
            </w:r>
          </w:p>
        </w:tc>
      </w:tr>
      <w:tr w14:paraId="07BB7C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vAlign w:val="center"/>
          </w:tcPr>
          <w:p w14:paraId="1C70432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候选类型</w:t>
            </w:r>
          </w:p>
        </w:tc>
        <w:tc>
          <w:tcPr>
            <w:tcW w:w="4824" w:type="dxa"/>
            <w:vAlign w:val="center"/>
          </w:tcPr>
          <w:p w14:paraId="763910B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判断其属于概念、定义、定理、公式、方法、题型、属性值，或仅适合作为原文依据</w:t>
            </w:r>
          </w:p>
        </w:tc>
      </w:tr>
      <w:tr w14:paraId="3573F5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vAlign w:val="center"/>
          </w:tcPr>
          <w:p w14:paraId="563A76F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候选角色</w:t>
            </w:r>
          </w:p>
        </w:tc>
        <w:tc>
          <w:tcPr>
            <w:tcW w:w="4824" w:type="dxa"/>
            <w:vAlign w:val="center"/>
          </w:tcPr>
          <w:p w14:paraId="0AB00C5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判断其是否可能成为正式知识点，还是只作为属性值、方法候选、题型候选或原文依据</w:t>
            </w:r>
          </w:p>
        </w:tc>
      </w:tr>
      <w:tr w14:paraId="0D529A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vAlign w:val="center"/>
          </w:tcPr>
          <w:p w14:paraId="3BC145B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教材原文依据</w:t>
            </w:r>
          </w:p>
        </w:tc>
        <w:tc>
          <w:tcPr>
            <w:tcW w:w="4824" w:type="dxa"/>
            <w:vAlign w:val="center"/>
          </w:tcPr>
          <w:p w14:paraId="185960B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给出能够回到教材的连续原文片段</w:t>
            </w:r>
          </w:p>
        </w:tc>
      </w:tr>
      <w:tr w14:paraId="547768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vAlign w:val="center"/>
          </w:tcPr>
          <w:p w14:paraId="33F1F78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置信度</w:t>
            </w:r>
          </w:p>
        </w:tc>
        <w:tc>
          <w:tcPr>
            <w:tcW w:w="4824" w:type="dxa"/>
            <w:vAlign w:val="center"/>
          </w:tcPr>
          <w:p w14:paraId="5D900B8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表示 LLM 对该候选项稳定性的判断</w:t>
            </w:r>
          </w:p>
        </w:tc>
      </w:tr>
      <w:tr w14:paraId="1575EF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vAlign w:val="center"/>
          </w:tcPr>
          <w:p w14:paraId="6031B91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别名与来源标签</w:t>
            </w:r>
          </w:p>
        </w:tc>
        <w:tc>
          <w:tcPr>
            <w:tcW w:w="4824" w:type="dxa"/>
            <w:vAlign w:val="center"/>
          </w:tcPr>
          <w:p w14:paraId="6110611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保存“定理1”“公式2”等教材编号，但不把编号作为知识点名称</w:t>
            </w:r>
          </w:p>
        </w:tc>
      </w:tr>
    </w:tbl>
    <w:p w14:paraId="387AB292"/>
    <w:p w14:paraId="6B2FBB14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示意如下：</w:t>
      </w:r>
    </w:p>
    <w:tbl>
      <w:tblPr>
        <w:tblStyle w:val="33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183196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48" w:type="dxa"/>
          </w:tcPr>
          <w:p w14:paraId="56060F50"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>候选名称：对换改变 n 元排列的奇偶性</w:t>
            </w:r>
            <w:r>
              <w:br w:type="textWrapping"/>
            </w:r>
            <w:r>
              <w:rPr>
                <w:rFonts w:ascii="Consolas" w:hAnsi="Consolas" w:eastAsia="Consolas"/>
                <w:sz w:val="20"/>
              </w:rPr>
              <w:t>候选类型：定理</w:t>
            </w:r>
            <w:r>
              <w:br w:type="textWrapping"/>
            </w:r>
            <w:r>
              <w:rPr>
                <w:rFonts w:ascii="Consolas" w:hAnsi="Consolas" w:eastAsia="Consolas"/>
                <w:sz w:val="20"/>
              </w:rPr>
              <w:t>候选角色：正式知识点</w:t>
            </w:r>
            <w:r>
              <w:br w:type="textWrapping"/>
            </w:r>
            <w:r>
              <w:rPr>
                <w:rFonts w:ascii="Consolas" w:hAnsi="Consolas" w:eastAsia="Consolas"/>
                <w:sz w:val="20"/>
              </w:rPr>
              <w:t>教材原文依据：教材中对应的定理表述</w:t>
            </w:r>
            <w:r>
              <w:br w:type="textWrapping"/>
            </w:r>
            <w:r>
              <w:rPr>
                <w:rFonts w:ascii="Consolas" w:hAnsi="Consolas" w:eastAsia="Consolas"/>
                <w:sz w:val="20"/>
              </w:rPr>
              <w:t>别名/来源标签：定理1</w:t>
            </w:r>
            <w:r>
              <w:br w:type="textWrapping"/>
            </w:r>
            <w:r>
              <w:rPr>
                <w:rFonts w:ascii="Consolas" w:hAnsi="Consolas" w:eastAsia="Consolas"/>
                <w:sz w:val="20"/>
              </w:rPr>
              <w:t>置信度：较高</w:t>
            </w:r>
          </w:p>
        </w:tc>
      </w:tr>
    </w:tbl>
    <w:p w14:paraId="4A18177F"/>
    <w:p w14:paraId="7759216F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这一阶段强调“充分提出可能项”，但不意味着全部候选项都会进入最终图谱。</w:t>
      </w:r>
    </w:p>
    <w:p w14:paraId="2074FC9C">
      <w:pPr>
        <w:pStyle w:val="4"/>
      </w:pPr>
      <w:r>
        <w:rPr>
          <w:rFonts w:ascii="黑体" w:hAnsi="黑体" w:eastAsia="黑体"/>
          <w:b/>
          <w:i w:val="0"/>
          <w:sz w:val="26"/>
        </w:rPr>
        <w:t>2. 准入控制</w:t>
      </w:r>
    </w:p>
    <w:p w14:paraId="15F1786F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自动校验程序对候选项进行多方面检查，主要包括：</w:t>
      </w:r>
    </w:p>
    <w:p w14:paraId="7B53354E">
      <w:pPr>
        <w:pStyle w:val="14"/>
        <w:numPr>
          <w:ilvl w:val="0"/>
          <w:numId w:val="0"/>
        </w:numPr>
        <w:tabs>
          <w:tab w:val="clear" w:pos="360"/>
        </w:tabs>
        <w:spacing w:after="120" w:line="300" w:lineRule="auto"/>
        <w:ind w:left="360" w:leftChars="0" w:hanging="360" w:firstLineChars="0"/>
      </w:pPr>
      <w:r>
        <w:rPr>
          <w:rFonts w:hint="eastAsia" w:cstheme="minorBidi"/>
          <w:sz w:val="22"/>
          <w:szCs w:val="22"/>
          <w:lang w:val="en-US" w:eastAsia="zh-CN" w:bidi="ar-SA"/>
        </w:rPr>
        <w:t>1</w:t>
      </w:r>
      <w:r>
        <w:rPr>
          <w:rFonts w:ascii="宋体" w:hAnsi="宋体" w:eastAsia="宋体" w:cstheme="minorBidi"/>
          <w:sz w:val="22"/>
          <w:szCs w:val="22"/>
          <w:lang w:val="en-US" w:eastAsia="en-US" w:bidi="ar-SA"/>
        </w:rPr>
        <w:t>.</w:t>
      </w:r>
      <w:r>
        <w:rPr>
          <w:rFonts w:ascii="宋体" w:hAnsi="宋体" w:eastAsia="宋体"/>
          <w:b w:val="0"/>
          <w:i w:val="0"/>
          <w:sz w:val="22"/>
        </w:rPr>
        <w:t>名称检查：编号定理、编号公式不能直接以“定理1”“公式2”等形式作为知识点名称。</w:t>
      </w:r>
    </w:p>
    <w:p w14:paraId="6759A524">
      <w:pPr>
        <w:pStyle w:val="14"/>
        <w:numPr>
          <w:ilvl w:val="0"/>
          <w:numId w:val="0"/>
        </w:numPr>
        <w:tabs>
          <w:tab w:val="clear" w:pos="360"/>
        </w:tabs>
        <w:spacing w:after="120" w:line="300" w:lineRule="auto"/>
        <w:ind w:left="360" w:leftChars="0" w:hanging="360" w:firstLineChars="0"/>
      </w:pPr>
      <w:r>
        <w:rPr>
          <w:rFonts w:hint="eastAsia" w:cstheme="minorBidi"/>
          <w:sz w:val="22"/>
          <w:szCs w:val="22"/>
          <w:lang w:val="en-US" w:eastAsia="zh-CN" w:bidi="ar-SA"/>
        </w:rPr>
        <w:t>2</w:t>
      </w:r>
      <w:r>
        <w:rPr>
          <w:rFonts w:ascii="宋体" w:hAnsi="宋体" w:eastAsia="宋体" w:cstheme="minorBidi"/>
          <w:sz w:val="22"/>
          <w:szCs w:val="22"/>
          <w:lang w:val="en-US" w:eastAsia="en-US" w:bidi="ar-SA"/>
        </w:rPr>
        <w:t>.</w:t>
      </w:r>
      <w:r>
        <w:rPr>
          <w:rFonts w:ascii="宋体" w:hAnsi="宋体" w:eastAsia="宋体"/>
          <w:b w:val="0"/>
          <w:i w:val="0"/>
          <w:sz w:val="22"/>
        </w:rPr>
        <w:t>类型检查：知识点类型必须属于预设范围，且与教材来源范围相匹配。</w:t>
      </w:r>
    </w:p>
    <w:p w14:paraId="14979E59">
      <w:pPr>
        <w:pStyle w:val="14"/>
        <w:numPr>
          <w:ilvl w:val="0"/>
          <w:numId w:val="0"/>
        </w:numPr>
        <w:tabs>
          <w:tab w:val="clear" w:pos="360"/>
        </w:tabs>
        <w:spacing w:after="120" w:line="300" w:lineRule="auto"/>
        <w:ind w:left="360" w:leftChars="0" w:hanging="360" w:firstLineChars="0"/>
      </w:pPr>
      <w:r>
        <w:rPr>
          <w:rFonts w:hint="eastAsia" w:cstheme="minorBidi"/>
          <w:sz w:val="22"/>
          <w:szCs w:val="22"/>
          <w:lang w:val="en-US" w:eastAsia="zh-CN" w:bidi="ar-SA"/>
        </w:rPr>
        <w:t>3</w:t>
      </w:r>
      <w:r>
        <w:rPr>
          <w:rFonts w:ascii="宋体" w:hAnsi="宋体" w:eastAsia="宋体" w:cstheme="minorBidi"/>
          <w:sz w:val="22"/>
          <w:szCs w:val="22"/>
          <w:lang w:val="en-US" w:eastAsia="en-US" w:bidi="ar-SA"/>
        </w:rPr>
        <w:t>.</w:t>
      </w:r>
      <w:r>
        <w:rPr>
          <w:rFonts w:ascii="宋体" w:hAnsi="宋体" w:eastAsia="宋体"/>
          <w:b w:val="0"/>
          <w:i w:val="0"/>
          <w:sz w:val="22"/>
        </w:rPr>
        <w:t>来源范围检查：正文可产生正式知识点；典型例题主要产生方法、题型或应用原文依据；习题在当前阶段暂不参与抽取。</w:t>
      </w:r>
    </w:p>
    <w:p w14:paraId="7D397AF5">
      <w:pPr>
        <w:pStyle w:val="14"/>
        <w:numPr>
          <w:ilvl w:val="0"/>
          <w:numId w:val="0"/>
        </w:numPr>
        <w:tabs>
          <w:tab w:val="clear" w:pos="360"/>
        </w:tabs>
        <w:spacing w:after="120" w:line="300" w:lineRule="auto"/>
        <w:ind w:left="360" w:leftChars="0" w:hanging="360" w:firstLineChars="0"/>
      </w:pPr>
      <w:r>
        <w:rPr>
          <w:rFonts w:hint="eastAsia" w:cstheme="minorBidi"/>
          <w:sz w:val="22"/>
          <w:szCs w:val="22"/>
          <w:lang w:val="en-US" w:eastAsia="zh-CN" w:bidi="ar-SA"/>
        </w:rPr>
        <w:t>4</w:t>
      </w:r>
      <w:r>
        <w:rPr>
          <w:rFonts w:ascii="宋体" w:hAnsi="宋体" w:eastAsia="宋体" w:cstheme="minorBidi"/>
          <w:sz w:val="22"/>
          <w:szCs w:val="22"/>
          <w:lang w:val="en-US" w:eastAsia="en-US" w:bidi="ar-SA"/>
        </w:rPr>
        <w:t>.</w:t>
      </w:r>
      <w:r>
        <w:rPr>
          <w:rFonts w:ascii="宋体" w:hAnsi="宋体" w:eastAsia="宋体"/>
          <w:b w:val="0"/>
          <w:i w:val="0"/>
          <w:sz w:val="22"/>
        </w:rPr>
        <w:t>教材原文依据检查：候选项应能回溯到教材片段中的原文表述。</w:t>
      </w:r>
    </w:p>
    <w:p w14:paraId="236D29EC">
      <w:pPr>
        <w:pStyle w:val="14"/>
        <w:numPr>
          <w:ilvl w:val="0"/>
          <w:numId w:val="0"/>
        </w:numPr>
        <w:tabs>
          <w:tab w:val="clear" w:pos="360"/>
        </w:tabs>
        <w:spacing w:after="120" w:line="300" w:lineRule="auto"/>
        <w:ind w:left="360" w:leftChars="0" w:hanging="360" w:firstLineChars="0"/>
      </w:pPr>
      <w:r>
        <w:rPr>
          <w:rFonts w:hint="eastAsia" w:cstheme="minorBidi"/>
          <w:sz w:val="22"/>
          <w:szCs w:val="22"/>
          <w:lang w:val="en-US" w:eastAsia="zh-CN" w:bidi="ar-SA"/>
        </w:rPr>
        <w:t>5</w:t>
      </w:r>
      <w:r>
        <w:rPr>
          <w:rFonts w:ascii="宋体" w:hAnsi="宋体" w:eastAsia="宋体" w:cstheme="minorBidi"/>
          <w:sz w:val="22"/>
          <w:szCs w:val="22"/>
          <w:lang w:val="en-US" w:eastAsia="en-US" w:bidi="ar-SA"/>
        </w:rPr>
        <w:t>.</w:t>
      </w:r>
      <w:r>
        <w:rPr>
          <w:rFonts w:ascii="宋体" w:hAnsi="宋体" w:eastAsia="宋体"/>
          <w:b w:val="0"/>
          <w:i w:val="0"/>
          <w:sz w:val="22"/>
        </w:rPr>
        <w:t>置信度检查：低置信度候选项不进入图谱；中等置信度候选项进入人工复核；高置信度且无其他问题的候选项可自动准入。</w:t>
      </w:r>
    </w:p>
    <w:p w14:paraId="540B67C6">
      <w:pPr>
        <w:pStyle w:val="14"/>
        <w:numPr>
          <w:ilvl w:val="0"/>
          <w:numId w:val="0"/>
        </w:numPr>
        <w:tabs>
          <w:tab w:val="clear" w:pos="360"/>
        </w:tabs>
        <w:spacing w:after="120" w:line="300" w:lineRule="auto"/>
        <w:ind w:left="360" w:leftChars="0" w:hanging="360" w:firstLineChars="0"/>
      </w:pPr>
      <w:r>
        <w:rPr>
          <w:rFonts w:hint="eastAsia" w:cstheme="minorBidi"/>
          <w:sz w:val="22"/>
          <w:szCs w:val="22"/>
          <w:lang w:val="en-US" w:eastAsia="zh-CN" w:bidi="ar-SA"/>
        </w:rPr>
        <w:t>6</w:t>
      </w:r>
      <w:r>
        <w:rPr>
          <w:rFonts w:ascii="宋体" w:hAnsi="宋体" w:eastAsia="宋体" w:cstheme="minorBidi"/>
          <w:sz w:val="22"/>
          <w:szCs w:val="22"/>
          <w:lang w:val="en-US" w:eastAsia="en-US" w:bidi="ar-SA"/>
        </w:rPr>
        <w:t>.</w:t>
      </w:r>
      <w:r>
        <w:rPr>
          <w:rFonts w:ascii="宋体" w:hAnsi="宋体" w:eastAsia="宋体"/>
          <w:b w:val="0"/>
          <w:i w:val="0"/>
          <w:sz w:val="22"/>
        </w:rPr>
        <w:t>同义合并检查：目前只自动合并“名称相同且类型相同”的知识点；疑似同义、上下位或粒度重叠的情况进入人工复核。</w:t>
      </w:r>
    </w:p>
    <w:p w14:paraId="3282D61A">
      <w:pPr>
        <w:pStyle w:val="14"/>
        <w:numPr>
          <w:ilvl w:val="0"/>
          <w:numId w:val="0"/>
        </w:numPr>
        <w:tabs>
          <w:tab w:val="clear" w:pos="360"/>
        </w:tabs>
        <w:spacing w:after="120" w:line="300" w:lineRule="auto"/>
        <w:ind w:left="360" w:leftChars="0" w:hanging="360" w:firstLineChars="0"/>
      </w:pPr>
      <w:r>
        <w:rPr>
          <w:rFonts w:hint="eastAsia" w:cstheme="minorBidi"/>
          <w:sz w:val="22"/>
          <w:szCs w:val="22"/>
          <w:lang w:val="en-US" w:eastAsia="zh-CN" w:bidi="ar-SA"/>
        </w:rPr>
        <w:t>7</w:t>
      </w:r>
      <w:r>
        <w:rPr>
          <w:rFonts w:ascii="宋体" w:hAnsi="宋体" w:eastAsia="宋体" w:cstheme="minorBidi"/>
          <w:sz w:val="22"/>
          <w:szCs w:val="22"/>
          <w:lang w:val="en-US" w:eastAsia="en-US" w:bidi="ar-SA"/>
        </w:rPr>
        <w:t>.</w:t>
      </w:r>
      <w:r>
        <w:rPr>
          <w:rFonts w:ascii="宋体" w:hAnsi="宋体" w:eastAsia="宋体"/>
          <w:b w:val="0"/>
          <w:i w:val="0"/>
          <w:sz w:val="22"/>
        </w:rPr>
        <w:t>属性值检查：“唯一解”“无解”“零解”等默认作为属性值处理，只有满足特定条件时才升级为独立知识点。</w:t>
      </w:r>
    </w:p>
    <w:p w14:paraId="30D0F957">
      <w:pPr>
        <w:jc w:val="center"/>
      </w:pPr>
      <w:r>
        <w:drawing>
          <wp:inline distT="0" distB="0" distL="114300" distR="114300">
            <wp:extent cx="5989320" cy="3106420"/>
            <wp:effectExtent l="0" t="0" r="11430" b="177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10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4B7E0">
      <w:pPr>
        <w:jc w:val="center"/>
      </w:pPr>
      <w:r>
        <w:rPr>
          <w:rFonts w:ascii="宋体" w:hAnsi="宋体" w:eastAsia="宋体"/>
          <w:i/>
          <w:sz w:val="20"/>
        </w:rPr>
        <w:t>图3 候选知识点准入控制流程</w:t>
      </w:r>
    </w:p>
    <w:p w14:paraId="4DD26009">
      <w:pPr>
        <w:pStyle w:val="3"/>
      </w:pPr>
      <w:r>
        <w:rPr>
          <w:rFonts w:ascii="黑体" w:hAnsi="黑体" w:eastAsia="黑体"/>
          <w:b/>
          <w:i w:val="0"/>
          <w:sz w:val="30"/>
        </w:rPr>
        <w:t>四、抽取流程设计</w:t>
      </w:r>
    </w:p>
    <w:p w14:paraId="20BF9194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当前流程分为六个步骤。</w:t>
      </w:r>
    </w:p>
    <w:p w14:paraId="52212615">
      <w:pPr>
        <w:jc w:val="center"/>
      </w:pPr>
      <w:r>
        <w:drawing>
          <wp:inline distT="0" distB="0" distL="114300" distR="114300">
            <wp:extent cx="5989320" cy="2677160"/>
            <wp:effectExtent l="0" t="0" r="1143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67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B26F8">
      <w:pPr>
        <w:jc w:val="center"/>
      </w:pPr>
      <w:r>
        <w:rPr>
          <w:rFonts w:ascii="宋体" w:hAnsi="宋体" w:eastAsia="宋体"/>
          <w:i/>
          <w:sz w:val="20"/>
        </w:rPr>
        <w:t>图4 v4.1 抽取流程</w:t>
      </w:r>
    </w:p>
    <w:p w14:paraId="56712A19">
      <w:pPr>
        <w:pStyle w:val="4"/>
      </w:pPr>
      <w:r>
        <w:rPr>
          <w:rFonts w:ascii="黑体" w:hAnsi="黑体" w:eastAsia="黑体"/>
          <w:b/>
          <w:i w:val="0"/>
          <w:sz w:val="26"/>
        </w:rPr>
        <w:t>第一步：教材切分</w:t>
      </w:r>
    </w:p>
    <w:p w14:paraId="4FCF40B4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将结构化教材文本切分为相对独立的教材片段，并标记其来源范围：</w:t>
      </w:r>
    </w:p>
    <w:p w14:paraId="151BD92A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正文内容：用于抽取正式知识点及其核心关系。</w:t>
      </w:r>
    </w:p>
    <w:p w14:paraId="5EDB1434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典型例题：主要用于抽取方法、题型和应用原文依据。</w:t>
      </w:r>
    </w:p>
    <w:p w14:paraId="6C6039CC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习题：当前阶段暂不参与抽取，以降低题干噪声对知识点抽取的影响。</w:t>
      </w:r>
    </w:p>
    <w:p w14:paraId="53CADE06">
      <w:pPr>
        <w:pStyle w:val="4"/>
      </w:pPr>
      <w:r>
        <w:rPr>
          <w:rFonts w:ascii="黑体" w:hAnsi="黑体" w:eastAsia="黑体"/>
          <w:b/>
          <w:i w:val="0"/>
          <w:sz w:val="26"/>
        </w:rPr>
        <w:t>第二步：知识点候选生成</w:t>
      </w:r>
    </w:p>
    <w:p w14:paraId="2A2DEC53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由 LLM 从教材片段中提出候选知识点。候选类型包括：</w:t>
      </w:r>
    </w:p>
    <w:p w14:paraId="20E8054E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概念</w:t>
      </w:r>
    </w:p>
    <w:p w14:paraId="5C4AA9AE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定义</w:t>
      </w:r>
    </w:p>
    <w:p w14:paraId="4CC13CB5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定理</w:t>
      </w:r>
    </w:p>
    <w:p w14:paraId="1A8F3BE1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公式</w:t>
      </w:r>
    </w:p>
    <w:p w14:paraId="0BEDB953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方法</w:t>
      </w:r>
    </w:p>
    <w:p w14:paraId="3E38C4C7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题型</w:t>
      </w:r>
    </w:p>
    <w:p w14:paraId="5051C1C5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属性值</w:t>
      </w:r>
    </w:p>
    <w:p w14:paraId="3C20E2F2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仅作为原文依据的内容</w:t>
      </w:r>
    </w:p>
    <w:p w14:paraId="5BB9DACA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其中，典型例题的处理范围受到严格限制：典型例题可以产生“方法”和“题型”类候选，但不允许把例题中的具体结论抽取为正式定理、公式、定义或概念。</w:t>
      </w:r>
    </w:p>
    <w:p w14:paraId="4BA39791">
      <w:pPr>
        <w:pStyle w:val="4"/>
      </w:pPr>
      <w:r>
        <w:rPr>
          <w:rFonts w:ascii="黑体" w:hAnsi="黑体" w:eastAsia="黑体"/>
          <w:b/>
          <w:i w:val="0"/>
          <w:sz w:val="26"/>
        </w:rPr>
        <w:t>第三步：知识点准入与规范化</w:t>
      </w:r>
    </w:p>
    <w:p w14:paraId="500E3C8C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该步骤对候选知识点进行准入判断与规范化处理，主要包括：</w:t>
      </w:r>
    </w:p>
    <w:p w14:paraId="6615881B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语义命名：编号只是教材来源标签，不能作为知识点名称；若教材只有编号而无通用名称，则需生成学生可理解、可检索的语义名称。</w:t>
      </w:r>
    </w:p>
    <w:p w14:paraId="61C8798B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同义合并：当前阶段采用保守合并策略，避免因自动合并过度造成知识点边界混乱。</w:t>
      </w:r>
    </w:p>
    <w:p w14:paraId="2A9D7212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属性值判断：默认将“唯一解”“无解”“零解”等状态作为属性值；只有在教材单独定义、有独立判别准则、参与多重关系或后文专题展开时，才升级为独立知识点。</w:t>
      </w:r>
    </w:p>
    <w:p w14:paraId="4CF2ED18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人工复核：对命名不稳定、来源依据不足、粒度边界不清或类型判断不确定的候选项进行人工复核。</w:t>
      </w:r>
    </w:p>
    <w:p w14:paraId="357B2E46">
      <w:pPr>
        <w:pStyle w:val="4"/>
      </w:pPr>
      <w:r>
        <w:rPr>
          <w:rFonts w:ascii="黑体" w:hAnsi="黑体" w:eastAsia="黑体"/>
          <w:b/>
          <w:i w:val="0"/>
          <w:sz w:val="26"/>
        </w:rPr>
        <w:t>第四步：关系候选生成</w:t>
      </w:r>
    </w:p>
    <w:p w14:paraId="191F20AF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关系候选只在已准入的知识点之间生成，避免 LLM 自行创造关系两端的知识点。主要关系类型包括：</w:t>
      </w:r>
    </w:p>
    <w:p w14:paraId="185CB9A2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前置关系：A 是理解 B 的直接必要前置。</w:t>
      </w:r>
    </w:p>
    <w:p w14:paraId="2EEB792E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推导关系：B 由 A 推出、证明、特化或改写得到。</w:t>
      </w:r>
    </w:p>
    <w:p w14:paraId="7472EBC9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应用关系：A 可用于解决或处理 B。</w:t>
      </w:r>
    </w:p>
    <w:p w14:paraId="15277F7E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关系方向采用统一约定：若 A 指向 B，则表示 A 对 B 具有前置、推导来源或应用支撑作用，而不是简单表示教材中的出现顺序。</w:t>
      </w:r>
    </w:p>
    <w:p w14:paraId="5546E900">
      <w:pPr>
        <w:pStyle w:val="4"/>
      </w:pPr>
      <w:r>
        <w:rPr>
          <w:rFonts w:ascii="黑体" w:hAnsi="黑体" w:eastAsia="黑体"/>
          <w:b/>
          <w:i w:val="0"/>
          <w:sz w:val="26"/>
        </w:rPr>
        <w:t>第五步：关系校验、人工复核与分层</w:t>
      </w:r>
    </w:p>
    <w:p w14:paraId="7B11B724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关系候选生成后，需要进一步检查：</w:t>
      </w:r>
    </w:p>
    <w:p w14:paraId="64AE9D38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关系两端是否均来自已准入知识点。</w:t>
      </w:r>
    </w:p>
    <w:p w14:paraId="37A3A4DA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关系方向是否符合预设定义。</w:t>
      </w:r>
    </w:p>
    <w:p w14:paraId="67F64B3A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教材原文依据是否能够支持该关系。</w:t>
      </w:r>
    </w:p>
    <w:p w14:paraId="359E4518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前置关系是否满足“直接必要”的强标准。</w:t>
      </w:r>
    </w:p>
    <w:p w14:paraId="79D519DA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典型例题相关关系是否仅进入应用索引层。</w:t>
      </w:r>
    </w:p>
    <w:p w14:paraId="7A41D6DC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不确定关系是否应提交人工复核。</w:t>
      </w:r>
    </w:p>
    <w:p w14:paraId="0FE54F32">
      <w:pPr>
        <w:pStyle w:val="4"/>
      </w:pPr>
      <w:r>
        <w:rPr>
          <w:rFonts w:ascii="黑体" w:hAnsi="黑体" w:eastAsia="黑体"/>
          <w:b/>
          <w:i w:val="0"/>
          <w:sz w:val="26"/>
        </w:rPr>
        <w:t>第六步：导入图数据库并可视化验证</w:t>
      </w:r>
    </w:p>
    <w:p w14:paraId="76F06DDD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通过脚本将通过准入的知识点和关系导入 Neo4j。默认视图以“主导航图”为主，其余层可按需要单独导入和查看，以避免证明细节或例题应用关系干扰学习路径生成。</w:t>
      </w:r>
    </w:p>
    <w:p w14:paraId="37322C39">
      <w:pPr>
        <w:pStyle w:val="3"/>
      </w:pPr>
      <w:r>
        <w:rPr>
          <w:rFonts w:ascii="黑体" w:hAnsi="黑体" w:eastAsia="黑体"/>
          <w:b/>
          <w:i w:val="0"/>
          <w:sz w:val="30"/>
        </w:rPr>
        <w:t>五、关键设计规则</w:t>
      </w:r>
    </w:p>
    <w:p w14:paraId="6A9D603D">
      <w:pPr>
        <w:pStyle w:val="4"/>
      </w:pPr>
      <w:r>
        <w:rPr>
          <w:rFonts w:ascii="黑体" w:hAnsi="黑体" w:eastAsia="黑体"/>
          <w:b/>
          <w:i w:val="0"/>
          <w:sz w:val="26"/>
        </w:rPr>
        <w:t>1. 定理与公式的语义命名</w:t>
      </w:r>
    </w:p>
    <w:p w14:paraId="28656A60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数学教材中的定理、命题、推论、公式往往以编号形式出现，如“定理1”“命题2”“公式3”。此类编号具有来源定位作用，但不适合作为知识图谱中的正式名称。正式名称应尽量反映其数学内容，便于学生理解、检索和复习。</w:t>
      </w:r>
    </w:p>
    <w:p w14:paraId="799A33A7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处理原则如下：</w:t>
      </w:r>
    </w:p>
    <w:p w14:paraId="04C7ADBF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若教材中已有通用名称，则采用通用名称。</w:t>
      </w:r>
    </w:p>
    <w:p w14:paraId="60A319C4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若教材中只有编号但内容重要，则生成语义名称。</w:t>
      </w:r>
    </w:p>
    <w:p w14:paraId="3643C7B7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编号保留为别名或来源标签，用于回溯教材位置。</w:t>
      </w:r>
    </w:p>
    <w:tbl>
      <w:tblPr>
        <w:tblStyle w:val="33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4D6631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vAlign w:val="center"/>
          </w:tcPr>
          <w:p w14:paraId="4299A4C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教材呈现</w:t>
            </w:r>
          </w:p>
        </w:tc>
        <w:tc>
          <w:tcPr>
            <w:tcW w:w="4824" w:type="dxa"/>
            <w:vAlign w:val="center"/>
          </w:tcPr>
          <w:p w14:paraId="35E11A3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图谱命名</w:t>
            </w:r>
          </w:p>
        </w:tc>
      </w:tr>
      <w:tr w14:paraId="5D3D0A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vAlign w:val="center"/>
          </w:tcPr>
          <w:p w14:paraId="7597CEF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定理1：任意矩阵可经初等行变换化为阶梯形矩阵</w:t>
            </w:r>
          </w:p>
        </w:tc>
        <w:tc>
          <w:tcPr>
            <w:tcW w:w="4824" w:type="dxa"/>
            <w:vAlign w:val="center"/>
          </w:tcPr>
          <w:p w14:paraId="5EF06B6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矩阵可化为阶梯形</w:t>
            </w:r>
          </w:p>
        </w:tc>
      </w:tr>
      <w:tr w14:paraId="74E421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vAlign w:val="center"/>
          </w:tcPr>
          <w:p w14:paraId="18684E6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定理5：单调有界数列必收敛</w:t>
            </w:r>
          </w:p>
        </w:tc>
        <w:tc>
          <w:tcPr>
            <w:tcW w:w="4824" w:type="dxa"/>
            <w:vAlign w:val="center"/>
          </w:tcPr>
          <w:p w14:paraId="1619BB0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单调有界收敛准则</w:t>
            </w:r>
          </w:p>
        </w:tc>
      </w:tr>
      <w:tr w14:paraId="3B1EF5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vAlign w:val="center"/>
          </w:tcPr>
          <w:p w14:paraId="70E4C29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牛顿-莱布尼茨公式</w:t>
            </w:r>
          </w:p>
        </w:tc>
        <w:tc>
          <w:tcPr>
            <w:tcW w:w="4824" w:type="dxa"/>
            <w:vAlign w:val="center"/>
          </w:tcPr>
          <w:p w14:paraId="4104FAA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牛顿-莱布尼茨公式</w:t>
            </w:r>
          </w:p>
        </w:tc>
      </w:tr>
    </w:tbl>
    <w:p w14:paraId="6F566563"/>
    <w:p w14:paraId="4AAF3BE5">
      <w:pPr>
        <w:pStyle w:val="4"/>
      </w:pPr>
      <w:r>
        <w:rPr>
          <w:rFonts w:ascii="黑体" w:hAnsi="黑体" w:eastAsia="黑体"/>
          <w:b/>
          <w:i w:val="0"/>
          <w:sz w:val="26"/>
        </w:rPr>
        <w:t>2. 属性值与独立知识点的边界</w:t>
      </w:r>
    </w:p>
    <w:p w14:paraId="5CC8E9C7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“唯一解”“无解”“无穷多个解”等状态类表达，默认不单独抽取为概念知识点，而是优先作为某一对象的属性值。例如，线性方程组可以具有“有唯一解”“无解”“有无穷多个解”等状态。</w:t>
      </w:r>
    </w:p>
    <w:p w14:paraId="593AA38F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但若满足以下条件之一，可考虑升级为独立知识点：</w:t>
      </w:r>
    </w:p>
    <w:tbl>
      <w:tblPr>
        <w:tblStyle w:val="33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61D641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vAlign w:val="center"/>
          </w:tcPr>
          <w:p w14:paraId="2F1735D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升级条件</w:t>
            </w:r>
          </w:p>
        </w:tc>
        <w:tc>
          <w:tcPr>
            <w:tcW w:w="4824" w:type="dxa"/>
            <w:vAlign w:val="center"/>
          </w:tcPr>
          <w:p w14:paraId="55EC6DB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示例</w:t>
            </w:r>
          </w:p>
        </w:tc>
      </w:tr>
      <w:tr w14:paraId="643E75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vAlign w:val="center"/>
          </w:tcPr>
          <w:p w14:paraId="5F33407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教材对该状态单独给出定义</w:t>
            </w:r>
          </w:p>
        </w:tc>
        <w:tc>
          <w:tcPr>
            <w:tcW w:w="4824" w:type="dxa"/>
            <w:vAlign w:val="center"/>
          </w:tcPr>
          <w:p w14:paraId="180F77B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齐次线性方程组的零解</w:t>
            </w:r>
          </w:p>
        </w:tc>
      </w:tr>
      <w:tr w14:paraId="31D33D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vAlign w:val="center"/>
          </w:tcPr>
          <w:p w14:paraId="5616B38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具有独立判别准则</w:t>
            </w:r>
          </w:p>
        </w:tc>
        <w:tc>
          <w:tcPr>
            <w:tcW w:w="4824" w:type="dxa"/>
            <w:vAlign w:val="center"/>
          </w:tcPr>
          <w:p w14:paraId="5DCF48F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无解等价于增广矩阵秩大于系数矩阵秩</w:t>
            </w:r>
          </w:p>
        </w:tc>
      </w:tr>
      <w:tr w14:paraId="7DF265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vAlign w:val="center"/>
          </w:tcPr>
          <w:p w14:paraId="678B706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参与多个关系</w:t>
            </w:r>
          </w:p>
        </w:tc>
        <w:tc>
          <w:tcPr>
            <w:tcW w:w="4824" w:type="dxa"/>
            <w:vAlign w:val="center"/>
          </w:tcPr>
          <w:p w14:paraId="546EC38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作为多个定理或方法之间的桥接知识点</w:t>
            </w:r>
          </w:p>
        </w:tc>
      </w:tr>
      <w:tr w14:paraId="692C1C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vAlign w:val="center"/>
          </w:tcPr>
          <w:p w14:paraId="392DFEC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后文以该状态为主题展开</w:t>
            </w:r>
          </w:p>
        </w:tc>
        <w:tc>
          <w:tcPr>
            <w:tcW w:w="4824" w:type="dxa"/>
            <w:vAlign w:val="center"/>
          </w:tcPr>
          <w:p w14:paraId="46DD655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整节讨论某类解的结构</w:t>
            </w:r>
          </w:p>
        </w:tc>
      </w:tr>
    </w:tbl>
    <w:p w14:paraId="0BBBAD4C"/>
    <w:p w14:paraId="07EDFC83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该规则的目的，是避免把大量状态词误抽为概念，同时保留确有教学意义和关系连接价值的状态类知识。</w:t>
      </w:r>
    </w:p>
    <w:p w14:paraId="3A769917">
      <w:pPr>
        <w:pStyle w:val="4"/>
      </w:pPr>
      <w:r>
        <w:rPr>
          <w:rFonts w:ascii="黑体" w:hAnsi="黑体" w:eastAsia="黑体"/>
          <w:b/>
          <w:i w:val="0"/>
          <w:sz w:val="26"/>
        </w:rPr>
        <w:t>3. 典型例题的处理</w:t>
      </w:r>
    </w:p>
    <w:p w14:paraId="101947D9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早期方案曾完全跳过典型例题，以降低“例题答案被误抽为定理”的风险。但智学助手需要支持按知识点推荐例题、方法和题型，因此对典型例题采用有限抽取</w:t>
      </w:r>
      <w:bookmarkStart w:id="0" w:name="_GoBack"/>
      <w:bookmarkEnd w:id="0"/>
      <w:r>
        <w:rPr>
          <w:rFonts w:ascii="宋体" w:hAnsi="宋体" w:eastAsia="宋体"/>
          <w:b w:val="0"/>
          <w:i w:val="0"/>
          <w:sz w:val="22"/>
        </w:rPr>
        <w:t>策略：</w:t>
      </w:r>
    </w:p>
    <w:p w14:paraId="7D1912DE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典型例题不产生正式概念、定义、定理、公式。</w:t>
      </w:r>
    </w:p>
    <w:p w14:paraId="0B8FC8D4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典型例题可以产生方法和题型。</w:t>
      </w:r>
    </w:p>
    <w:p w14:paraId="3E6ECC32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典型例题产生的关系只进入应用索引层，不进入学习路径主图。</w:t>
      </w:r>
    </w:p>
    <w:p w14:paraId="4329FF06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典型例题中抽出的通用方法，原则上先进入人工复核，再决定是否入图。</w:t>
      </w:r>
    </w:p>
    <w:p w14:paraId="7A97ABB8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该策略试图在“降低噪声”和“保留应用价值”之间取得平衡。</w:t>
      </w:r>
    </w:p>
    <w:p w14:paraId="0C4F4149">
      <w:pPr>
        <w:pStyle w:val="4"/>
      </w:pPr>
      <w:r>
        <w:rPr>
          <w:rFonts w:ascii="黑体" w:hAnsi="黑体" w:eastAsia="黑体"/>
          <w:b/>
          <w:i w:val="0"/>
          <w:sz w:val="26"/>
        </w:rPr>
        <w:t>4. 三层关系结构</w:t>
      </w:r>
    </w:p>
    <w:p w14:paraId="43C39C89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为适配不同教学应用，目前将关系分为三层：</w:t>
      </w:r>
    </w:p>
    <w:tbl>
      <w:tblPr>
        <w:tblStyle w:val="33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2"/>
        <w:gridCol w:w="2412"/>
        <w:gridCol w:w="2412"/>
        <w:gridCol w:w="2412"/>
      </w:tblGrid>
      <w:tr w14:paraId="52043B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12" w:type="dxa"/>
            <w:vAlign w:val="center"/>
          </w:tcPr>
          <w:p w14:paraId="01AAD6F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中文名称</w:t>
            </w:r>
          </w:p>
        </w:tc>
        <w:tc>
          <w:tcPr>
            <w:tcW w:w="2412" w:type="dxa"/>
            <w:vAlign w:val="center"/>
          </w:tcPr>
          <w:p w14:paraId="1181C5D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系统内部代号</w:t>
            </w:r>
          </w:p>
        </w:tc>
        <w:tc>
          <w:tcPr>
            <w:tcW w:w="2412" w:type="dxa"/>
            <w:vAlign w:val="center"/>
          </w:tcPr>
          <w:p w14:paraId="0DAF8C4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主要用途</w:t>
            </w:r>
          </w:p>
        </w:tc>
        <w:tc>
          <w:tcPr>
            <w:tcW w:w="2412" w:type="dxa"/>
            <w:vAlign w:val="center"/>
          </w:tcPr>
          <w:p w14:paraId="32E9947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主要关系</w:t>
            </w:r>
          </w:p>
        </w:tc>
      </w:tr>
      <w:tr w14:paraId="739765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12" w:type="dxa"/>
            <w:vAlign w:val="center"/>
          </w:tcPr>
          <w:p w14:paraId="659D50A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主导航图</w:t>
            </w:r>
          </w:p>
        </w:tc>
        <w:tc>
          <w:tcPr>
            <w:tcW w:w="2412" w:type="dxa"/>
            <w:vAlign w:val="center"/>
          </w:tcPr>
          <w:p w14:paraId="0BFCEAB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main</w:t>
            </w:r>
          </w:p>
        </w:tc>
        <w:tc>
          <w:tcPr>
            <w:tcW w:w="2412" w:type="dxa"/>
            <w:vAlign w:val="center"/>
          </w:tcPr>
          <w:p w14:paraId="743DDC9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学习路径生成、缺漏知识诊断</w:t>
            </w:r>
          </w:p>
        </w:tc>
        <w:tc>
          <w:tcPr>
            <w:tcW w:w="2412" w:type="dxa"/>
            <w:vAlign w:val="center"/>
          </w:tcPr>
          <w:p w14:paraId="55F7161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强前置关系，少量核心推导关系</w:t>
            </w:r>
          </w:p>
        </w:tc>
      </w:tr>
      <w:tr w14:paraId="01435D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12" w:type="dxa"/>
            <w:vAlign w:val="center"/>
          </w:tcPr>
          <w:p w14:paraId="473DA71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证明追踪层</w:t>
            </w:r>
          </w:p>
        </w:tc>
        <w:tc>
          <w:tcPr>
            <w:tcW w:w="2412" w:type="dxa"/>
            <w:vAlign w:val="center"/>
          </w:tcPr>
          <w:p w14:paraId="5E9D6BF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proof_trace</w:t>
            </w:r>
          </w:p>
        </w:tc>
        <w:tc>
          <w:tcPr>
            <w:tcW w:w="2412" w:type="dxa"/>
            <w:vAlign w:val="center"/>
          </w:tcPr>
          <w:p w14:paraId="6D70E4A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解释定理或公式的证明来源</w:t>
            </w:r>
          </w:p>
        </w:tc>
        <w:tc>
          <w:tcPr>
            <w:tcW w:w="2412" w:type="dxa"/>
            <w:vAlign w:val="center"/>
          </w:tcPr>
          <w:p w14:paraId="6BB032C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局部证明依赖、推导链</w:t>
            </w:r>
          </w:p>
        </w:tc>
      </w:tr>
      <w:tr w14:paraId="55F39C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12" w:type="dxa"/>
            <w:vAlign w:val="center"/>
          </w:tcPr>
          <w:p w14:paraId="0183987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应用索引层</w:t>
            </w:r>
          </w:p>
        </w:tc>
        <w:tc>
          <w:tcPr>
            <w:tcW w:w="2412" w:type="dxa"/>
            <w:vAlign w:val="center"/>
          </w:tcPr>
          <w:p w14:paraId="644C649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application_index</w:t>
            </w:r>
          </w:p>
        </w:tc>
        <w:tc>
          <w:tcPr>
            <w:tcW w:w="2412" w:type="dxa"/>
            <w:vAlign w:val="center"/>
          </w:tcPr>
          <w:p w14:paraId="36D9C3B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推荐例题、方法和题型</w:t>
            </w:r>
          </w:p>
        </w:tc>
        <w:tc>
          <w:tcPr>
            <w:tcW w:w="2412" w:type="dxa"/>
            <w:vAlign w:val="center"/>
          </w:tcPr>
          <w:p w14:paraId="70E9EA8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应用关系</w:t>
            </w:r>
          </w:p>
        </w:tc>
      </w:tr>
    </w:tbl>
    <w:p w14:paraId="42DB9D52"/>
    <w:p w14:paraId="2FA25AB4">
      <w:pPr>
        <w:jc w:val="center"/>
      </w:pPr>
      <w:r>
        <w:drawing>
          <wp:inline distT="0" distB="0" distL="114300" distR="114300">
            <wp:extent cx="5989320" cy="3668395"/>
            <wp:effectExtent l="0" t="0" r="1143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668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C0C81">
      <w:pPr>
        <w:jc w:val="center"/>
      </w:pPr>
      <w:r>
        <w:rPr>
          <w:rFonts w:ascii="宋体" w:hAnsi="宋体" w:eastAsia="宋体"/>
          <w:i/>
          <w:sz w:val="20"/>
        </w:rPr>
        <w:t>图5 三层关系结构</w:t>
      </w:r>
    </w:p>
    <w:p w14:paraId="275EB700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主导航图采用相对严格的准入标准，以保证学习路径可读、可解释；证明追踪层用于保留局部推导信息；应用索引层用于支撑例题、方法和题型推荐。三层之间既相互关联，又在用途上保持区分。</w:t>
      </w:r>
    </w:p>
    <w:p w14:paraId="1F371864">
      <w:pPr>
        <w:pStyle w:val="4"/>
      </w:pPr>
      <w:r>
        <w:rPr>
          <w:rFonts w:ascii="黑体" w:hAnsi="黑体" w:eastAsia="黑体"/>
          <w:b/>
          <w:i w:val="0"/>
          <w:sz w:val="26"/>
        </w:rPr>
        <w:t>5. 前置关系采用强标准</w:t>
      </w:r>
    </w:p>
    <w:p w14:paraId="27A29830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前置关系仅表示“理解目标知识点所必需的直接前置知识”。以下情况不自动构成前置关系：</w:t>
      </w:r>
    </w:p>
    <w:p w14:paraId="6483F1F4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A 仅在教材中早于 B 出现。</w:t>
      </w:r>
    </w:p>
    <w:p w14:paraId="5B60CD70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A 与 B 在同一节中并列出现。</w:t>
      </w:r>
    </w:p>
    <w:p w14:paraId="03730344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A 只是 B 的证明中使用过的工具。</w:t>
      </w:r>
    </w:p>
    <w:p w14:paraId="1CEA5A4F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A 与 B 主题相关，但不是理解 B 的必要条件。</w:t>
      </w:r>
    </w:p>
    <w:p w14:paraId="4C879934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若上述关系具有保留价值，可优先放入证明追踪层或应用索引层，而不直接进入主导航图。该设计旨在避免学习路径过密，保证路径推荐和缺漏诊断的解释性。</w:t>
      </w:r>
    </w:p>
    <w:p w14:paraId="4FE08C6B">
      <w:pPr>
        <w:pStyle w:val="3"/>
      </w:pPr>
      <w:r>
        <w:rPr>
          <w:rFonts w:ascii="黑体" w:hAnsi="黑体" w:eastAsia="黑体"/>
          <w:b/>
          <w:i w:val="0"/>
          <w:sz w:val="30"/>
        </w:rPr>
        <w:t>六、当前验证情况与需要注意的问题</w:t>
      </w:r>
    </w:p>
    <w:p w14:paraId="4DED4B05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当前已基于《高等代数》教材的局部章节进行初步验证，并导入本地 Neo4j 进行可视化检查。正文中暂不列出具体数量统计；如老师需要，可另行提供内部实验记录。</w:t>
      </w:r>
    </w:p>
    <w:p w14:paraId="511E8A79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目前已经重点检查了以下方面：</w:t>
      </w:r>
    </w:p>
    <w:p w14:paraId="03AB78C7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是否能够区分教材正文、典型例题和习题，并采用不同抽取策略。</w:t>
      </w:r>
    </w:p>
    <w:p w14:paraId="6A1255C5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是否能够将“定理1”“公式2”等编号保留为来源标签，而非作为正式知识点名称。</w:t>
      </w:r>
    </w:p>
    <w:p w14:paraId="377F7375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是否能够分别查看主导航图、证明追踪层和应用索引层。</w:t>
      </w:r>
    </w:p>
    <w:p w14:paraId="35D6929A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是否能够利用主导航图观察学习路径和前置知识。</w:t>
      </w:r>
    </w:p>
    <w:p w14:paraId="4D70EBE6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是否能够在应用索引层中查看知识点、方法和题型之间的关联。</w:t>
      </w:r>
    </w:p>
    <w:p w14:paraId="0E4926F6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是否能够将不确定样本提交人工复核，减少自动抽取结果中的不稳定项。</w:t>
      </w:r>
    </w:p>
    <w:p w14:paraId="5848CEF4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当前仍有一些地方需要继续讨论和完善：</w:t>
      </w:r>
    </w:p>
    <w:p w14:paraId="05F64B09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同义合并策略较为保守，疑似同义、上下位和粒度重叠问题仍依赖人工复核。</w:t>
      </w:r>
    </w:p>
    <w:p w14:paraId="7F715897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典型例题中的方法和题型具有应用价值，但也存在误抽风险，需要进一步完善准入标准。</w:t>
      </w:r>
    </w:p>
    <w:p w14:paraId="51029574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证明追踪层可能出现粒度偏细的问题，需要进一步判断哪些证明依赖具有保留价值。</w:t>
      </w:r>
    </w:p>
    <w:p w14:paraId="36FBDE84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应用索引层需要在更多章节上验证覆盖度和稳定性。</w:t>
      </w:r>
    </w:p>
    <w:p w14:paraId="36F8367E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主导航图采用强前置标准，有利于保持路径简明，但也可能遗漏部分弱关联知识。</w:t>
      </w:r>
    </w:p>
    <w:p w14:paraId="259BA351">
      <w:pPr>
        <w:pStyle w:val="3"/>
      </w:pPr>
      <w:r>
        <w:rPr>
          <w:rFonts w:ascii="黑体" w:hAnsi="黑体" w:eastAsia="黑体"/>
          <w:b/>
          <w:i w:val="0"/>
          <w:sz w:val="30"/>
        </w:rPr>
        <w:t>七、应用场域</w:t>
      </w:r>
    </w:p>
    <w:p w14:paraId="52F7F90A">
      <w:pPr>
        <w:pStyle w:val="4"/>
      </w:pPr>
      <w:r>
        <w:rPr>
          <w:rFonts w:ascii="黑体" w:hAnsi="黑体" w:eastAsia="黑体"/>
          <w:b/>
          <w:i w:val="0"/>
          <w:sz w:val="26"/>
        </w:rPr>
        <w:t>1. 知识缺漏诊断</w:t>
      </w:r>
    </w:p>
    <w:p w14:paraId="7F1B8750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当学生在某道题上出现困难时，系统可先识别题目涉及的目标知识点或题型，再沿主导航图反向追溯必要前置知识，从而辅助判断学生可能缺失的知识环节。</w:t>
      </w:r>
    </w:p>
    <w:p w14:paraId="3186F3D6">
      <w:pPr>
        <w:jc w:val="center"/>
      </w:pPr>
      <w:r>
        <w:drawing>
          <wp:inline distT="0" distB="0" distL="114300" distR="114300">
            <wp:extent cx="5989320" cy="1946275"/>
            <wp:effectExtent l="0" t="0" r="11430" b="158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946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9FD57">
      <w:pPr>
        <w:jc w:val="center"/>
      </w:pPr>
      <w:r>
        <w:rPr>
          <w:rFonts w:ascii="宋体" w:hAnsi="宋体" w:eastAsia="宋体"/>
          <w:i/>
          <w:sz w:val="20"/>
        </w:rPr>
        <w:t>图6 知识缺漏诊断流程</w:t>
      </w:r>
    </w:p>
    <w:p w14:paraId="75E8E264">
      <w:pPr>
        <w:pStyle w:val="4"/>
      </w:pPr>
      <w:r>
        <w:rPr>
          <w:rFonts w:ascii="黑体" w:hAnsi="黑体" w:eastAsia="黑体"/>
          <w:b/>
          <w:i w:val="0"/>
          <w:sz w:val="26"/>
        </w:rPr>
        <w:t>2. 学习路径生成</w:t>
      </w:r>
    </w:p>
    <w:p w14:paraId="5F30A52F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系统可结合教材章节顺序和主导航图中的前置关系，为某一章节、某一知识点或某一学习目标生成学习路径。主导航图采用较严格标准，适合作为默认路径骨架。</w:t>
      </w:r>
    </w:p>
    <w:p w14:paraId="4571ACB5">
      <w:pPr>
        <w:pStyle w:val="4"/>
      </w:pPr>
      <w:r>
        <w:rPr>
          <w:rFonts w:ascii="黑体" w:hAnsi="黑体" w:eastAsia="黑体"/>
          <w:b/>
          <w:i w:val="0"/>
          <w:sz w:val="26"/>
        </w:rPr>
        <w:t>3. 例题、方法和题型推荐</w:t>
      </w:r>
    </w:p>
    <w:p w14:paraId="35324D39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应用索引层可支持以下问题：</w:t>
      </w:r>
    </w:p>
    <w:p w14:paraId="50B77B95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学习某一知识点后，适合练习哪些题型？</w:t>
      </w:r>
    </w:p>
    <w:p w14:paraId="6BBB7658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某类题型通常使用哪些方法？</w:t>
      </w:r>
    </w:p>
    <w:p w14:paraId="6541C64E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某一定理或公式在教材例题中如何被应用？</w:t>
      </w:r>
    </w:p>
    <w:p w14:paraId="755FB679">
      <w:pPr>
        <w:jc w:val="center"/>
      </w:pPr>
      <w:r>
        <w:drawing>
          <wp:inline distT="0" distB="0" distL="114300" distR="114300">
            <wp:extent cx="5989320" cy="2235835"/>
            <wp:effectExtent l="0" t="0" r="11430" b="1206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236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D03A2">
      <w:pPr>
        <w:jc w:val="center"/>
      </w:pPr>
      <w:r>
        <w:rPr>
          <w:rFonts w:ascii="宋体" w:hAnsi="宋体" w:eastAsia="宋体"/>
          <w:i/>
          <w:sz w:val="20"/>
        </w:rPr>
        <w:t>图7 应用索引层推荐逻辑</w:t>
      </w:r>
    </w:p>
    <w:p w14:paraId="7D34330A">
      <w:pPr>
        <w:pStyle w:val="4"/>
      </w:pPr>
      <w:r>
        <w:rPr>
          <w:rFonts w:ascii="黑体" w:hAnsi="黑体" w:eastAsia="黑体"/>
          <w:b/>
          <w:i w:val="0"/>
          <w:sz w:val="26"/>
        </w:rPr>
        <w:t>4. 证明解释</w:t>
      </w:r>
    </w:p>
    <w:p w14:paraId="0054B5DE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证明追踪层用于解释定理、公式或重要结论的来源，可辅助回答：</w:t>
      </w:r>
    </w:p>
    <w:p w14:paraId="001DBC9F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该定理由哪些已有结论推出？</w:t>
      </w:r>
    </w:p>
    <w:p w14:paraId="4EA584F5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证明过程中依赖了哪些性质、公式或方法？</w:t>
      </w:r>
    </w:p>
    <w:p w14:paraId="64982157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某个公式在教材中如何得到？</w:t>
      </w:r>
    </w:p>
    <w:p w14:paraId="1727E1E2">
      <w:pPr>
        <w:pStyle w:val="3"/>
        <w:spacing w:after="120" w:line="300" w:lineRule="auto"/>
      </w:pPr>
      <w:r>
        <w:rPr>
          <w:rFonts w:ascii="黑体" w:hAnsi="黑体" w:eastAsia="黑体"/>
          <w:b/>
          <w:sz w:val="30"/>
        </w:rPr>
        <w:t>八、想请老师重点帮忙看的问题</w:t>
      </w:r>
    </w:p>
    <w:p w14:paraId="2F0C8A42">
      <w:pPr>
        <w:spacing w:after="120" w:line="300" w:lineRule="auto"/>
      </w:pPr>
      <w:r>
        <w:rPr>
          <w:rFonts w:ascii="宋体" w:hAnsi="宋体" w:eastAsia="宋体"/>
          <w:b w:val="0"/>
          <w:sz w:val="22"/>
        </w:rPr>
        <w:t>这份材料最想请老师帮忙看的，是教材知识图谱的抽取规则是否合理、边界是否清楚、后续是否适合继续扩大到更多章节。下面的问题列得比较细，老师可以先挑重点看，后面也方便线下讨论。</w:t>
      </w:r>
    </w:p>
    <w:p w14:paraId="7BD5C4E9">
      <w:pPr>
        <w:pStyle w:val="4"/>
        <w:spacing w:after="120" w:line="300" w:lineRule="auto"/>
      </w:pPr>
      <w:r>
        <w:rPr>
          <w:rFonts w:ascii="黑体" w:hAnsi="黑体" w:eastAsia="黑体"/>
          <w:b/>
          <w:sz w:val="26"/>
        </w:rPr>
        <w:t>1. 关于知识点抽取粒度</w:t>
      </w:r>
    </w:p>
    <w:p w14:paraId="5E84FCBF">
      <w:pPr>
        <w:spacing w:after="120" w:line="300" w:lineRule="auto"/>
      </w:pPr>
      <w:r>
        <w:rPr>
          <w:rFonts w:ascii="宋体" w:hAnsi="宋体" w:eastAsia="宋体"/>
          <w:b w:val="0"/>
          <w:sz w:val="22"/>
        </w:rPr>
        <w:t>1. 当前把概念、定义、定理、公式、方法、题型都作为可能的知识点类型，这个范围是否合适？</w:t>
      </w:r>
    </w:p>
    <w:p w14:paraId="5B198402">
      <w:pPr>
        <w:spacing w:after="120" w:line="300" w:lineRule="auto"/>
      </w:pPr>
      <w:r>
        <w:rPr>
          <w:rFonts w:ascii="宋体" w:hAnsi="宋体" w:eastAsia="宋体"/>
          <w:b w:val="0"/>
          <w:sz w:val="22"/>
        </w:rPr>
        <w:t>2. 编号定理不直接命名为“定理1”，而是生成语义名称，同时保留编号作为来源标签，这样处理是否合理？</w:t>
      </w:r>
    </w:p>
    <w:p w14:paraId="04D65F2A">
      <w:pPr>
        <w:spacing w:after="120" w:line="300" w:lineRule="auto"/>
      </w:pPr>
      <w:r>
        <w:rPr>
          <w:rFonts w:ascii="宋体" w:hAnsi="宋体" w:eastAsia="宋体"/>
          <w:b w:val="0"/>
          <w:sz w:val="22"/>
        </w:rPr>
        <w:t>3. 对于教材中没有通用名称、但内容比较重要的定理或结论，是否应该抽取为知识点？如果抽取，语义命名应遵循什么原则？</w:t>
      </w:r>
    </w:p>
    <w:p w14:paraId="160A2057">
      <w:pPr>
        <w:spacing w:after="120" w:line="300" w:lineRule="auto"/>
      </w:pPr>
      <w:r>
        <w:rPr>
          <w:rFonts w:ascii="宋体" w:hAnsi="宋体" w:eastAsia="宋体"/>
          <w:b w:val="0"/>
          <w:sz w:val="22"/>
        </w:rPr>
        <w:t>4. 当前知识点粒度是否可能过细？哪些内容更适合作为教材原文依据，而不应成为独立知识点？</w:t>
      </w:r>
    </w:p>
    <w:p w14:paraId="493EA467">
      <w:pPr>
        <w:pStyle w:val="4"/>
        <w:spacing w:after="120" w:line="300" w:lineRule="auto"/>
      </w:pPr>
      <w:r>
        <w:rPr>
          <w:rFonts w:ascii="黑体" w:hAnsi="黑体" w:eastAsia="黑体"/>
          <w:b/>
          <w:sz w:val="26"/>
        </w:rPr>
        <w:t>2. 关于属性值与独立知识点边界</w:t>
      </w:r>
    </w:p>
    <w:p w14:paraId="3FD40E9A">
      <w:pPr>
        <w:spacing w:after="120" w:line="300" w:lineRule="auto"/>
      </w:pPr>
      <w:r>
        <w:rPr>
          <w:rFonts w:ascii="宋体" w:hAnsi="宋体" w:eastAsia="宋体"/>
          <w:b w:val="0"/>
          <w:sz w:val="22"/>
        </w:rPr>
        <w:t>1. “唯一解”“无解”“零解”等状态默认作为属性值，而不是直接抽为概念知识点，这个判断是否合理？</w:t>
      </w:r>
    </w:p>
    <w:p w14:paraId="4B18E071">
      <w:pPr>
        <w:spacing w:after="120" w:line="300" w:lineRule="auto"/>
      </w:pPr>
      <w:r>
        <w:rPr>
          <w:rFonts w:ascii="宋体" w:hAnsi="宋体" w:eastAsia="宋体"/>
          <w:b w:val="0"/>
          <w:sz w:val="22"/>
        </w:rPr>
        <w:t>2. 如果某个状态在教材中有单独定义、判别准则、后续专题讨论，才升级为独立知识点，这个升级条件是否还需要补充或收紧？</w:t>
      </w:r>
    </w:p>
    <w:p w14:paraId="0EDBA8A3">
      <w:pPr>
        <w:spacing w:after="120" w:line="300" w:lineRule="auto"/>
      </w:pPr>
      <w:r>
        <w:rPr>
          <w:rFonts w:ascii="宋体" w:hAnsi="宋体" w:eastAsia="宋体"/>
          <w:b w:val="0"/>
          <w:sz w:val="22"/>
        </w:rPr>
        <w:t>3. 在线性代数/高等代数教材中，是否还有类似“属性值容易被误抽为概念”的典型情况需要提前规定？</w:t>
      </w:r>
    </w:p>
    <w:p w14:paraId="19E9B408">
      <w:pPr>
        <w:pStyle w:val="4"/>
        <w:spacing w:after="120" w:line="300" w:lineRule="auto"/>
      </w:pPr>
      <w:r>
        <w:rPr>
          <w:rFonts w:ascii="黑体" w:hAnsi="黑体" w:eastAsia="黑体"/>
          <w:b/>
          <w:sz w:val="26"/>
        </w:rPr>
        <w:t>3. 关于关系类型与分层</w:t>
      </w:r>
    </w:p>
    <w:p w14:paraId="328483F4">
      <w:pPr>
        <w:spacing w:after="120" w:line="300" w:lineRule="auto"/>
      </w:pPr>
      <w:r>
        <w:rPr>
          <w:rFonts w:ascii="宋体" w:hAnsi="宋体" w:eastAsia="宋体"/>
          <w:b w:val="0"/>
          <w:sz w:val="22"/>
        </w:rPr>
        <w:t>1. 将关系分为主导航图、证明追踪层、应用索引层三层，这样是否有助于区分学习路径、证明解释和例题推荐？</w:t>
      </w:r>
    </w:p>
    <w:p w14:paraId="2CEE3CAE">
      <w:pPr>
        <w:spacing w:after="120" w:line="300" w:lineRule="auto"/>
      </w:pPr>
      <w:r>
        <w:rPr>
          <w:rFonts w:ascii="宋体" w:hAnsi="宋体" w:eastAsia="宋体"/>
          <w:b w:val="0"/>
          <w:sz w:val="22"/>
        </w:rPr>
        <w:t>2. 主导航图只保留较强的前置关系，是否会过于保守？如果用于学生学习路径生成，哪些弱关联也应该保留？</w:t>
      </w:r>
    </w:p>
    <w:p w14:paraId="243357B9">
      <w:pPr>
        <w:spacing w:after="120" w:line="300" w:lineRule="auto"/>
      </w:pPr>
      <w:r>
        <w:rPr>
          <w:rFonts w:ascii="宋体" w:hAnsi="宋体" w:eastAsia="宋体"/>
          <w:b w:val="0"/>
          <w:sz w:val="22"/>
        </w:rPr>
        <w:t>3. 证明中用到的工具性结论，应该放入证明追踪层，还是也应进入主导航图？</w:t>
      </w:r>
    </w:p>
    <w:p w14:paraId="3D6F022F">
      <w:pPr>
        <w:spacing w:after="120" w:line="300" w:lineRule="auto"/>
      </w:pPr>
      <w:r>
        <w:rPr>
          <w:rFonts w:ascii="宋体" w:hAnsi="宋体" w:eastAsia="宋体"/>
          <w:b w:val="0"/>
          <w:sz w:val="22"/>
        </w:rPr>
        <w:t>4. 推导关系 A -&gt; B 表示“B 由 A 推出”，这个方向约定是否符合老师对数学知识关系的理解？</w:t>
      </w:r>
    </w:p>
    <w:p w14:paraId="2582FC1B">
      <w:pPr>
        <w:spacing w:after="120" w:line="300" w:lineRule="auto"/>
      </w:pPr>
      <w:r>
        <w:rPr>
          <w:rFonts w:ascii="宋体" w:hAnsi="宋体" w:eastAsia="宋体"/>
          <w:b w:val="0"/>
          <w:sz w:val="22"/>
        </w:rPr>
        <w:t>5. 典型例题只进入应用索引层，不进入主导航图，这样是否会丢失重要的学习线索？</w:t>
      </w:r>
    </w:p>
    <w:p w14:paraId="36341F68">
      <w:pPr>
        <w:pStyle w:val="4"/>
        <w:spacing w:after="120" w:line="300" w:lineRule="auto"/>
      </w:pPr>
      <w:r>
        <w:rPr>
          <w:rFonts w:ascii="黑体" w:hAnsi="黑体" w:eastAsia="黑体"/>
          <w:b/>
          <w:sz w:val="26"/>
        </w:rPr>
        <w:t>4. 关于后续扩展与评价</w:t>
      </w:r>
    </w:p>
    <w:p w14:paraId="7E495E0A">
      <w:pPr>
        <w:spacing w:after="120" w:line="300" w:lineRule="auto"/>
      </w:pPr>
      <w:r>
        <w:rPr>
          <w:rFonts w:ascii="宋体" w:hAnsi="宋体" w:eastAsia="宋体"/>
          <w:b w:val="0"/>
          <w:sz w:val="22"/>
        </w:rPr>
        <w:t>1. 如果继续扩展到更多章节，应优先检查哪些问题：知识点粒度、关系方向、前置关系标准，还是例题方法抽取？</w:t>
      </w:r>
    </w:p>
    <w:p w14:paraId="03DF754E">
      <w:pPr>
        <w:spacing w:after="120" w:line="300" w:lineRule="auto"/>
      </w:pPr>
      <w:r>
        <w:rPr>
          <w:rFonts w:ascii="宋体" w:hAnsi="宋体" w:eastAsia="宋体"/>
          <w:b w:val="0"/>
          <w:sz w:val="22"/>
        </w:rPr>
        <w:t>2. 后续评价应如何设计？例如抽取结果的人工标注一致性、学习路径可用性、诊断准确率、例题推荐命中率等，哪些指标更值得优先做？</w:t>
      </w:r>
    </w:p>
    <w:p w14:paraId="02A183F1">
      <w:pPr>
        <w:spacing w:after="120" w:line="300" w:lineRule="auto"/>
      </w:pPr>
      <w:r>
        <w:rPr>
          <w:rFonts w:ascii="宋体" w:hAnsi="宋体" w:eastAsia="宋体"/>
          <w:b w:val="0"/>
          <w:sz w:val="22"/>
        </w:rPr>
        <w:t>3. 如果后续扩展到多本教材，是否应先分别构建单本教材图谱，再进行跨教材统一归并？</w:t>
      </w:r>
    </w:p>
    <w:p w14:paraId="7615313E">
      <w:pPr>
        <w:pStyle w:val="3"/>
        <w:spacing w:after="120" w:line="300" w:lineRule="auto"/>
      </w:pPr>
      <w:r>
        <w:rPr>
          <w:rFonts w:ascii="黑体" w:hAnsi="黑体" w:eastAsia="黑体"/>
          <w:b/>
          <w:sz w:val="30"/>
        </w:rPr>
        <w:t>九、后续计划</w:t>
      </w:r>
    </w:p>
    <w:p w14:paraId="057ACEE5">
      <w:pPr>
        <w:spacing w:after="120" w:line="300" w:lineRule="auto"/>
      </w:pPr>
      <w:r>
        <w:rPr>
          <w:rFonts w:ascii="宋体" w:hAnsi="宋体" w:eastAsia="宋体"/>
          <w:b w:val="0"/>
          <w:sz w:val="22"/>
        </w:rPr>
        <w:t>下一步计划先根据老师的建议，集中修改知识点粒度、属性值边界、关系分层和人工复核规则。规则相对稳定后，再扩展到更多章节，并继续观察主导航图、证明追踪层和应用索引层是否能分别支撑学习路径、证明解释和例题推荐。</w:t>
      </w:r>
    </w:p>
    <w:sectPr>
      <w:pgSz w:w="12240" w:h="15840"/>
      <w:pgMar w:top="1181" w:right="1296" w:bottom="1181" w:left="129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Anonymou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nonymous">
    <w:panose1 w:val="02000409000000000000"/>
    <w:charset w:val="00"/>
    <w:family w:val="auto"/>
    <w:pitch w:val="default"/>
    <w:sig w:usb0="80000007" w:usb1="00000000" w:usb2="00000000" w:usb3="00000000" w:csb0="20000111" w:csb1="4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CC7601"/>
    <w:rsid w:val="11FE24B9"/>
    <w:rsid w:val="2AA52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000000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00000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00000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000000"/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000000"/>
      <w:sz w:val="20"/>
      <w:szCs w:val="20"/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000000"/>
      <w:sz w:val="20"/>
      <w:szCs w:val="20"/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  <w:rPr>
      <w:rFonts w:ascii="宋体" w:hAnsi="宋体" w:eastAsia="宋体"/>
      <w:sz w:val="22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000000"/>
      <w:sz w:val="18"/>
      <w:szCs w:val="18"/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ascii="宋体" w:hAnsi="宋体" w:eastAsia="宋体"/>
      <w:sz w:val="22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000000"/>
      <w:spacing w:val="15"/>
      <w:sz w:val="24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000000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spacing w:val="5"/>
      <w:kern w:val="28"/>
      <w:sz w:val="36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FFFFFF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FFFFFF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FFFFFF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FFFFFF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FFFFFF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FFFFFF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FFFFFF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FFFFFF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FFFFFF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FFFFFF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FFFFFF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FFFFFF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FFFFFF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FFFFFF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000000" w:sz="18" w:space="0"/>
        <w:bottom w:val="single" w:color="000000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000000" w:sz="18" w:space="0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000000" w:sz="6" w:space="0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color="000000" w:sz="18" w:space="0"/>
          <w:left w:val="nil"/>
          <w:bottom w:val="single" w:color="000000" w:sz="18" w:space="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color="000000" w:sz="18" w:space="0"/>
          <w:left w:val="nil"/>
          <w:bottom w:val="single" w:color="000000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000000" w:sz="18" w:space="0"/>
        <w:bottom w:val="single" w:color="000000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000000" w:sz="18" w:space="0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000000" w:sz="6" w:space="0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color="000000" w:sz="18" w:space="0"/>
          <w:left w:val="nil"/>
          <w:bottom w:val="single" w:color="000000" w:sz="18" w:space="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color="000000" w:sz="18" w:space="0"/>
          <w:left w:val="nil"/>
          <w:bottom w:val="single" w:color="000000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000000" w:sz="18" w:space="0"/>
        <w:bottom w:val="single" w:color="000000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000000" w:sz="18" w:space="0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000000" w:sz="6" w:space="0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color="000000" w:sz="18" w:space="0"/>
          <w:left w:val="nil"/>
          <w:bottom w:val="single" w:color="000000" w:sz="18" w:space="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color="000000" w:sz="18" w:space="0"/>
          <w:left w:val="nil"/>
          <w:bottom w:val="single" w:color="000000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000000" w:sz="18" w:space="0"/>
        <w:bottom w:val="single" w:color="000000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000000" w:sz="18" w:space="0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000000" w:sz="6" w:space="0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color="000000" w:sz="18" w:space="0"/>
          <w:left w:val="nil"/>
          <w:bottom w:val="single" w:color="000000" w:sz="18" w:space="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color="000000" w:sz="18" w:space="0"/>
          <w:left w:val="nil"/>
          <w:bottom w:val="single" w:color="000000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000000" w:sz="18" w:space="0"/>
        <w:bottom w:val="single" w:color="000000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000000" w:sz="18" w:space="0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000000" w:sz="6" w:space="0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color="000000" w:sz="18" w:space="0"/>
          <w:left w:val="nil"/>
          <w:bottom w:val="single" w:color="000000" w:sz="18" w:space="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color="000000" w:sz="18" w:space="0"/>
          <w:left w:val="nil"/>
          <w:bottom w:val="single" w:color="000000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000000" w:sz="18" w:space="0"/>
        <w:bottom w:val="single" w:color="000000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000000" w:sz="18" w:space="0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000000" w:sz="6" w:space="0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color="000000" w:sz="18" w:space="0"/>
          <w:left w:val="nil"/>
          <w:bottom w:val="single" w:color="000000" w:sz="18" w:space="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color="000000" w:sz="18" w:space="0"/>
          <w:left w:val="nil"/>
          <w:bottom w:val="single" w:color="000000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000000" w:sz="18" w:space="0"/>
        <w:bottom w:val="single" w:color="000000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000000" w:sz="18" w:space="0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000000" w:sz="6" w:space="0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color="000000" w:sz="18" w:space="0"/>
          <w:left w:val="nil"/>
          <w:bottom w:val="single" w:color="000000" w:sz="18" w:space="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color="000000" w:sz="18" w:space="0"/>
          <w:left w:val="nil"/>
          <w:bottom w:val="single" w:color="000000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sz="8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sz="8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sz="8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sz="8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sz="8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sz="8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sz="8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00000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00000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00000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00000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00000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00000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00000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2F2F2"/>
      </w:tcPr>
    </w:tblStylePr>
    <w:tblStylePr w:type="nwCell">
      <w:tblPr/>
      <w:tcPr>
        <w:shd w:val="clear" w:color="auto" w:fill="FFFFFF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2F2F2"/>
      </w:tcPr>
    </w:tblStylePr>
    <w:tblStylePr w:type="nwCell">
      <w:tblPr/>
      <w:tcPr>
        <w:shd w:val="clear" w:color="auto" w:fill="FFFFFF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2F2F2"/>
      </w:tcPr>
    </w:tblStylePr>
    <w:tblStylePr w:type="nwCell">
      <w:tblPr/>
      <w:tcPr>
        <w:shd w:val="clear" w:color="auto" w:fill="FFFFFF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6" w:space="0"/>
        <w:insideV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color="000000" w:sz="8" w:space="0"/>
          <w:left w:val="single" w:color="000000" w:sz="8" w:space="0"/>
          <w:bottom w:val="single" w:color="000000" w:sz="24" w:space="0"/>
          <w:right w:val="single" w:color="000000" w:sz="8" w:space="0"/>
          <w:insideH w:val="nil"/>
          <w:insideV w:val="single" w:sz="8" w:space="0"/>
        </w:tcBorders>
        <w:shd w:val="clear" w:color="auto" w:fill="F2F2F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color="000000" w:sz="24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  <w:shd w:val="clear" w:color="auto" w:fill="F2F2F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color="000000" w:sz="8" w:space="0"/>
          <w:right w:val="single" w:color="000000" w:sz="24" w:space="0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sz="8" w:space="0"/>
          <w:insideV w:val="single" w:sz="8" w:space="0"/>
        </w:tcBorders>
        <w:shd w:val="clear" w:color="auto" w:fill="F2F2F2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6" w:space="0"/>
        <w:insideV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color="000000" w:sz="8" w:space="0"/>
          <w:left w:val="single" w:color="000000" w:sz="8" w:space="0"/>
          <w:bottom w:val="single" w:color="000000" w:sz="24" w:space="0"/>
          <w:right w:val="single" w:color="000000" w:sz="8" w:space="0"/>
          <w:insideH w:val="nil"/>
          <w:insideV w:val="single" w:sz="8" w:space="0"/>
        </w:tcBorders>
        <w:shd w:val="clear" w:color="auto" w:fill="F2F2F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color="000000" w:sz="24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  <w:shd w:val="clear" w:color="auto" w:fill="F2F2F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color="000000" w:sz="8" w:space="0"/>
          <w:right w:val="single" w:color="000000" w:sz="24" w:space="0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sz="8" w:space="0"/>
          <w:insideV w:val="single" w:sz="8" w:space="0"/>
        </w:tcBorders>
        <w:shd w:val="clear" w:color="auto" w:fill="FFFFF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6" w:space="0"/>
        <w:insideV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color="000000" w:sz="8" w:space="0"/>
          <w:left w:val="single" w:color="000000" w:sz="8" w:space="0"/>
          <w:bottom w:val="single" w:color="000000" w:sz="24" w:space="0"/>
          <w:right w:val="single" w:color="000000" w:sz="8" w:space="0"/>
          <w:insideH w:val="nil"/>
          <w:insideV w:val="single" w:sz="8" w:space="0"/>
        </w:tcBorders>
        <w:shd w:val="clear" w:color="auto" w:fill="F2F2F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color="000000" w:sz="24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  <w:shd w:val="clear" w:color="auto" w:fill="F2F2F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color="000000" w:sz="8" w:space="0"/>
          <w:right w:val="single" w:color="000000" w:sz="24" w:space="0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sz="8" w:space="0"/>
          <w:insideV w:val="single" w:sz="8" w:space="0"/>
        </w:tcBorders>
        <w:shd w:val="clear" w:color="auto" w:fill="FFFFF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6" w:space="0"/>
        <w:insideV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color="000000" w:sz="8" w:space="0"/>
          <w:left w:val="single" w:color="000000" w:sz="8" w:space="0"/>
          <w:bottom w:val="single" w:color="000000" w:sz="24" w:space="0"/>
          <w:right w:val="single" w:color="000000" w:sz="8" w:space="0"/>
          <w:insideH w:val="nil"/>
          <w:insideV w:val="single" w:sz="8" w:space="0"/>
        </w:tcBorders>
        <w:shd w:val="clear" w:color="auto" w:fill="F2F2F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color="000000" w:sz="24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  <w:shd w:val="clear" w:color="auto" w:fill="F2F2F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color="000000" w:sz="8" w:space="0"/>
          <w:right w:val="single" w:color="000000" w:sz="24" w:space="0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sz="8" w:space="0"/>
          <w:insideV w:val="single" w:sz="8" w:space="0"/>
        </w:tcBorders>
        <w:shd w:val="clear" w:color="auto" w:fill="FFFFF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6" w:space="0"/>
        <w:insideV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color="000000" w:sz="8" w:space="0"/>
          <w:left w:val="single" w:color="000000" w:sz="8" w:space="0"/>
          <w:bottom w:val="single" w:color="000000" w:sz="24" w:space="0"/>
          <w:right w:val="single" w:color="000000" w:sz="8" w:space="0"/>
          <w:insideH w:val="nil"/>
          <w:insideV w:val="single" w:sz="8" w:space="0"/>
        </w:tcBorders>
        <w:shd w:val="clear" w:color="auto" w:fill="F2F2F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color="000000" w:sz="24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  <w:shd w:val="clear" w:color="auto" w:fill="F2F2F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color="000000" w:sz="8" w:space="0"/>
          <w:right w:val="single" w:color="000000" w:sz="24" w:space="0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sz="8" w:space="0"/>
          <w:insideV w:val="single" w:sz="8" w:space="0"/>
        </w:tcBorders>
        <w:shd w:val="clear" w:color="auto" w:fill="FFFFF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6" w:space="0"/>
        <w:insideV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color="000000" w:sz="8" w:space="0"/>
          <w:left w:val="single" w:color="000000" w:sz="8" w:space="0"/>
          <w:bottom w:val="single" w:color="000000" w:sz="24" w:space="0"/>
          <w:right w:val="single" w:color="000000" w:sz="8" w:space="0"/>
          <w:insideH w:val="nil"/>
          <w:insideV w:val="single" w:sz="8" w:space="0"/>
        </w:tcBorders>
        <w:shd w:val="clear" w:color="auto" w:fill="F2F2F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color="000000" w:sz="24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  <w:shd w:val="clear" w:color="auto" w:fill="F2F2F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color="000000" w:sz="8" w:space="0"/>
          <w:right w:val="single" w:color="000000" w:sz="24" w:space="0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sz="8" w:space="0"/>
          <w:insideV w:val="single" w:sz="8" w:space="0"/>
        </w:tcBorders>
        <w:shd w:val="clear" w:color="auto" w:fill="F2F2F2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6" w:space="0"/>
        <w:insideV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color="000000" w:sz="8" w:space="0"/>
          <w:left w:val="single" w:color="000000" w:sz="8" w:space="0"/>
          <w:bottom w:val="single" w:color="000000" w:sz="24" w:space="0"/>
          <w:right w:val="single" w:color="000000" w:sz="8" w:space="0"/>
          <w:insideH w:val="nil"/>
          <w:insideV w:val="single" w:sz="8" w:space="0"/>
        </w:tcBorders>
        <w:shd w:val="clear" w:color="auto" w:fill="F2F2F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color="000000" w:sz="24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  <w:shd w:val="clear" w:color="auto" w:fill="F2F2F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color="000000" w:sz="8" w:space="0"/>
          <w:right w:val="single" w:color="000000" w:sz="24" w:space="0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sz="8" w:space="0"/>
          <w:insideV w:val="single" w:sz="8" w:space="0"/>
        </w:tcBorders>
        <w:shd w:val="clear" w:color="auto" w:fill="F2F2F2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F2F2F2"/>
      </w:tcPr>
    </w:tblStylePr>
    <w:tblStylePr w:type="lastRow">
      <w:tblPr/>
      <w:tcPr>
        <w:tcBorders>
          <w:top w:val="single" w:color="000000" w:sz="18" w:space="0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8" w:space="0"/>
          <w:insideH w:val="nil"/>
          <w:insideV w:val="nil"/>
        </w:tcBorders>
        <w:shd w:val="clear" w:color="auto" w:fill="F2F2F2"/>
      </w:tcPr>
    </w:tblStylePr>
    <w:tblStylePr w:type="lastCol">
      <w:tblPr/>
      <w:tcPr>
        <w:tcBorders>
          <w:top w:val="nil"/>
          <w:left w:val="single" w:color="000000" w:sz="18" w:space="0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F2F2F2"/>
      </w:tcPr>
    </w:tblStylePr>
    <w:tblStylePr w:type="lastRow">
      <w:tblPr/>
      <w:tcPr>
        <w:tcBorders>
          <w:top w:val="single" w:color="000000" w:sz="18" w:space="0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8" w:space="0"/>
          <w:insideH w:val="nil"/>
          <w:insideV w:val="nil"/>
        </w:tcBorders>
        <w:shd w:val="clear" w:color="auto" w:fill="F2F2F2"/>
      </w:tcPr>
    </w:tblStylePr>
    <w:tblStylePr w:type="lastCol">
      <w:tblPr/>
      <w:tcPr>
        <w:tcBorders>
          <w:top w:val="nil"/>
          <w:left w:val="single" w:color="000000" w:sz="18" w:space="0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F2F2F2"/>
      </w:tcPr>
    </w:tblStylePr>
    <w:tblStylePr w:type="lastRow">
      <w:tblPr/>
      <w:tcPr>
        <w:tcBorders>
          <w:top w:val="single" w:color="000000" w:sz="18" w:space="0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8" w:space="0"/>
          <w:insideH w:val="nil"/>
          <w:insideV w:val="nil"/>
        </w:tcBorders>
        <w:shd w:val="clear" w:color="auto" w:fill="F2F2F2"/>
      </w:tcPr>
    </w:tblStylePr>
    <w:tblStylePr w:type="lastCol">
      <w:tblPr/>
      <w:tcPr>
        <w:tcBorders>
          <w:top w:val="nil"/>
          <w:left w:val="single" w:color="000000" w:sz="18" w:space="0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F2F2F2"/>
      </w:tcPr>
    </w:tblStylePr>
    <w:tblStylePr w:type="lastRow">
      <w:tblPr/>
      <w:tcPr>
        <w:tcBorders>
          <w:top w:val="single" w:color="000000" w:sz="18" w:space="0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8" w:space="0"/>
          <w:insideH w:val="nil"/>
          <w:insideV w:val="nil"/>
        </w:tcBorders>
        <w:shd w:val="clear" w:color="auto" w:fill="F2F2F2"/>
      </w:tcPr>
    </w:tblStylePr>
    <w:tblStylePr w:type="lastCol">
      <w:tblPr/>
      <w:tcPr>
        <w:tcBorders>
          <w:top w:val="nil"/>
          <w:left w:val="single" w:color="000000" w:sz="18" w:space="0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F2F2F2"/>
      </w:tcPr>
    </w:tblStylePr>
    <w:tblStylePr w:type="lastRow">
      <w:tblPr/>
      <w:tcPr>
        <w:tcBorders>
          <w:top w:val="single" w:color="000000" w:sz="18" w:space="0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8" w:space="0"/>
          <w:insideH w:val="nil"/>
          <w:insideV w:val="nil"/>
        </w:tcBorders>
        <w:shd w:val="clear" w:color="auto" w:fill="F2F2F2"/>
      </w:tcPr>
    </w:tblStylePr>
    <w:tblStylePr w:type="lastCol">
      <w:tblPr/>
      <w:tcPr>
        <w:tcBorders>
          <w:top w:val="nil"/>
          <w:left w:val="single" w:color="000000" w:sz="18" w:space="0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F2F2F2"/>
      </w:tcPr>
    </w:tblStylePr>
    <w:tblStylePr w:type="lastRow">
      <w:tblPr/>
      <w:tcPr>
        <w:tcBorders>
          <w:top w:val="single" w:color="000000" w:sz="18" w:space="0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8" w:space="0"/>
          <w:insideH w:val="nil"/>
          <w:insideV w:val="nil"/>
        </w:tcBorders>
        <w:shd w:val="clear" w:color="auto" w:fill="F2F2F2"/>
      </w:tcPr>
    </w:tblStylePr>
    <w:tblStylePr w:type="lastCol">
      <w:tblPr/>
      <w:tcPr>
        <w:tcBorders>
          <w:top w:val="nil"/>
          <w:left w:val="single" w:color="000000" w:sz="18" w:space="0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F2F2F2"/>
      </w:tcPr>
    </w:tblStylePr>
    <w:tblStylePr w:type="lastRow">
      <w:tblPr/>
      <w:tcPr>
        <w:tcBorders>
          <w:top w:val="single" w:color="000000" w:sz="18" w:space="0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8" w:space="0"/>
          <w:insideH w:val="nil"/>
          <w:insideV w:val="nil"/>
        </w:tcBorders>
        <w:shd w:val="clear" w:color="auto" w:fill="F2F2F2"/>
      </w:tcPr>
    </w:tblStylePr>
    <w:tblStylePr w:type="lastCol">
      <w:tblPr/>
      <w:tcPr>
        <w:tcBorders>
          <w:top w:val="nil"/>
          <w:left w:val="single" w:color="000000" w:sz="18" w:space="0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000000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6" w:space="0"/>
        </w:tcBorders>
        <w:shd w:val="clear" w:color="auto" w:fill="F2F2F2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F2F2F2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000000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6" w:space="0"/>
        </w:tcBorders>
        <w:shd w:val="clear" w:color="auto" w:fill="F2F2F2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F2F2F2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000000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6" w:space="0"/>
        </w:tcBorders>
        <w:shd w:val="clear" w:color="auto" w:fill="F2F2F2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F2F2F2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000000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6" w:space="0"/>
        </w:tcBorders>
        <w:shd w:val="clear" w:color="auto" w:fill="F2F2F2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F2F2F2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FFFF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000000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6" w:space="0"/>
        </w:tcBorders>
        <w:shd w:val="clear" w:color="auto" w:fill="F2F2F2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F2F2F2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000000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6" w:space="0"/>
        </w:tcBorders>
        <w:shd w:val="clear" w:color="auto" w:fill="F2F2F2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F2F2F2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000000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6" w:space="0"/>
        </w:tcBorders>
        <w:shd w:val="clear" w:color="auto" w:fill="F2F2F2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F2F2F2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color w:val="000000"/>
      </w:rPr>
      <w:tblPr/>
      <w:tcPr>
        <w:tcBorders>
          <w:bottom w:val="single" w:color="000000" w:sz="12" w:space="0"/>
        </w:tcBorders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2F2F2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color w:val="000000"/>
      </w:rPr>
      <w:tblPr/>
      <w:tcPr>
        <w:tcBorders>
          <w:bottom w:val="single" w:color="000000" w:sz="12" w:space="0"/>
        </w:tcBorders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2F2F2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color w:val="000000"/>
      </w:rPr>
      <w:tblPr/>
      <w:tcPr>
        <w:tcBorders>
          <w:bottom w:val="single" w:color="000000" w:sz="12" w:space="0"/>
        </w:tcBorders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2F2F2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color w:val="000000"/>
      </w:rPr>
      <w:tblPr/>
      <w:tcPr>
        <w:tcBorders>
          <w:bottom w:val="single" w:color="000000" w:sz="12" w:space="0"/>
        </w:tcBorders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2F2F2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color w:val="000000"/>
      </w:rPr>
      <w:tblPr/>
      <w:tcPr>
        <w:tcBorders>
          <w:bottom w:val="single" w:color="000000" w:sz="12" w:space="0"/>
        </w:tcBorders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2F2F2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color w:val="000000"/>
      </w:rPr>
      <w:tblPr/>
      <w:tcPr>
        <w:tcBorders>
          <w:bottom w:val="single" w:color="000000" w:sz="12" w:space="0"/>
        </w:tcBorders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2F2F2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color w:val="000000"/>
      </w:rPr>
      <w:tblPr/>
      <w:tcPr>
        <w:tcBorders>
          <w:bottom w:val="single" w:color="000000" w:sz="12" w:space="0"/>
        </w:tcBorders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2F2F2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shd w:val="clear" w:color="auto" w:fill="F2F2F2"/>
      </w:tcPr>
    </w:tblStylePr>
    <w:tblStylePr w:type="firstCol">
      <w:rPr>
        <w:color w:val="000000"/>
      </w:rPr>
      <w:tblPr/>
      <w:tcPr>
        <w:shd w:val="clear" w:color="auto" w:fill="F2F2F2"/>
      </w:tcPr>
    </w:tblStylePr>
    <w:tblStylePr w:type="lastCol">
      <w:rPr>
        <w:color w:val="000000"/>
      </w:rPr>
      <w:tblPr/>
      <w:tcPr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shd w:val="clear" w:color="auto" w:fill="F2F2F2"/>
      </w:tcPr>
    </w:tblStylePr>
    <w:tblStylePr w:type="firstCol">
      <w:rPr>
        <w:color w:val="000000"/>
      </w:rPr>
      <w:tblPr/>
      <w:tcPr>
        <w:shd w:val="clear" w:color="auto" w:fill="F2F2F2"/>
      </w:tcPr>
    </w:tblStylePr>
    <w:tblStylePr w:type="lastCol">
      <w:rPr>
        <w:color w:val="000000"/>
      </w:rPr>
      <w:tblPr/>
      <w:tcPr>
        <w:shd w:val="clear" w:color="auto" w:fill="F2F2F2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shd w:val="clear" w:color="auto" w:fill="F2F2F2"/>
      </w:tcPr>
    </w:tblStylePr>
    <w:tblStylePr w:type="firstCol">
      <w:rPr>
        <w:color w:val="000000"/>
      </w:rPr>
      <w:tblPr/>
      <w:tcPr>
        <w:shd w:val="clear" w:color="auto" w:fill="F2F2F2"/>
      </w:tcPr>
    </w:tblStylePr>
    <w:tblStylePr w:type="lastCol">
      <w:rPr>
        <w:color w:val="000000"/>
      </w:rPr>
      <w:tblPr/>
      <w:tcPr>
        <w:shd w:val="clear" w:color="auto" w:fill="F2F2F2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shd w:val="clear" w:color="auto" w:fill="F2F2F2"/>
      </w:tcPr>
    </w:tblStylePr>
    <w:tblStylePr w:type="firstCol">
      <w:rPr>
        <w:color w:val="000000"/>
      </w:rPr>
      <w:tblPr/>
      <w:tcPr>
        <w:shd w:val="clear" w:color="auto" w:fill="F2F2F2"/>
      </w:tcPr>
    </w:tblStylePr>
    <w:tblStylePr w:type="lastCol">
      <w:rPr>
        <w:color w:val="000000"/>
      </w:rPr>
      <w:tblPr/>
      <w:tcPr>
        <w:shd w:val="clear" w:color="auto" w:fill="F2F2F2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shd w:val="clear" w:color="auto" w:fill="F2F2F2"/>
      </w:tcPr>
    </w:tblStylePr>
    <w:tblStylePr w:type="firstCol">
      <w:rPr>
        <w:color w:val="000000"/>
      </w:rPr>
      <w:tblPr/>
      <w:tcPr>
        <w:shd w:val="clear" w:color="auto" w:fill="F2F2F2"/>
      </w:tcPr>
    </w:tblStylePr>
    <w:tblStylePr w:type="lastCol">
      <w:rPr>
        <w:color w:val="000000"/>
      </w:rPr>
      <w:tblPr/>
      <w:tcPr>
        <w:shd w:val="clear" w:color="auto" w:fill="F2F2F2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shd w:val="clear" w:color="auto" w:fill="F2F2F2"/>
      </w:tcPr>
    </w:tblStylePr>
    <w:tblStylePr w:type="firstCol">
      <w:rPr>
        <w:color w:val="000000"/>
      </w:rPr>
      <w:tblPr/>
      <w:tcPr>
        <w:shd w:val="clear" w:color="auto" w:fill="F2F2F2"/>
      </w:tcPr>
    </w:tblStylePr>
    <w:tblStylePr w:type="lastCol">
      <w:rPr>
        <w:color w:val="000000"/>
      </w:rPr>
      <w:tblPr/>
      <w:tcPr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shd w:val="clear" w:color="auto" w:fill="F2F2F2"/>
      </w:tcPr>
    </w:tblStylePr>
    <w:tblStylePr w:type="firstCol">
      <w:rPr>
        <w:color w:val="000000"/>
      </w:rPr>
      <w:tblPr/>
      <w:tcPr>
        <w:shd w:val="clear" w:color="auto" w:fill="F2F2F2"/>
      </w:tcPr>
    </w:tblStylePr>
    <w:tblStylePr w:type="lastCol">
      <w:rPr>
        <w:color w:val="000000"/>
      </w:rPr>
      <w:tblPr/>
      <w:tcPr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000000"/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000000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000000"/>
      <w:spacing w:val="15"/>
      <w:sz w:val="24"/>
      <w:szCs w:val="24"/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/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/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000000"/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00000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00000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000000"/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000000"/>
      <w:sz w:val="20"/>
      <w:szCs w:val="20"/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000000"/>
      <w:sz w:val="20"/>
      <w:szCs w:val="20"/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000000" w:sz="4" w:space="4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000000"/>
    </w:rPr>
  </w:style>
  <w:style w:type="character" w:customStyle="1" w:styleId="158">
    <w:name w:val="Subtle Emphasis"/>
    <w:basedOn w:val="132"/>
    <w:qFormat/>
    <w:uiPriority w:val="19"/>
    <w:rPr>
      <w:i/>
      <w:iCs/>
      <w:color w:val="000000"/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000000"/>
    </w:rPr>
  </w:style>
  <w:style w:type="character" w:customStyle="1" w:styleId="160">
    <w:name w:val="Subtle Reference"/>
    <w:basedOn w:val="132"/>
    <w:qFormat/>
    <w:uiPriority w:val="31"/>
    <w:rPr>
      <w:smallCaps/>
      <w:color w:val="000000"/>
      <w:u w:val="single"/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000000"/>
      <w:spacing w:val="5"/>
      <w:u w:val="single"/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5349</Words>
  <Characters>5456</Characters>
  <Lines>0</Lines>
  <Paragraphs>0</Paragraphs>
  <TotalTime>32</TotalTime>
  <ScaleCrop>false</ScaleCrop>
  <LinksUpToDate>false</LinksUpToDate>
  <CharactersWithSpaces>5553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player</cp:lastModifiedBy>
  <dcterms:modified xsi:type="dcterms:W3CDTF">2026-06-17T03:25:20Z</dcterms:modified>
  <dc:subject>教材知识图谱；导师交流稿</dc:subject>
  <dc:title>智学助手教材知识图谱设计说明（交流稿）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eyJoZGlkIjoiYTExMTViZmY4ZWFmZDVjYzg1M2E2ZDdhNmUyOGZhNjEiLCJ1c2VySWQiOiIxMzU5NDkzMTc5In0=</vt:lpwstr>
  </property>
  <property fmtid="{D5CDD505-2E9C-101B-9397-08002B2CF9AE}" pid="3" name="KSOProductBuildVer">
    <vt:lpwstr>2052-12.1.0.21915</vt:lpwstr>
  </property>
  <property fmtid="{D5CDD505-2E9C-101B-9397-08002B2CF9AE}" pid="4" name="ICV">
    <vt:lpwstr>6D14B43854F048148990BAC45208C836_12</vt:lpwstr>
  </property>
</Properties>
</file>