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7DBDC">
      <w:pPr>
        <w:pStyle w:val="31"/>
        <w:jc w:val="center"/>
      </w:pPr>
      <w:r>
        <w:rPr>
          <w:rFonts w:ascii="黑体" w:hAnsi="黑体" w:eastAsia="黑体"/>
          <w:b/>
          <w:i w:val="0"/>
          <w:sz w:val="36"/>
        </w:rPr>
        <w:t>智学助手教材知识图谱设计说明</w:t>
      </w:r>
    </w:p>
    <w:p w14:paraId="6E5A4D3A">
      <w:pPr>
        <w:spacing w:after="120" w:line="300" w:lineRule="auto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i w:val="0"/>
          <w:sz w:val="22"/>
        </w:rPr>
        <w:t>当前方案已基于《高等代数》教材的局部章节完成初步工程验证，并导入 Neo4j 进行可视化检查。材料中重点整理了目前的建设定位、抽取流程、关键规则、应用场景，以及我希望请老师帮忙把关的几个问题</w:t>
      </w:r>
      <w:r>
        <w:rPr>
          <w:rFonts w:hint="eastAsia"/>
          <w:b w:val="0"/>
          <w:i w:val="0"/>
          <w:sz w:val="22"/>
          <w:lang w:eastAsia="zh-CN"/>
        </w:rPr>
        <w:t>。</w:t>
      </w:r>
    </w:p>
    <w:p w14:paraId="7D92F185">
      <w:pPr>
        <w:pStyle w:val="3"/>
      </w:pPr>
      <w:r>
        <w:rPr>
          <w:rFonts w:ascii="黑体" w:hAnsi="黑体" w:eastAsia="黑体"/>
          <w:b/>
          <w:i w:val="0"/>
          <w:sz w:val="30"/>
        </w:rPr>
        <w:t>一、项目背景与建设定位</w:t>
      </w:r>
    </w:p>
    <w:p w14:paraId="5A759AB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智学助手中的教材知识图谱，定位</w:t>
      </w:r>
      <w:r>
        <w:rPr>
          <w:rFonts w:hint="eastAsia"/>
          <w:b w:val="0"/>
          <w:i w:val="0"/>
          <w:sz w:val="22"/>
          <w:lang w:eastAsia="zh-CN"/>
        </w:rPr>
        <w:t>不只是</w:t>
      </w:r>
      <w:r>
        <w:rPr>
          <w:rFonts w:ascii="宋体" w:hAnsi="宋体" w:eastAsia="宋体"/>
          <w:b w:val="0"/>
          <w:i w:val="0"/>
          <w:sz w:val="22"/>
        </w:rPr>
        <w:t>展示型知识网络，</w:t>
      </w:r>
      <w:r>
        <w:rPr>
          <w:rFonts w:hint="eastAsia"/>
          <w:b w:val="0"/>
          <w:i w:val="0"/>
          <w:sz w:val="22"/>
          <w:lang w:eastAsia="zh-CN"/>
        </w:rPr>
        <w:t>更</w:t>
      </w:r>
      <w:r>
        <w:rPr>
          <w:rFonts w:ascii="宋体" w:hAnsi="宋体" w:eastAsia="宋体"/>
          <w:b w:val="0"/>
          <w:i w:val="0"/>
          <w:sz w:val="22"/>
        </w:rPr>
        <w:t>是面向智能学习服务的底层结构化支撑。其核心任务是把教材中的概念、定义、定理、公式、方法、题型及其相互关系组织成可计算、可追溯、可用于教学决策的数据结构。</w:t>
      </w:r>
    </w:p>
    <w:p w14:paraId="1FBC094A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从应用目标看，本知识图谱主要服务以下三类场景：</w:t>
      </w:r>
    </w:p>
    <w:p w14:paraId="7F4FA8C3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1.</w:t>
      </w:r>
      <w:r>
        <w:rPr>
          <w:rFonts w:ascii="宋体" w:hAnsi="宋体" w:eastAsia="宋体"/>
          <w:b w:val="0"/>
          <w:i w:val="0"/>
          <w:sz w:val="22"/>
        </w:rPr>
        <w:t>学生在解题受阻时，追溯可能缺失的前置知识点。</w:t>
      </w:r>
    </w:p>
    <w:p w14:paraId="0CBFE6DD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2.</w:t>
      </w:r>
      <w:r>
        <w:rPr>
          <w:rFonts w:ascii="宋体" w:hAnsi="宋体" w:eastAsia="宋体"/>
          <w:b w:val="0"/>
          <w:i w:val="0"/>
          <w:sz w:val="22"/>
        </w:rPr>
        <w:t>根据教材章节顺序和知识依赖关系，生成学习路径或复习路径。</w:t>
      </w:r>
    </w:p>
    <w:p w14:paraId="2007728B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3.</w:t>
      </w:r>
      <w:r>
        <w:rPr>
          <w:rFonts w:ascii="宋体" w:hAnsi="宋体" w:eastAsia="宋体"/>
          <w:b w:val="0"/>
          <w:i w:val="0"/>
          <w:sz w:val="22"/>
        </w:rPr>
        <w:t>围绕某一知识点推荐相关例题、解题方法和题型。</w:t>
      </w:r>
    </w:p>
    <w:p w14:paraId="441D5AA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因此，目前设计时关注的重点不是尽可能生成更多关系，而是使不同用途的关系具有清晰的层次和边界。学习路径所需的前置关系、定理证明中的推导关系、例题中的应用关系，在教学作用和使用场景上并不相同；若混合处理，可能导致路径生成过密、诊断依据不清、推荐结果难以解释。</w:t>
      </w:r>
    </w:p>
    <w:p w14:paraId="6BCD6AA7">
      <w:pPr>
        <w:jc w:val="center"/>
      </w:pPr>
      <w:r>
        <w:drawing>
          <wp:inline distT="0" distB="0" distL="114300" distR="114300">
            <wp:extent cx="5989320" cy="243268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8DDD">
      <w:pPr>
        <w:jc w:val="center"/>
      </w:pPr>
      <w:r>
        <w:rPr>
          <w:rFonts w:ascii="宋体" w:hAnsi="宋体" w:eastAsia="宋体"/>
          <w:i/>
          <w:sz w:val="20"/>
        </w:rPr>
        <w:t>图1 教材知识图谱的应用定位</w:t>
      </w:r>
    </w:p>
    <w:p w14:paraId="6A74864A">
      <w:pPr>
        <w:pStyle w:val="3"/>
      </w:pPr>
      <w:r>
        <w:rPr>
          <w:rFonts w:ascii="黑体" w:hAnsi="黑体" w:eastAsia="黑体"/>
          <w:b/>
          <w:i w:val="0"/>
          <w:sz w:val="30"/>
        </w:rPr>
        <w:t>二、总体设计思路</w:t>
      </w:r>
    </w:p>
    <w:p w14:paraId="3E05E2F2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目前采用“LLM 辅助生成候选项，自动校验程序进行质量控制，人工复核处理不确定样本”的总体路线。这样设计主要基于以下考虑：</w:t>
      </w:r>
    </w:p>
    <w:p w14:paraId="17504E5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仅依靠规则抽取，难以覆盖数学教材中较为复杂的自然语言表达、隐含命名和跨句推导。</w:t>
      </w:r>
    </w:p>
    <w:p w14:paraId="2DC0E4B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完全依赖 LLM 直接生成最终图谱，则可能出现过度推断、关系方向错误、例题结论误抽、知识点粒度漂移等问题。</w:t>
      </w:r>
    </w:p>
    <w:p w14:paraId="4F593EE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因此，LLM 更适合承担“发现候选内容”的任务；最终是否进入知识图谱，需要经过命名规范、来源范围、教材原文依据、关系方向、关系分层等多重约束。</w:t>
      </w:r>
    </w:p>
    <w:p w14:paraId="1F137A36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在这个思路下，LLM 的输出不直接写入最终图数据库，而是先形成候选知识点和候选关系。自动校验程序对候选项进行准入检查；确定性较高且符合规则的内容进入图谱，不确定内容进入人工复核清单，明显不符合规则的内容不进入图谱。</w:t>
      </w:r>
    </w:p>
    <w:p w14:paraId="0636F09D">
      <w:pPr>
        <w:jc w:val="center"/>
      </w:pPr>
      <w:r>
        <w:drawing>
          <wp:inline distT="0" distB="0" distL="114300" distR="114300">
            <wp:extent cx="5989320" cy="3368675"/>
            <wp:effectExtent l="0" t="0" r="1143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7F58">
      <w:pPr>
        <w:jc w:val="center"/>
      </w:pPr>
      <w:r>
        <w:rPr>
          <w:rFonts w:ascii="宋体" w:hAnsi="宋体" w:eastAsia="宋体"/>
          <w:i/>
          <w:sz w:val="20"/>
        </w:rPr>
        <w:t>图2 总体处理流程</w:t>
      </w:r>
    </w:p>
    <w:p w14:paraId="18730872">
      <w:pPr>
        <w:pStyle w:val="3"/>
      </w:pPr>
      <w:r>
        <w:rPr>
          <w:rFonts w:ascii="黑体" w:hAnsi="黑体" w:eastAsia="黑体"/>
          <w:b/>
          <w:i w:val="0"/>
          <w:sz w:val="30"/>
        </w:rPr>
        <w:t>三、工程落地方式：候选生成与准入控制</w:t>
      </w:r>
    </w:p>
    <w:p w14:paraId="2EB8A55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在工程实现上，目前并不把“抽取”理解为一次性生成最终结果，而是拆分为“候选生成”和“准入控制”两个阶段。</w:t>
      </w:r>
    </w:p>
    <w:p w14:paraId="31CD2581">
      <w:pPr>
        <w:pStyle w:val="4"/>
      </w:pPr>
      <w:r>
        <w:rPr>
          <w:rFonts w:ascii="黑体" w:hAnsi="黑体" w:eastAsia="黑体"/>
          <w:b/>
          <w:i w:val="0"/>
          <w:sz w:val="26"/>
        </w:rPr>
        <w:t>1. 候选生成</w:t>
      </w:r>
    </w:p>
    <w:p w14:paraId="39AB1C3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LLM 按统一提示要求阅读教材片段，提出可能具有图谱价值的知识点或关系。每个候选知识点通常包含以下信息：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7ADD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21C8C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信息项</w:t>
            </w:r>
          </w:p>
        </w:tc>
        <w:tc>
          <w:tcPr>
            <w:tcW w:w="4824" w:type="dxa"/>
            <w:vAlign w:val="center"/>
          </w:tcPr>
          <w:p w14:paraId="763B2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 w14:paraId="284C1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2B577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候选名称</w:t>
            </w:r>
          </w:p>
        </w:tc>
        <w:tc>
          <w:tcPr>
            <w:tcW w:w="4824" w:type="dxa"/>
            <w:vAlign w:val="center"/>
          </w:tcPr>
          <w:p w14:paraId="2072CE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尽量使用学生可理解、可检索的语义名称</w:t>
            </w:r>
          </w:p>
        </w:tc>
      </w:tr>
      <w:tr w14:paraId="07BB7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C704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候选类型</w:t>
            </w:r>
          </w:p>
        </w:tc>
        <w:tc>
          <w:tcPr>
            <w:tcW w:w="4824" w:type="dxa"/>
            <w:vAlign w:val="center"/>
          </w:tcPr>
          <w:p w14:paraId="763910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判断其属于概念、定义、定理、公式、方法、题型、属性值，或仅适合作为原文依据</w:t>
            </w:r>
          </w:p>
        </w:tc>
      </w:tr>
      <w:tr w14:paraId="3573F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63A76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候选角色</w:t>
            </w:r>
          </w:p>
        </w:tc>
        <w:tc>
          <w:tcPr>
            <w:tcW w:w="4824" w:type="dxa"/>
            <w:vAlign w:val="center"/>
          </w:tcPr>
          <w:p w14:paraId="0AB00C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判断其是否可能成为正式知识点，还是只作为属性值、方法候选、题型候选或原文依据</w:t>
            </w:r>
          </w:p>
        </w:tc>
      </w:tr>
      <w:tr w14:paraId="0D529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BC14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教材原文依据</w:t>
            </w:r>
          </w:p>
        </w:tc>
        <w:tc>
          <w:tcPr>
            <w:tcW w:w="4824" w:type="dxa"/>
            <w:vAlign w:val="center"/>
          </w:tcPr>
          <w:p w14:paraId="185960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给出能够回到教材的连续原文片段</w:t>
            </w:r>
          </w:p>
        </w:tc>
      </w:tr>
      <w:tr w14:paraId="54776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3F1F7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置信度</w:t>
            </w:r>
          </w:p>
        </w:tc>
        <w:tc>
          <w:tcPr>
            <w:tcW w:w="4824" w:type="dxa"/>
            <w:vAlign w:val="center"/>
          </w:tcPr>
          <w:p w14:paraId="5D900B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表示 LLM 对该候选项稳定性的判断</w:t>
            </w:r>
          </w:p>
        </w:tc>
      </w:tr>
      <w:tr w14:paraId="1575E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031B9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别名与来源标签</w:t>
            </w:r>
          </w:p>
        </w:tc>
        <w:tc>
          <w:tcPr>
            <w:tcW w:w="4824" w:type="dxa"/>
            <w:vAlign w:val="center"/>
          </w:tcPr>
          <w:p w14:paraId="611061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保存“定理1”“公式2”等教材编号，但不把编号作为知识点名称</w:t>
            </w:r>
          </w:p>
        </w:tc>
      </w:tr>
    </w:tbl>
    <w:p w14:paraId="387AB292"/>
    <w:p w14:paraId="6B2FBB1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示意如下：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319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56060F50"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候选名称：对换改变 n 元排列的奇偶性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候选类型：定理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候选角色：正式知识点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教材原文依据：教材中对应的定理表述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别名/来源标签：定理1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置信度：较高</w:t>
            </w:r>
          </w:p>
        </w:tc>
      </w:tr>
    </w:tbl>
    <w:p w14:paraId="4A18177F"/>
    <w:p w14:paraId="7759216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这一阶段强调“充分提出可能项”，但不意味着全部候选项都会进入最终图谱。</w:t>
      </w:r>
    </w:p>
    <w:p w14:paraId="2074FC9C">
      <w:pPr>
        <w:pStyle w:val="4"/>
      </w:pPr>
      <w:r>
        <w:rPr>
          <w:rFonts w:ascii="黑体" w:hAnsi="黑体" w:eastAsia="黑体"/>
          <w:b/>
          <w:i w:val="0"/>
          <w:sz w:val="26"/>
        </w:rPr>
        <w:t>2. 准入控制</w:t>
      </w:r>
    </w:p>
    <w:p w14:paraId="15F1786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自动校验程序对候选项进行多方面检查，主要包括：</w:t>
      </w:r>
    </w:p>
    <w:p w14:paraId="7B53354E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1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名称检查：编号定理、编号公式不能直接以“定理1”“公式2”等形式作为知识点名称。</w:t>
      </w:r>
    </w:p>
    <w:p w14:paraId="6759A524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2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类型检查：知识点类型必须属于预设范围，且与教材来源范围相匹配。</w:t>
      </w:r>
    </w:p>
    <w:p w14:paraId="14979E59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3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来源范围检查：正文可产生正式知识点；典型例题主要产生方法、题型或应用原文依据；习题在当前阶段暂不参与抽取。</w:t>
      </w:r>
    </w:p>
    <w:p w14:paraId="7D397AF5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4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教材原文依据检查：候选项应能回溯到教材片段中的原文表述。</w:t>
      </w:r>
    </w:p>
    <w:p w14:paraId="236D29EC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5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置信度检查：低置信度候选项不进入图谱；中等置信度候选项进入人工复核；高置信度且无其他问题的候选项可自动准入。</w:t>
      </w:r>
    </w:p>
    <w:p w14:paraId="540B67C6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6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同义合并检查：目前只自动合并“名称相同且类型相同”的知识点；疑似同义、上下位或粒度重叠的情况进入人工复核。</w:t>
      </w:r>
    </w:p>
    <w:p w14:paraId="3282D61A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7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属性值检查：“唯一解”“无解”“零解”等默认作为属性值处理，只有满足特定条件时才升级为独立知识点。</w:t>
      </w:r>
    </w:p>
    <w:p w14:paraId="30D0F957">
      <w:pPr>
        <w:jc w:val="center"/>
      </w:pPr>
      <w:r>
        <w:drawing>
          <wp:inline distT="0" distB="0" distL="114300" distR="114300">
            <wp:extent cx="5989320" cy="3106420"/>
            <wp:effectExtent l="0" t="0" r="1143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B7E0">
      <w:pPr>
        <w:jc w:val="center"/>
      </w:pPr>
      <w:r>
        <w:rPr>
          <w:rFonts w:ascii="宋体" w:hAnsi="宋体" w:eastAsia="宋体"/>
          <w:i/>
          <w:sz w:val="20"/>
        </w:rPr>
        <w:t>图3 候选知识点准入控制流程</w:t>
      </w:r>
    </w:p>
    <w:p w14:paraId="4DD26009">
      <w:pPr>
        <w:pStyle w:val="3"/>
      </w:pPr>
      <w:r>
        <w:rPr>
          <w:rFonts w:ascii="黑体" w:hAnsi="黑体" w:eastAsia="黑体"/>
          <w:b/>
          <w:i w:val="0"/>
          <w:sz w:val="30"/>
        </w:rPr>
        <w:t>四、抽取流程设计</w:t>
      </w:r>
    </w:p>
    <w:p w14:paraId="20BF919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当前流程分为六个步骤。</w:t>
      </w:r>
    </w:p>
    <w:p w14:paraId="52212615">
      <w:pPr>
        <w:jc w:val="center"/>
      </w:pPr>
      <w:r>
        <w:drawing>
          <wp:inline distT="0" distB="0" distL="114300" distR="114300">
            <wp:extent cx="5989320" cy="2677160"/>
            <wp:effectExtent l="0" t="0" r="1143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26F8">
      <w:pPr>
        <w:jc w:val="center"/>
      </w:pPr>
      <w:r>
        <w:rPr>
          <w:rFonts w:ascii="宋体" w:hAnsi="宋体" w:eastAsia="宋体"/>
          <w:i/>
          <w:sz w:val="20"/>
        </w:rPr>
        <w:t>图4 v4.1 抽取流程</w:t>
      </w:r>
    </w:p>
    <w:p w14:paraId="56712A19">
      <w:pPr>
        <w:pStyle w:val="4"/>
      </w:pPr>
      <w:r>
        <w:rPr>
          <w:rFonts w:ascii="黑体" w:hAnsi="黑体" w:eastAsia="黑体"/>
          <w:b/>
          <w:i w:val="0"/>
          <w:sz w:val="26"/>
        </w:rPr>
        <w:t>第一步：教材切分</w:t>
      </w:r>
    </w:p>
    <w:p w14:paraId="4FCF40B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将结构化教材文本切分为相对独立的教材片段，并标记其来源范围：</w:t>
      </w:r>
    </w:p>
    <w:p w14:paraId="151BD92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正文内容：用于抽取正式知识点及其核心关系。</w:t>
      </w:r>
    </w:p>
    <w:p w14:paraId="5EDB143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典型例题：主要用于抽取方法、题型和应用原文依据。</w:t>
      </w:r>
    </w:p>
    <w:p w14:paraId="6C6039CC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习题：当前阶段暂不参与抽取，以降低题干噪声对知识点抽取的影响。</w:t>
      </w:r>
    </w:p>
    <w:p w14:paraId="53CADE06">
      <w:pPr>
        <w:pStyle w:val="4"/>
      </w:pPr>
      <w:r>
        <w:rPr>
          <w:rFonts w:ascii="黑体" w:hAnsi="黑体" w:eastAsia="黑体"/>
          <w:b/>
          <w:i w:val="0"/>
          <w:sz w:val="26"/>
        </w:rPr>
        <w:t>第二步：知识点候选生成</w:t>
      </w:r>
    </w:p>
    <w:p w14:paraId="2A2DEC53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由 LLM 从教材片段中提出候选知识点。候选类型包括：</w:t>
      </w:r>
    </w:p>
    <w:p w14:paraId="20E8054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概念</w:t>
      </w:r>
    </w:p>
    <w:p w14:paraId="5C4AA9A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定义</w:t>
      </w:r>
    </w:p>
    <w:p w14:paraId="4CC13CB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定理</w:t>
      </w:r>
    </w:p>
    <w:p w14:paraId="1A8F3BE1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公式</w:t>
      </w:r>
    </w:p>
    <w:p w14:paraId="0BEDB953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方法</w:t>
      </w:r>
    </w:p>
    <w:p w14:paraId="3E38C4C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题型</w:t>
      </w:r>
    </w:p>
    <w:p w14:paraId="5051C1C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</w:t>
      </w:r>
    </w:p>
    <w:p w14:paraId="3C20E2F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仅作为原文依据的内容</w:t>
      </w:r>
    </w:p>
    <w:p w14:paraId="5BB9DACA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其中，典型例题的处理范围受到严格限制：典型例题可以产生“方法”和“题型”类候选，但不允许把例题中的具体结论抽取为正式定理、公式、定义或概念。</w:t>
      </w:r>
    </w:p>
    <w:p w14:paraId="4BA39791">
      <w:pPr>
        <w:pStyle w:val="4"/>
      </w:pPr>
      <w:r>
        <w:rPr>
          <w:rFonts w:ascii="黑体" w:hAnsi="黑体" w:eastAsia="黑体"/>
          <w:b/>
          <w:i w:val="0"/>
          <w:sz w:val="26"/>
        </w:rPr>
        <w:t>第三步：知识点准入与规范化</w:t>
      </w:r>
    </w:p>
    <w:p w14:paraId="500E3C8C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该步骤对候选知识点进行准入判断与规范化处理，主要包括：</w:t>
      </w:r>
    </w:p>
    <w:p w14:paraId="6615881B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语义命名：编号只是教材来源标签，不能作为知识点名称；若教材只有编号而无通用名称，则需生成学生可理解、可检索的语义名称。</w:t>
      </w:r>
    </w:p>
    <w:p w14:paraId="61C8798B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同义合并：当前阶段采用保守合并策略，避免因自动合并过度造成知识点边界混乱。</w:t>
      </w:r>
    </w:p>
    <w:p w14:paraId="2A9D721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属性值判断：默认将“唯一解”“无解”“零解”等状态作为属性值；只有在教材单独定义、有独立判别准则、参与多重关系或后文专题展开时，才升级为独立知识点。</w:t>
      </w:r>
    </w:p>
    <w:p w14:paraId="4CF2ED1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人工复核：对命名不稳定、来源依据不足、粒度边界不清或类型判断不确定的候选项进行人工复核。</w:t>
      </w:r>
    </w:p>
    <w:p w14:paraId="357B2E46">
      <w:pPr>
        <w:pStyle w:val="4"/>
      </w:pPr>
      <w:r>
        <w:rPr>
          <w:rFonts w:ascii="黑体" w:hAnsi="黑体" w:eastAsia="黑体"/>
          <w:b/>
          <w:i w:val="0"/>
          <w:sz w:val="26"/>
        </w:rPr>
        <w:t>第四步：关系候选生成</w:t>
      </w:r>
    </w:p>
    <w:p w14:paraId="191F20A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关系候选只在已准入的知识点之间生成，避免 LLM 自行创造关系两端的知识点。主要关系类型包括：</w:t>
      </w:r>
    </w:p>
    <w:p w14:paraId="185CB9A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前置关系：A 是理解 B 的直接必要前置。</w:t>
      </w:r>
    </w:p>
    <w:p w14:paraId="2EEB792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推导关系：B 由 A 推出、证明、特化或改写得到。</w:t>
      </w:r>
    </w:p>
    <w:p w14:paraId="7472EBC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应用关系：A 可用于解决或处理 B。</w:t>
      </w:r>
    </w:p>
    <w:p w14:paraId="15277F7E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关系方向采用统一约定：若 A 指向 B，则表示 A 对 B 具有前置、推导来源或应用支撑作用，而不是简单表示教材中的出现顺序。</w:t>
      </w:r>
    </w:p>
    <w:p w14:paraId="5546E900">
      <w:pPr>
        <w:pStyle w:val="4"/>
      </w:pPr>
      <w:r>
        <w:rPr>
          <w:rFonts w:ascii="黑体" w:hAnsi="黑体" w:eastAsia="黑体"/>
          <w:b/>
          <w:i w:val="0"/>
          <w:sz w:val="26"/>
        </w:rPr>
        <w:t>第五步：关系校验、人工复核与分层</w:t>
      </w:r>
    </w:p>
    <w:p w14:paraId="7B11B72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关系候选生成后，需要进一步检查：</w:t>
      </w:r>
    </w:p>
    <w:p w14:paraId="64AE9D3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关系两端是否均来自已准入知识点。</w:t>
      </w:r>
    </w:p>
    <w:p w14:paraId="37A3A4D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关系方向是否符合预设定义。</w:t>
      </w:r>
    </w:p>
    <w:p w14:paraId="67F64B3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教材原文依据是否能够支持该关系。</w:t>
      </w:r>
    </w:p>
    <w:p w14:paraId="359E451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前置关系是否满足“直接必要”的强标准。</w:t>
      </w:r>
    </w:p>
    <w:p w14:paraId="79D519D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典型例题相关关系是否仅进入应用索引层。</w:t>
      </w:r>
    </w:p>
    <w:p w14:paraId="7A41D6DC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不确定关系是否应提交人工复核。</w:t>
      </w:r>
    </w:p>
    <w:p w14:paraId="0FE54F32">
      <w:pPr>
        <w:pStyle w:val="4"/>
      </w:pPr>
      <w:r>
        <w:rPr>
          <w:rFonts w:ascii="黑体" w:hAnsi="黑体" w:eastAsia="黑体"/>
          <w:b/>
          <w:i w:val="0"/>
          <w:sz w:val="26"/>
        </w:rPr>
        <w:t>第六步：导入图数据库并可视化验证</w:t>
      </w:r>
    </w:p>
    <w:p w14:paraId="76F06DDD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通过脚本将通过准入的知识点和关系导入 Neo4j。默认视图以“主导航图”为主，其余层可按需要单独导入和查看，以避免证明细节或例题应用关系干扰学习路径生成。</w:t>
      </w:r>
    </w:p>
    <w:p w14:paraId="37322C39">
      <w:pPr>
        <w:pStyle w:val="3"/>
      </w:pPr>
      <w:r>
        <w:rPr>
          <w:rFonts w:ascii="黑体" w:hAnsi="黑体" w:eastAsia="黑体"/>
          <w:b/>
          <w:i w:val="0"/>
          <w:sz w:val="30"/>
        </w:rPr>
        <w:t>五、关键设计规则</w:t>
      </w:r>
    </w:p>
    <w:p w14:paraId="6A9D603D">
      <w:pPr>
        <w:pStyle w:val="4"/>
      </w:pPr>
      <w:r>
        <w:rPr>
          <w:rFonts w:ascii="黑体" w:hAnsi="黑体" w:eastAsia="黑体"/>
          <w:b/>
          <w:i w:val="0"/>
          <w:sz w:val="26"/>
        </w:rPr>
        <w:t>1. 定理与公式的语义命名</w:t>
      </w:r>
    </w:p>
    <w:p w14:paraId="28656A6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数学教材中的定理、命题、推论、公式往往以编号形式出现，如“定理1”“命题2”“公式3”。此类编号具有来源定位作用，但不适合作为知识图谱中的正式名称。正式名称应尽量反映其数学内容，便于学生理解、检索和复习。</w:t>
      </w:r>
    </w:p>
    <w:p w14:paraId="799A33A7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处理原则如下：</w:t>
      </w:r>
    </w:p>
    <w:p w14:paraId="04C7ADB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若教材中已有通用名称，则采用通用名称。</w:t>
      </w:r>
    </w:p>
    <w:p w14:paraId="60A319C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若教材中只有编号但内容重要，则生成语义名称。</w:t>
      </w:r>
    </w:p>
    <w:p w14:paraId="3643C7B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编号保留为别名或来源标签，用于回溯教材位置。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D663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4299A4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教材呈现</w:t>
            </w:r>
          </w:p>
        </w:tc>
        <w:tc>
          <w:tcPr>
            <w:tcW w:w="4824" w:type="dxa"/>
            <w:vAlign w:val="center"/>
          </w:tcPr>
          <w:p w14:paraId="35E11A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图谱命名</w:t>
            </w:r>
          </w:p>
        </w:tc>
      </w:tr>
      <w:tr w14:paraId="5D3D0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7597CE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定理1：任意矩阵可经初等行变换化为阶梯形矩阵</w:t>
            </w:r>
          </w:p>
        </w:tc>
        <w:tc>
          <w:tcPr>
            <w:tcW w:w="4824" w:type="dxa"/>
            <w:vAlign w:val="center"/>
          </w:tcPr>
          <w:p w14:paraId="5EF06B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矩阵可化为阶梯形</w:t>
            </w:r>
          </w:p>
        </w:tc>
      </w:tr>
      <w:tr w14:paraId="74E42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8684E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定理5：单调有界数列必收敛</w:t>
            </w:r>
          </w:p>
        </w:tc>
        <w:tc>
          <w:tcPr>
            <w:tcW w:w="4824" w:type="dxa"/>
            <w:vAlign w:val="center"/>
          </w:tcPr>
          <w:p w14:paraId="1619BB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单调有界收敛准则</w:t>
            </w:r>
          </w:p>
        </w:tc>
      </w:tr>
      <w:tr w14:paraId="3B1EF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70E4C2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  <w:tc>
          <w:tcPr>
            <w:tcW w:w="4824" w:type="dxa"/>
            <w:vAlign w:val="center"/>
          </w:tcPr>
          <w:p w14:paraId="4104FA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</w:tr>
    </w:tbl>
    <w:p w14:paraId="6F566563"/>
    <w:p w14:paraId="4AAF3BE5">
      <w:pPr>
        <w:pStyle w:val="4"/>
      </w:pPr>
      <w:r>
        <w:rPr>
          <w:rFonts w:ascii="黑体" w:hAnsi="黑体" w:eastAsia="黑体"/>
          <w:b/>
          <w:i w:val="0"/>
          <w:sz w:val="26"/>
        </w:rPr>
        <w:t>2. 属性值与独立知识点的边界</w:t>
      </w:r>
    </w:p>
    <w:p w14:paraId="5CC8E9C7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“唯一解”“无解”“无穷多个解”等状态类表达，默认不单独抽取为概念知识点，而是优先作为某一对象的属性值。例如，线性方程组可以具有“有唯一解”“无解”“有无穷多个解”等状态。</w:t>
      </w:r>
    </w:p>
    <w:p w14:paraId="593AA38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但若满足以下条件之一，可考虑升级为独立知识点：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1D64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F1735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升级条件</w:t>
            </w:r>
          </w:p>
        </w:tc>
        <w:tc>
          <w:tcPr>
            <w:tcW w:w="4824" w:type="dxa"/>
            <w:vAlign w:val="center"/>
          </w:tcPr>
          <w:p w14:paraId="55EC6D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 w14:paraId="643E7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F3340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教材对该状态单独给出定义</w:t>
            </w:r>
          </w:p>
        </w:tc>
        <w:tc>
          <w:tcPr>
            <w:tcW w:w="4824" w:type="dxa"/>
            <w:vAlign w:val="center"/>
          </w:tcPr>
          <w:p w14:paraId="180F7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齐次线性方程组的零解</w:t>
            </w:r>
          </w:p>
        </w:tc>
      </w:tr>
      <w:tr w14:paraId="31D33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616B3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具有独立判别准则</w:t>
            </w:r>
          </w:p>
        </w:tc>
        <w:tc>
          <w:tcPr>
            <w:tcW w:w="4824" w:type="dxa"/>
            <w:vAlign w:val="center"/>
          </w:tcPr>
          <w:p w14:paraId="5DCF48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无解等价于增广矩阵秩大于系数矩阵秩</w:t>
            </w:r>
          </w:p>
        </w:tc>
      </w:tr>
      <w:tr w14:paraId="7DF26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78B70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参与多个关系</w:t>
            </w:r>
          </w:p>
        </w:tc>
        <w:tc>
          <w:tcPr>
            <w:tcW w:w="4824" w:type="dxa"/>
            <w:vAlign w:val="center"/>
          </w:tcPr>
          <w:p w14:paraId="546EC3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作为多个定理或方法之间的桥接知识点</w:t>
            </w:r>
          </w:p>
        </w:tc>
      </w:tr>
      <w:tr w14:paraId="692C1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92DFE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后文以该状态为主题展开</w:t>
            </w:r>
          </w:p>
        </w:tc>
        <w:tc>
          <w:tcPr>
            <w:tcW w:w="4824" w:type="dxa"/>
            <w:vAlign w:val="center"/>
          </w:tcPr>
          <w:p w14:paraId="46DD6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整节讨论某类解的结构</w:t>
            </w:r>
          </w:p>
        </w:tc>
      </w:tr>
    </w:tbl>
    <w:p w14:paraId="0BBBAD4C"/>
    <w:p w14:paraId="07EDFC83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该规则的目的，是避免把大量状态词误抽为概念，同时保留确有教学意义和关系连接价值的状态类知识。</w:t>
      </w:r>
    </w:p>
    <w:p w14:paraId="3A769917">
      <w:pPr>
        <w:pStyle w:val="4"/>
      </w:pPr>
      <w:r>
        <w:rPr>
          <w:rFonts w:ascii="黑体" w:hAnsi="黑体" w:eastAsia="黑体"/>
          <w:b/>
          <w:i w:val="0"/>
          <w:sz w:val="26"/>
        </w:rPr>
        <w:t>3. 典型例题的处理</w:t>
      </w:r>
    </w:p>
    <w:p w14:paraId="101947D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早期方案曾完全跳过典型例题，以降低“例题答案被误抽为定理”的风险。但智学助手需要支持按知识点推荐例题、方法和题型，因此对典型例题采用有限抽取</w:t>
      </w:r>
      <w:bookmarkStart w:id="0" w:name="_GoBack"/>
      <w:bookmarkEnd w:id="0"/>
      <w:r>
        <w:rPr>
          <w:rFonts w:ascii="宋体" w:hAnsi="宋体" w:eastAsia="宋体"/>
          <w:b w:val="0"/>
          <w:i w:val="0"/>
          <w:sz w:val="22"/>
        </w:rPr>
        <w:t>策略：</w:t>
      </w:r>
    </w:p>
    <w:p w14:paraId="7D1912D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典型例题不产生正式概念、定义、定理、公式。</w:t>
      </w:r>
    </w:p>
    <w:p w14:paraId="0B8FC8D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典型例题可以产生方法和题型。</w:t>
      </w:r>
    </w:p>
    <w:p w14:paraId="3E6ECC3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典型例题产生的关系只进入应用索引层，不进入学习路径主图。</w:t>
      </w:r>
    </w:p>
    <w:p w14:paraId="4329FF0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典型例题中抽出的通用方法，原则上先进入人工复核，再决定是否入图。</w:t>
      </w:r>
    </w:p>
    <w:p w14:paraId="7A97ABB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该策略试图在“降低噪声”和“保留应用价值”之间取得平衡。</w:t>
      </w:r>
    </w:p>
    <w:p w14:paraId="0C4F4149">
      <w:pPr>
        <w:pStyle w:val="4"/>
      </w:pPr>
      <w:r>
        <w:rPr>
          <w:rFonts w:ascii="黑体" w:hAnsi="黑体" w:eastAsia="黑体"/>
          <w:b/>
          <w:i w:val="0"/>
          <w:sz w:val="26"/>
        </w:rPr>
        <w:t>4. 三层关系结构</w:t>
      </w:r>
    </w:p>
    <w:p w14:paraId="43C39C8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为适配不同教学应用，目前将关系分为三层：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2043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01AAD6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中文名称</w:t>
            </w:r>
          </w:p>
        </w:tc>
        <w:tc>
          <w:tcPr>
            <w:tcW w:w="2412" w:type="dxa"/>
            <w:vAlign w:val="center"/>
          </w:tcPr>
          <w:p w14:paraId="1181C5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系统内部代号</w:t>
            </w:r>
          </w:p>
        </w:tc>
        <w:tc>
          <w:tcPr>
            <w:tcW w:w="2412" w:type="dxa"/>
            <w:vAlign w:val="center"/>
          </w:tcPr>
          <w:p w14:paraId="0DAF8C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主要用途</w:t>
            </w:r>
          </w:p>
        </w:tc>
        <w:tc>
          <w:tcPr>
            <w:tcW w:w="2412" w:type="dxa"/>
            <w:vAlign w:val="center"/>
          </w:tcPr>
          <w:p w14:paraId="32E994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主要关系</w:t>
            </w:r>
          </w:p>
        </w:tc>
      </w:tr>
      <w:tr w14:paraId="73976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659D50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主导航图</w:t>
            </w:r>
          </w:p>
        </w:tc>
        <w:tc>
          <w:tcPr>
            <w:tcW w:w="2412" w:type="dxa"/>
            <w:vAlign w:val="center"/>
          </w:tcPr>
          <w:p w14:paraId="0BFCE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main</w:t>
            </w:r>
          </w:p>
        </w:tc>
        <w:tc>
          <w:tcPr>
            <w:tcW w:w="2412" w:type="dxa"/>
            <w:vAlign w:val="center"/>
          </w:tcPr>
          <w:p w14:paraId="743DDC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学习路径生成、缺漏知识诊断</w:t>
            </w:r>
          </w:p>
        </w:tc>
        <w:tc>
          <w:tcPr>
            <w:tcW w:w="2412" w:type="dxa"/>
            <w:vAlign w:val="center"/>
          </w:tcPr>
          <w:p w14:paraId="55F716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强前置关系，少量核心推导关系</w:t>
            </w:r>
          </w:p>
        </w:tc>
      </w:tr>
      <w:tr w14:paraId="01435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473DA7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证明追踪层</w:t>
            </w:r>
          </w:p>
        </w:tc>
        <w:tc>
          <w:tcPr>
            <w:tcW w:w="2412" w:type="dxa"/>
            <w:vAlign w:val="center"/>
          </w:tcPr>
          <w:p w14:paraId="5E9D6B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proof_trace</w:t>
            </w:r>
          </w:p>
        </w:tc>
        <w:tc>
          <w:tcPr>
            <w:tcW w:w="2412" w:type="dxa"/>
            <w:vAlign w:val="center"/>
          </w:tcPr>
          <w:p w14:paraId="6D70E4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解释定理或公式的证明来源</w:t>
            </w:r>
          </w:p>
        </w:tc>
        <w:tc>
          <w:tcPr>
            <w:tcW w:w="2412" w:type="dxa"/>
            <w:vAlign w:val="center"/>
          </w:tcPr>
          <w:p w14:paraId="6BB032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局部证明依赖、推导链</w:t>
            </w:r>
          </w:p>
        </w:tc>
      </w:tr>
      <w:tr w14:paraId="55F39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018398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应用索引层</w:t>
            </w:r>
          </w:p>
        </w:tc>
        <w:tc>
          <w:tcPr>
            <w:tcW w:w="2412" w:type="dxa"/>
            <w:vAlign w:val="center"/>
          </w:tcPr>
          <w:p w14:paraId="644C64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application_index</w:t>
            </w:r>
          </w:p>
        </w:tc>
        <w:tc>
          <w:tcPr>
            <w:tcW w:w="2412" w:type="dxa"/>
            <w:vAlign w:val="center"/>
          </w:tcPr>
          <w:p w14:paraId="36D9C3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推荐例题、方法和题型</w:t>
            </w:r>
          </w:p>
        </w:tc>
        <w:tc>
          <w:tcPr>
            <w:tcW w:w="2412" w:type="dxa"/>
            <w:vAlign w:val="center"/>
          </w:tcPr>
          <w:p w14:paraId="70E9EA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应用关系</w:t>
            </w:r>
          </w:p>
        </w:tc>
      </w:tr>
    </w:tbl>
    <w:p w14:paraId="42DB9D52"/>
    <w:p w14:paraId="2FA25AB4">
      <w:pPr>
        <w:jc w:val="center"/>
      </w:pPr>
      <w:r>
        <w:drawing>
          <wp:inline distT="0" distB="0" distL="114300" distR="114300">
            <wp:extent cx="5989320" cy="3668395"/>
            <wp:effectExtent l="0" t="0" r="1143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0C81">
      <w:pPr>
        <w:jc w:val="center"/>
      </w:pPr>
      <w:r>
        <w:rPr>
          <w:rFonts w:ascii="宋体" w:hAnsi="宋体" w:eastAsia="宋体"/>
          <w:i/>
          <w:sz w:val="20"/>
        </w:rPr>
        <w:t>图5 三层关系结构</w:t>
      </w:r>
    </w:p>
    <w:p w14:paraId="275EB70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主导航图采用相对严格的准入标准，以保证学习路径可读、可解释；证明追踪层用于保留局部推导信息；应用索引层用于支撑例题、方法和题型推荐。三层之间既相互关联，又在用途上保持区分。</w:t>
      </w:r>
    </w:p>
    <w:p w14:paraId="1F371864">
      <w:pPr>
        <w:pStyle w:val="4"/>
      </w:pPr>
      <w:r>
        <w:rPr>
          <w:rFonts w:ascii="黑体" w:hAnsi="黑体" w:eastAsia="黑体"/>
          <w:b/>
          <w:i w:val="0"/>
          <w:sz w:val="26"/>
        </w:rPr>
        <w:t>5. 前置关系采用强标准</w:t>
      </w:r>
    </w:p>
    <w:p w14:paraId="27A2983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前置关系仅表示“理解目标知识点所必需的直接前置知识”。以下情况不自动构成前置关系：</w:t>
      </w:r>
    </w:p>
    <w:p w14:paraId="6483F1F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仅在教材中早于 B 出现。</w:t>
      </w:r>
    </w:p>
    <w:p w14:paraId="5B60CD70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与 B 在同一节中并列出现。</w:t>
      </w:r>
    </w:p>
    <w:p w14:paraId="0373034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只是 B 的证明中使用过的工具。</w:t>
      </w:r>
    </w:p>
    <w:p w14:paraId="1CEA5A4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与 B 主题相关，但不是理解 B 的必要条件。</w:t>
      </w:r>
    </w:p>
    <w:p w14:paraId="4C87993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若上述关系具有保留价值，可优先放入证明追踪层或应用索引层，而不直接进入主导航图。该设计旨在避免学习路径过密，保证路径推荐和缺漏诊断的解释性。</w:t>
      </w:r>
    </w:p>
    <w:p w14:paraId="4FE08C6B">
      <w:pPr>
        <w:pStyle w:val="3"/>
      </w:pPr>
      <w:r>
        <w:rPr>
          <w:rFonts w:ascii="黑体" w:hAnsi="黑体" w:eastAsia="黑体"/>
          <w:b/>
          <w:i w:val="0"/>
          <w:sz w:val="30"/>
        </w:rPr>
        <w:t>六、当前验证情况与需要注意的问题</w:t>
      </w:r>
    </w:p>
    <w:p w14:paraId="4DED4B05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当前已基于《高等代数》教材的局部章节进行初步验证，并导入本地 Neo4j 进行可视化检查。正文中暂不列出具体数量统计；如老师需要，可另行提供内部实验记录。</w:t>
      </w:r>
    </w:p>
    <w:p w14:paraId="511E8A7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目前已经重点检查了以下方面：</w:t>
      </w:r>
    </w:p>
    <w:p w14:paraId="03AB78C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是否能够区分教材正文、典型例题和习题，并采用不同抽取策略。</w:t>
      </w:r>
    </w:p>
    <w:p w14:paraId="6A1255C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是否能够将“定理1”“公式2”等编号保留为来源标签，而非作为正式知识点名称。</w:t>
      </w:r>
    </w:p>
    <w:p w14:paraId="377F737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是否能够分别查看主导航图、证明追踪层和应用索引层。</w:t>
      </w:r>
    </w:p>
    <w:p w14:paraId="35D6929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是否能够利用主导航图观察学习路径和前置知识。</w:t>
      </w:r>
    </w:p>
    <w:p w14:paraId="4D70EBE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是否能够在应用索引层中查看知识点、方法和题型之间的关联。</w:t>
      </w:r>
    </w:p>
    <w:p w14:paraId="0E4926F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是否能够将不确定样本提交人工复核，减少自动抽取结果中的不稳定项。</w:t>
      </w:r>
    </w:p>
    <w:p w14:paraId="5848CEF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当前仍有一些地方需要继续讨论和完善：</w:t>
      </w:r>
    </w:p>
    <w:p w14:paraId="05F64B0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同义合并策略较为保守，疑似同义、上下位和粒度重叠问题仍依赖人工复核。</w:t>
      </w:r>
    </w:p>
    <w:p w14:paraId="7F71589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典型例题中的方法和题型具有应用价值，但也存在误抽风险，需要进一步完善准入标准。</w:t>
      </w:r>
    </w:p>
    <w:p w14:paraId="5102957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证明追踪层可能出现粒度偏细的问题，需要进一步判断哪些证明依赖具有保留价值。</w:t>
      </w:r>
    </w:p>
    <w:p w14:paraId="36FBDE8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应用索引层需要在更多章节上验证覆盖度和稳定性。</w:t>
      </w:r>
    </w:p>
    <w:p w14:paraId="36F8367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主导航图采用强前置标准，有利于保持路径简明，但也可能遗漏部分弱关联知识。</w:t>
      </w:r>
    </w:p>
    <w:p w14:paraId="259BA351">
      <w:pPr>
        <w:pStyle w:val="3"/>
      </w:pPr>
      <w:r>
        <w:rPr>
          <w:rFonts w:ascii="黑体" w:hAnsi="黑体" w:eastAsia="黑体"/>
          <w:b/>
          <w:i w:val="0"/>
          <w:sz w:val="30"/>
        </w:rPr>
        <w:t>七、应用场域</w:t>
      </w:r>
    </w:p>
    <w:p w14:paraId="52F7F90A">
      <w:pPr>
        <w:pStyle w:val="4"/>
      </w:pPr>
      <w:r>
        <w:rPr>
          <w:rFonts w:ascii="黑体" w:hAnsi="黑体" w:eastAsia="黑体"/>
          <w:b/>
          <w:i w:val="0"/>
          <w:sz w:val="26"/>
        </w:rPr>
        <w:t>1. 知识缺漏诊断</w:t>
      </w:r>
    </w:p>
    <w:p w14:paraId="7F1B875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当学生在某道题上出现困难时，系统可先识别题目涉及的目标知识点或题型，再沿主导航图反向追溯必要前置知识，从而辅助判断学生可能缺失的知识环节。</w:t>
      </w:r>
    </w:p>
    <w:p w14:paraId="3186F3D6">
      <w:pPr>
        <w:jc w:val="center"/>
      </w:pPr>
      <w:r>
        <w:drawing>
          <wp:inline distT="0" distB="0" distL="114300" distR="114300">
            <wp:extent cx="5989320" cy="1946275"/>
            <wp:effectExtent l="0" t="0" r="1143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4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FD57">
      <w:pPr>
        <w:jc w:val="center"/>
      </w:pPr>
      <w:r>
        <w:rPr>
          <w:rFonts w:ascii="宋体" w:hAnsi="宋体" w:eastAsia="宋体"/>
          <w:i/>
          <w:sz w:val="20"/>
        </w:rPr>
        <w:t>图6 知识缺漏诊断流程</w:t>
      </w:r>
    </w:p>
    <w:p w14:paraId="75E8E264">
      <w:pPr>
        <w:pStyle w:val="4"/>
      </w:pPr>
      <w:r>
        <w:rPr>
          <w:rFonts w:ascii="黑体" w:hAnsi="黑体" w:eastAsia="黑体"/>
          <w:b/>
          <w:i w:val="0"/>
          <w:sz w:val="26"/>
        </w:rPr>
        <w:t>2. 学习路径生成</w:t>
      </w:r>
    </w:p>
    <w:p w14:paraId="5F30A52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系统可结合教材章节顺序和主导航图中的前置关系，为某一章节、某一知识点或某一学习目标生成学习路径。主导航图采用较严格标准，适合作为默认路径骨架。</w:t>
      </w:r>
    </w:p>
    <w:p w14:paraId="4571ACB5">
      <w:pPr>
        <w:pStyle w:val="4"/>
      </w:pPr>
      <w:r>
        <w:rPr>
          <w:rFonts w:ascii="黑体" w:hAnsi="黑体" w:eastAsia="黑体"/>
          <w:b/>
          <w:i w:val="0"/>
          <w:sz w:val="26"/>
        </w:rPr>
        <w:t>3. 例题、方法和题型推荐</w:t>
      </w:r>
    </w:p>
    <w:p w14:paraId="35324D3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应用索引层可支持以下问题：</w:t>
      </w:r>
    </w:p>
    <w:p w14:paraId="50B77B9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学习某一知识点后，适合练习哪些题型？</w:t>
      </w:r>
    </w:p>
    <w:p w14:paraId="6BBB765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某类题型通常使用哪些方法？</w:t>
      </w:r>
    </w:p>
    <w:p w14:paraId="6541C64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某一定理或公式在教材例题中如何被应用？</w:t>
      </w:r>
    </w:p>
    <w:p w14:paraId="755FB679">
      <w:pPr>
        <w:jc w:val="center"/>
      </w:pPr>
      <w:r>
        <w:drawing>
          <wp:inline distT="0" distB="0" distL="114300" distR="114300">
            <wp:extent cx="5989320" cy="2235835"/>
            <wp:effectExtent l="0" t="0" r="1143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03A2">
      <w:pPr>
        <w:jc w:val="center"/>
      </w:pPr>
      <w:r>
        <w:rPr>
          <w:rFonts w:ascii="宋体" w:hAnsi="宋体" w:eastAsia="宋体"/>
          <w:i/>
          <w:sz w:val="20"/>
        </w:rPr>
        <w:t>图7 应用索引层推荐逻辑</w:t>
      </w:r>
    </w:p>
    <w:p w14:paraId="7D34330A">
      <w:pPr>
        <w:pStyle w:val="4"/>
      </w:pPr>
      <w:r>
        <w:rPr>
          <w:rFonts w:ascii="黑体" w:hAnsi="黑体" w:eastAsia="黑体"/>
          <w:b/>
          <w:i w:val="0"/>
          <w:sz w:val="26"/>
        </w:rPr>
        <w:t>4. 证明解释</w:t>
      </w:r>
    </w:p>
    <w:p w14:paraId="0054B5DE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证明追踪层用于解释定理、公式或重要结论的来源，可辅助回答：</w:t>
      </w:r>
    </w:p>
    <w:p w14:paraId="001DBC9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该定理由哪些已有结论推出？</w:t>
      </w:r>
    </w:p>
    <w:p w14:paraId="4EA584F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证明过程中依赖了哪些性质、公式或方法？</w:t>
      </w:r>
    </w:p>
    <w:p w14:paraId="6498215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某个公式在教材中如何得到？</w:t>
      </w:r>
    </w:p>
    <w:p w14:paraId="1727E1E2">
      <w:pPr>
        <w:pStyle w:val="3"/>
        <w:spacing w:after="120" w:line="300" w:lineRule="auto"/>
      </w:pPr>
      <w:r>
        <w:rPr>
          <w:rFonts w:ascii="宋体" w:hAnsi="宋体" w:eastAsia="宋体"/>
          <w:b/>
          <w:color w:val="000000"/>
          <w:sz w:val="30"/>
        </w:rPr>
        <w:t>八、想请老师重点帮忙看的问题</w:t>
      </w:r>
    </w:p>
    <w:p>
      <w:pPr/>
      <w:r>
        <w:rPr>
          <w:rFonts w:ascii="宋体" w:hAnsi="宋体" w:eastAsia="宋体"/>
          <w:color w:val="000000"/>
        </w:rPr>
        <w:t>这份材料主要想请老师从两个方面帮忙把关：第一，数学教材知识图谱中，哪些内容应该作为节点进入图谱；第二，这些节点之间应该建立哪些关系。其他问题如果老师有时间，也希望能顺带给一些建议。</w:t>
      </w:r>
    </w:p>
    <w:p>
      <w:pPr>
        <w:pStyle w:val="4"/>
      </w:pPr>
      <w:r>
        <w:rPr>
          <w:rFonts w:ascii="宋体" w:hAnsi="宋体" w:eastAsia="宋体"/>
          <w:color w:val="000000"/>
        </w:rPr>
        <w:t>1. 核心问题一：哪些内容应该作为知识图谱节点</w:t>
      </w:r>
    </w:p>
    <w:p>
      <w:pPr/>
      <w:r>
        <w:rPr>
          <w:rFonts w:ascii="宋体" w:hAnsi="宋体" w:eastAsia="宋体"/>
          <w:color w:val="000000"/>
        </w:rPr>
        <w:t>我们当前把教材中抽取出的内容初步分为：概念、定义、定理、公式、方法、题型，以及属性或状态类内容。想请老师重点判断，这套分类是否适合数学教材知识图谱；如果由老师来设计，会怎样划分这些知识类型。</w:t>
      </w:r>
    </w:p>
    <w:p>
      <w:pPr/>
      <w:r>
        <w:rPr>
          <w:rFonts w:ascii="宋体" w:hAnsi="宋体" w:eastAsia="宋体"/>
          <w:color w:val="000000"/>
        </w:rPr>
        <w:t>其中，“方法”和“题型”是否应该作为正式节点，是目前比较关键的问题。例如“用初等行变换求矩阵的秩”“线性方程组求解问题”这类内容，应该作为方法节点、题型节点、知识点标签，还是只作为例题关联信息保存。</w:t>
      </w:r>
    </w:p>
    <w:p>
      <w:pPr/>
      <w:r>
        <w:rPr>
          <w:rFonts w:ascii="宋体" w:hAnsi="宋体" w:eastAsia="宋体"/>
          <w:color w:val="000000"/>
        </w:rPr>
        <w:t>还有一类内容边界更容易混淆，例如“唯一解”“无解”“零解”“可逆”“线性相关”“线性无关”等。它们有时像是某个对象的状态、性质或取值，有时又会被教材专门讨论。想请老师判断，这类内容通常应该单独作为知识点节点，还是作为相关知识点的属性、状态或标签记录。</w:t>
      </w:r>
    </w:p>
    <w:p>
      <w:pPr/>
      <w:r>
        <w:rPr>
          <w:rFonts w:ascii="宋体" w:hAnsi="宋体" w:eastAsia="宋体"/>
          <w:color w:val="000000"/>
        </w:rPr>
        <w:t>例如，“线性方程组无解”如果只是描述解的状态，似乎可以作为属性记录；但如果教材给出了专门判别准则，如“无解当且仅当增广矩阵的秩大于系数矩阵的秩”，它是否应该升级为一个可以检索、可以关联题型和方法的知识点。</w:t>
      </w:r>
    </w:p>
    <w:p>
      <w:pPr/>
      <w:r>
        <w:rPr>
          <w:rFonts w:ascii="宋体" w:hAnsi="宋体" w:eastAsia="宋体"/>
          <w:color w:val="000000"/>
        </w:rPr>
        <w:t>典型例题中的节点抽取也想请老师帮忙判断。我们目前倾向于允许从典型例题中抽取方法、题型和应用证据，但不从例题答案中抽取新的定理或定义，以避免把单题结论误当成教材知识点。这个边界是否合理，也希望老师指点。</w:t>
      </w:r>
    </w:p>
    <w:p>
      <w:pPr>
        <w:pStyle w:val="4"/>
      </w:pPr>
      <w:r>
        <w:rPr>
          <w:rFonts w:ascii="宋体" w:hAnsi="宋体" w:eastAsia="宋体"/>
          <w:color w:val="000000"/>
        </w:rPr>
        <w:t>2. 核心问题二：节点之间应该建立哪些关系</w:t>
      </w:r>
    </w:p>
    <w:p>
      <w:pPr/>
      <w:r>
        <w:rPr>
          <w:rFonts w:ascii="宋体" w:hAnsi="宋体" w:eastAsia="宋体"/>
          <w:color w:val="000000"/>
        </w:rPr>
        <w:t>我们目前设计的主要关系包括：前置依赖、推导来源、应用于、同义或等价、章节归属、例题关联。想请老师重点判断，这些关系是否足够支持学习路径生成、知识点追溯和例题推荐。</w:t>
      </w:r>
    </w:p>
    <w:p>
      <w:pPr/>
      <w:r>
        <w:rPr>
          <w:rFonts w:ascii="宋体" w:hAnsi="宋体" w:eastAsia="宋体"/>
          <w:color w:val="000000"/>
        </w:rPr>
        <w:t>同时也想请老师看关系定义是否清楚。例如：“前置依赖”表示理解 B 通常需要先掌握 A；“推导来源”表示 B 的证明或结论由 A 推出；“应用于”表示某知识点、定理、公式或方法可用于解决某类题或某个例题。这样的区分是否符合数学教材知识结构和教学使用习惯。</w:t>
      </w:r>
    </w:p>
    <w:p>
      <w:pPr/>
      <w:r>
        <w:rPr>
          <w:rFonts w:ascii="宋体" w:hAnsi="宋体" w:eastAsia="宋体"/>
          <w:color w:val="000000"/>
        </w:rPr>
        <w:t>关系方向也想请老师判断。当前约定为 A 指向 B 表示“B 依赖 A”或“B 由 A 推出”，也就是从基础知识指向后续知识。这个方向设计是否符合后续学习路径生成和知识追溯的使用需求。</w:t>
      </w:r>
    </w:p>
    <w:p>
      <w:pPr>
        <w:pStyle w:val="4"/>
      </w:pPr>
      <w:r>
        <w:rPr>
          <w:rFonts w:ascii="宋体" w:hAnsi="宋体" w:eastAsia="宋体"/>
          <w:color w:val="000000"/>
        </w:rPr>
        <w:t>3. 其他希望老师顺带看看之处</w:t>
      </w:r>
    </w:p>
    <w:p>
      <w:pPr/>
      <w:r>
        <w:rPr>
          <w:rFonts w:ascii="宋体" w:hAnsi="宋体" w:eastAsia="宋体"/>
          <w:color w:val="000000"/>
        </w:rPr>
        <w:t>如果老师有时间，也想请老师简单看一下三个补充问题：第一，当前设想的应用场景是否还有需要补充的地方；第二，同一知识点的不同表述在合并时，除了名称相似、定义或原文依据相近、上下文一致之外，是否还需要更严格的判断标准；第三，采用“LLM 生成候选，规则校验和人工审核把关”的流程构建教材知识图谱是否可行，哪些环节最需要人工重点审核。</w:t>
      </w:r>
    </w:p>
    <w:p w14:paraId="7615313E">
      <w:pPr>
        <w:pStyle w:val="3"/>
        <w:spacing w:after="120" w:line="300" w:lineRule="auto"/>
      </w:pPr>
      <w:r>
        <w:rPr>
          <w:rFonts w:ascii="黑体" w:hAnsi="黑体" w:eastAsia="黑体"/>
          <w:b/>
          <w:sz w:val="30"/>
        </w:rPr>
        <w:t>九、后续计划</w:t>
      </w:r>
    </w:p>
    <w:p w14:paraId="057ACEE5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下一步计划先根据老师的建议，集中修改知识点粒度、属性值边界、关系分层和人工复核规则。规则相对稳定后，再扩展到更多章节，并继续观察主导航图、证明追踪层和应用索引层是否能分别支撑学习路径、证明解释和例题推荐。</w:t>
      </w:r>
    </w:p>
    <w:sectPr>
      <w:pgSz w:w="12240" w:h="15840"/>
      <w:pgMar w:top="1181" w:right="1296" w:bottom="1181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C7601"/>
    <w:rsid w:val="11FE24B9"/>
    <w:rsid w:val="2AA5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000000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000000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5349</Words>
  <Characters>5456</Characters>
  <Lines>0</Lines>
  <Paragraphs>0</Paragraphs>
  <TotalTime>32</TotalTime>
  <ScaleCrop>false</ScaleCrop>
  <LinksUpToDate>false</LinksUpToDate>
  <CharactersWithSpaces>5553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player</cp:lastModifiedBy>
  <dcterms:modified xsi:type="dcterms:W3CDTF">2026-06-17T03:25:20Z</dcterms:modified>
  <dc:subject>教材知识图谱；导师交流稿</dc:subject>
  <dc:title>智学助手教材知识图谱设计说明（交流稿）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eyJoZGlkIjoiYTExMTViZmY4ZWFmZDVjYzg1M2E2ZDdhNmUyOGZhNjEiLCJ1c2VySWQiOiIxMzU5NDkzMTc5In0=</vt:lpwstr>
  </property>
  <property fmtid="{D5CDD505-2E9C-101B-9397-08002B2CF9AE}" pid="3" name="KSOProductBuildVer">
    <vt:lpwstr>2052-12.1.0.21915</vt:lpwstr>
  </property>
  <property fmtid="{D5CDD505-2E9C-101B-9397-08002B2CF9AE}" pid="4" name="ICV">
    <vt:lpwstr>6D14B43854F048148990BAC45208C836_12</vt:lpwstr>
  </property>
</Properties>
</file>